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AC00" w14:textId="77777777" w:rsidR="009D635C" w:rsidRPr="00A00332" w:rsidRDefault="009D635C" w:rsidP="009D635C">
      <w:pPr>
        <w:spacing w:after="0" w:line="240" w:lineRule="auto"/>
        <w:jc w:val="center"/>
        <w:rPr>
          <w:rFonts w:ascii="Garamond" w:hAnsi="Garamond"/>
          <w:b/>
          <w:sz w:val="24"/>
        </w:rPr>
      </w:pPr>
      <w:r w:rsidRPr="00A00332">
        <w:rPr>
          <w:rFonts w:ascii="Garamond" w:hAnsi="Garamond"/>
          <w:b/>
          <w:sz w:val="24"/>
        </w:rPr>
        <w:t>VENDIM</w:t>
      </w:r>
    </w:p>
    <w:p w14:paraId="4F7968DF" w14:textId="77777777" w:rsidR="009D635C" w:rsidRPr="00A00332" w:rsidRDefault="009D635C" w:rsidP="009D635C">
      <w:pPr>
        <w:spacing w:after="0" w:line="240" w:lineRule="auto"/>
        <w:jc w:val="center"/>
        <w:rPr>
          <w:rFonts w:ascii="Garamond" w:hAnsi="Garamond"/>
          <w:b/>
          <w:sz w:val="24"/>
        </w:rPr>
      </w:pPr>
      <w:r w:rsidRPr="00A00332">
        <w:rPr>
          <w:rFonts w:ascii="Garamond" w:hAnsi="Garamond"/>
          <w:b/>
          <w:sz w:val="24"/>
        </w:rPr>
        <w:t>Nr. 472, datë 31.7.2025</w:t>
      </w:r>
    </w:p>
    <w:p w14:paraId="7FB909ED" w14:textId="77777777" w:rsidR="009D635C" w:rsidRPr="00A00332" w:rsidRDefault="009D635C" w:rsidP="009D635C">
      <w:pPr>
        <w:spacing w:after="0" w:line="240" w:lineRule="auto"/>
        <w:jc w:val="center"/>
        <w:rPr>
          <w:rFonts w:ascii="Garamond" w:hAnsi="Garamond"/>
          <w:b/>
          <w:sz w:val="24"/>
        </w:rPr>
      </w:pPr>
    </w:p>
    <w:p w14:paraId="78BEBDE8" w14:textId="77777777" w:rsidR="009D635C" w:rsidRPr="00A00332" w:rsidRDefault="009D635C" w:rsidP="009D635C">
      <w:pPr>
        <w:spacing w:after="0" w:line="240" w:lineRule="auto"/>
        <w:jc w:val="center"/>
        <w:rPr>
          <w:rFonts w:ascii="Garamond" w:eastAsia="MS Mincho" w:hAnsi="Garamond"/>
          <w:b/>
          <w:sz w:val="24"/>
        </w:rPr>
      </w:pPr>
      <w:r w:rsidRPr="00A00332">
        <w:rPr>
          <w:rFonts w:ascii="Garamond" w:eastAsia="MS Mincho" w:hAnsi="Garamond"/>
          <w:b/>
          <w:sz w:val="24"/>
        </w:rPr>
        <w:t>PËR MIRATIMIN E STRATEGJISË NDËRSEKTORIALE TË REFORMËS NË ADMINISTRATËN PUBLIKE 2025–2030, PLANIT TË VEPRIMIT 2025-2027 DHE</w:t>
      </w:r>
      <w:r w:rsidRPr="00A00332">
        <w:rPr>
          <w:rFonts w:ascii="Garamond" w:hAnsi="Garamond"/>
          <w:b/>
          <w:sz w:val="24"/>
        </w:rPr>
        <w:t xml:space="preserve"> PASAPORTËS SË TREGUESVE</w:t>
      </w:r>
    </w:p>
    <w:p w14:paraId="48887460" w14:textId="77777777" w:rsidR="009D635C" w:rsidRPr="00A00332" w:rsidRDefault="009D635C" w:rsidP="009D635C">
      <w:pPr>
        <w:spacing w:after="0" w:line="240" w:lineRule="auto"/>
        <w:jc w:val="center"/>
        <w:rPr>
          <w:rFonts w:ascii="Garamond" w:hAnsi="Garamond"/>
          <w:b/>
          <w:sz w:val="24"/>
        </w:rPr>
      </w:pPr>
    </w:p>
    <w:p w14:paraId="35E573E6" w14:textId="77777777" w:rsidR="009D635C" w:rsidRPr="00A00332" w:rsidRDefault="009D635C" w:rsidP="009D635C">
      <w:pPr>
        <w:spacing w:after="0" w:line="240" w:lineRule="auto"/>
        <w:ind w:firstLine="284"/>
        <w:jc w:val="both"/>
        <w:rPr>
          <w:rFonts w:ascii="Garamond" w:eastAsia="MS Mincho" w:hAnsi="Garamond"/>
          <w:sz w:val="24"/>
        </w:rPr>
      </w:pPr>
      <w:r w:rsidRPr="00A00332">
        <w:rPr>
          <w:rFonts w:ascii="Garamond" w:eastAsia="MS Mincho" w:hAnsi="Garamond"/>
          <w:sz w:val="24"/>
        </w:rPr>
        <w:t xml:space="preserve">Në mbështetje të nenit 100 të Kushtetutës, me propozimin e ministrit të </w:t>
      </w:r>
      <w:r w:rsidRPr="00A00332">
        <w:rPr>
          <w:rFonts w:ascii="Garamond" w:hAnsi="Garamond"/>
          <w:sz w:val="24"/>
        </w:rPr>
        <w:t>Shtetit për Administratën Publike dhe Antikorrupsionin</w:t>
      </w:r>
      <w:r w:rsidRPr="00A00332">
        <w:rPr>
          <w:rFonts w:ascii="Garamond" w:eastAsia="MS Mincho" w:hAnsi="Garamond"/>
          <w:sz w:val="24"/>
        </w:rPr>
        <w:t>, Këshilli i Ministrave</w:t>
      </w:r>
    </w:p>
    <w:p w14:paraId="3E9BFD0C" w14:textId="77777777" w:rsidR="009D635C" w:rsidRPr="00A00332" w:rsidRDefault="009D635C" w:rsidP="009D635C">
      <w:pPr>
        <w:spacing w:after="0" w:line="240" w:lineRule="auto"/>
        <w:ind w:firstLine="284"/>
        <w:jc w:val="both"/>
        <w:rPr>
          <w:rFonts w:ascii="Garamond" w:eastAsia="MS Mincho" w:hAnsi="Garamond"/>
          <w:sz w:val="24"/>
        </w:rPr>
      </w:pPr>
    </w:p>
    <w:p w14:paraId="01477B92" w14:textId="77777777" w:rsidR="009D635C" w:rsidRPr="00A00332" w:rsidRDefault="009D635C" w:rsidP="009D635C">
      <w:pPr>
        <w:spacing w:after="0" w:line="240" w:lineRule="auto"/>
        <w:ind w:firstLine="284"/>
        <w:jc w:val="center"/>
        <w:rPr>
          <w:rFonts w:ascii="Garamond" w:eastAsia="MS Mincho" w:hAnsi="Garamond"/>
          <w:sz w:val="24"/>
        </w:rPr>
      </w:pPr>
      <w:r w:rsidRPr="00A00332">
        <w:rPr>
          <w:rFonts w:ascii="Garamond" w:eastAsia="MS Mincho" w:hAnsi="Garamond"/>
          <w:sz w:val="24"/>
        </w:rPr>
        <w:t>VENDOSI:</w:t>
      </w:r>
    </w:p>
    <w:p w14:paraId="2E5C4B15" w14:textId="77777777" w:rsidR="009D635C" w:rsidRPr="00A00332" w:rsidRDefault="009D635C" w:rsidP="009D635C">
      <w:pPr>
        <w:spacing w:after="0" w:line="240" w:lineRule="auto"/>
        <w:ind w:firstLine="284"/>
        <w:jc w:val="both"/>
        <w:rPr>
          <w:rFonts w:ascii="Garamond" w:hAnsi="Garamond"/>
          <w:sz w:val="24"/>
        </w:rPr>
      </w:pPr>
    </w:p>
    <w:p w14:paraId="25B94391" w14:textId="77777777" w:rsidR="009D635C" w:rsidRPr="00A00332" w:rsidRDefault="009D635C" w:rsidP="009D635C">
      <w:pPr>
        <w:spacing w:after="0" w:line="240" w:lineRule="auto"/>
        <w:ind w:firstLine="284"/>
        <w:jc w:val="both"/>
        <w:rPr>
          <w:rFonts w:ascii="Garamond" w:hAnsi="Garamond"/>
          <w:sz w:val="24"/>
        </w:rPr>
      </w:pPr>
      <w:r w:rsidRPr="00A00332">
        <w:rPr>
          <w:rFonts w:ascii="Garamond" w:hAnsi="Garamond"/>
          <w:sz w:val="24"/>
        </w:rPr>
        <w:t xml:space="preserve">1. Miratimin e Strategjisë Ndërsektoriale të Reformës në Administratën Publike 2025–2030, planit të veprimit 2025-2027 dhe pasaportës së treguesve, sipas tekstit që i bashkëlidhet këtij vendimi dhe është pjesë përbërëse e tij. </w:t>
      </w:r>
    </w:p>
    <w:p w14:paraId="4F61D5F9" w14:textId="77777777" w:rsidR="009D635C" w:rsidRPr="00A00332" w:rsidRDefault="009D635C" w:rsidP="009D635C">
      <w:pPr>
        <w:pStyle w:val="TEKSTIIII"/>
      </w:pPr>
      <w:r w:rsidRPr="00A00332">
        <w:t xml:space="preserve">2. Ngarkohen ministri i Shtetit për Administratën Publike dhe Antikorrupsionin, Departamenti i Administratës Publike, ministritë e linjës dhe institucionet e tjera përgjegjëse, të përcaktuara në strategji, në planin e veprimit, si dhe në pasaportën e treguesve, për zbatimin e këtij vendimi. </w:t>
      </w:r>
    </w:p>
    <w:p w14:paraId="775A8DCE" w14:textId="77777777" w:rsidR="009D635C" w:rsidRPr="00A00332" w:rsidRDefault="009D635C" w:rsidP="009D635C">
      <w:pPr>
        <w:pStyle w:val="TEKSTIIII"/>
      </w:pPr>
      <w:r w:rsidRPr="00A00332">
        <w:t>Ky vendim hyn në fuqi pas botimit në Fletoren Zyrtare.</w:t>
      </w:r>
    </w:p>
    <w:p w14:paraId="67FEFFFC" w14:textId="77777777" w:rsidR="009D635C" w:rsidRPr="00A00332" w:rsidRDefault="009D635C" w:rsidP="009D635C">
      <w:pPr>
        <w:spacing w:after="0" w:line="240" w:lineRule="auto"/>
        <w:ind w:firstLine="284"/>
        <w:jc w:val="both"/>
        <w:rPr>
          <w:rFonts w:ascii="Garamond" w:hAnsi="Garamond"/>
          <w:sz w:val="24"/>
        </w:rPr>
      </w:pPr>
    </w:p>
    <w:p w14:paraId="3CAF52F8" w14:textId="77777777" w:rsidR="009D635C" w:rsidRPr="00A00332" w:rsidRDefault="009D635C" w:rsidP="009D635C">
      <w:pPr>
        <w:spacing w:after="0" w:line="240" w:lineRule="auto"/>
        <w:ind w:firstLine="284"/>
        <w:jc w:val="right"/>
        <w:rPr>
          <w:rFonts w:ascii="Garamond" w:hAnsi="Garamond"/>
          <w:sz w:val="24"/>
        </w:rPr>
      </w:pPr>
      <w:r w:rsidRPr="00A00332">
        <w:rPr>
          <w:rFonts w:ascii="Garamond" w:hAnsi="Garamond"/>
          <w:sz w:val="24"/>
        </w:rPr>
        <w:t>ZËVENDËSKRYEMINISTËR</w:t>
      </w:r>
    </w:p>
    <w:p w14:paraId="2D0EC791" w14:textId="77777777" w:rsidR="009D635C" w:rsidRDefault="009D635C" w:rsidP="009D635C">
      <w:pPr>
        <w:spacing w:after="0" w:line="240" w:lineRule="auto"/>
        <w:ind w:firstLine="284"/>
        <w:jc w:val="right"/>
        <w:rPr>
          <w:rFonts w:ascii="Garamond" w:hAnsi="Garamond"/>
          <w:b/>
          <w:sz w:val="24"/>
        </w:rPr>
      </w:pPr>
      <w:r w:rsidRPr="00A00332">
        <w:rPr>
          <w:rFonts w:ascii="Garamond" w:hAnsi="Garamond"/>
          <w:b/>
          <w:sz w:val="24"/>
        </w:rPr>
        <w:t>Belinda Balluku</w:t>
      </w:r>
    </w:p>
    <w:p w14:paraId="2DC2BDF4" w14:textId="699B9738" w:rsidR="009D635C" w:rsidRDefault="009D635C" w:rsidP="006557B3">
      <w:pPr>
        <w:pStyle w:val="NoSpacing"/>
        <w:spacing w:before="1540" w:after="240"/>
        <w:rPr>
          <w:rFonts w:ascii="Times New Roman" w:hAnsi="Times New Roman" w:cs="Times New Roman"/>
          <w:noProof/>
          <w:lang w:val="sq-AL"/>
        </w:rPr>
      </w:pPr>
    </w:p>
    <w:p w14:paraId="05640835" w14:textId="2B0AC67E" w:rsidR="009D635C" w:rsidRDefault="009D635C" w:rsidP="006557B3">
      <w:pPr>
        <w:pStyle w:val="NoSpacing"/>
        <w:spacing w:before="1540" w:after="240"/>
        <w:rPr>
          <w:rFonts w:ascii="Times New Roman" w:hAnsi="Times New Roman" w:cs="Times New Roman"/>
          <w:noProof/>
          <w:lang w:val="sq-AL"/>
        </w:rPr>
      </w:pPr>
    </w:p>
    <w:p w14:paraId="576D87D2" w14:textId="20005809" w:rsidR="009D635C" w:rsidRDefault="009D635C" w:rsidP="006557B3">
      <w:pPr>
        <w:pStyle w:val="NoSpacing"/>
        <w:spacing w:before="1540" w:after="240"/>
        <w:rPr>
          <w:rFonts w:ascii="Times New Roman" w:hAnsi="Times New Roman" w:cs="Times New Roman"/>
          <w:noProof/>
          <w:lang w:val="sq-AL"/>
        </w:rPr>
      </w:pPr>
    </w:p>
    <w:p w14:paraId="483E1574" w14:textId="10C9E839" w:rsidR="009D635C" w:rsidRDefault="009D635C" w:rsidP="006557B3">
      <w:pPr>
        <w:pStyle w:val="NoSpacing"/>
        <w:spacing w:before="1540" w:after="240"/>
        <w:rPr>
          <w:rFonts w:ascii="Times New Roman" w:hAnsi="Times New Roman" w:cs="Times New Roman"/>
          <w:noProof/>
          <w:lang w:val="sq-AL"/>
        </w:rPr>
      </w:pPr>
    </w:p>
    <w:p w14:paraId="2CDE8775" w14:textId="77777777" w:rsidR="009D635C" w:rsidRDefault="009D635C" w:rsidP="006557B3">
      <w:pPr>
        <w:pStyle w:val="NoSpacing"/>
        <w:spacing w:before="1540" w:after="240"/>
        <w:rPr>
          <w:rFonts w:ascii="Times New Roman" w:hAnsi="Times New Roman" w:cs="Times New Roman"/>
          <w:noProof/>
          <w:lang w:val="sq-AL"/>
        </w:rPr>
      </w:pPr>
    </w:p>
    <w:p w14:paraId="5497AA8D" w14:textId="67BBE165" w:rsidR="003C5AA5" w:rsidRPr="00641640" w:rsidRDefault="00205B47" w:rsidP="006557B3">
      <w:pPr>
        <w:pStyle w:val="NoSpacing"/>
        <w:spacing w:before="1540" w:after="240"/>
        <w:rPr>
          <w:rFonts w:ascii="Times New Roman" w:hAnsi="Times New Roman" w:cs="Times New Roman"/>
          <w:noProof/>
          <w:lang w:val="sq-AL"/>
        </w:rPr>
      </w:pPr>
      <w:r w:rsidRPr="00641640">
        <w:rPr>
          <w:rFonts w:ascii="Times New Roman" w:hAnsi="Times New Roman" w:cs="Times New Roman"/>
          <w:noProof/>
        </w:rPr>
        <w:drawing>
          <wp:anchor distT="0" distB="0" distL="114300" distR="114300" simplePos="0" relativeHeight="251658246" behindDoc="1" locked="0" layoutInCell="1" allowOverlap="1" wp14:anchorId="357BFCDB" wp14:editId="3B948818">
            <wp:simplePos x="0" y="0"/>
            <wp:positionH relativeFrom="column">
              <wp:posOffset>1622204</wp:posOffset>
            </wp:positionH>
            <wp:positionV relativeFrom="paragraph">
              <wp:posOffset>-349139</wp:posOffset>
            </wp:positionV>
            <wp:extent cx="1566407" cy="1333959"/>
            <wp:effectExtent l="0" t="0" r="0" b="0"/>
            <wp:wrapNone/>
            <wp:docPr id="661673047" name="Picture 6" descr="Ministri i Shtetit për Administratën Publike dhe Antikorrupsionin |  Programi Kombëtar i Praktikave të Punë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i i Shtetit për Administratën Publike dhe Antikorrupsionin |  Programi Kombëtar i Praktikave të Punë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6407" cy="13339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0499" w:rsidRPr="00641640">
        <w:rPr>
          <w:rFonts w:ascii="Times New Roman" w:hAnsi="Times New Roman" w:cs="Times New Roman"/>
          <w:noProof/>
        </w:rPr>
        <mc:AlternateContent>
          <mc:Choice Requires="wps">
            <w:drawing>
              <wp:anchor distT="0" distB="0" distL="114300" distR="114300" simplePos="0" relativeHeight="251658242" behindDoc="0" locked="0" layoutInCell="1" allowOverlap="1" wp14:anchorId="31EDAF79" wp14:editId="1761AE7E">
                <wp:simplePos x="0" y="0"/>
                <wp:positionH relativeFrom="column">
                  <wp:posOffset>5096786</wp:posOffset>
                </wp:positionH>
                <wp:positionV relativeFrom="paragraph">
                  <wp:posOffset>-389614</wp:posOffset>
                </wp:positionV>
                <wp:extent cx="1293615" cy="9460451"/>
                <wp:effectExtent l="0" t="0" r="1905" b="7620"/>
                <wp:wrapNone/>
                <wp:docPr id="341833574" name="Rectangle 1"/>
                <wp:cNvGraphicFramePr/>
                <a:graphic xmlns:a="http://schemas.openxmlformats.org/drawingml/2006/main">
                  <a:graphicData uri="http://schemas.microsoft.com/office/word/2010/wordprocessingShape">
                    <wps:wsp>
                      <wps:cNvSpPr/>
                      <wps:spPr>
                        <a:xfrm>
                          <a:off x="0" y="0"/>
                          <a:ext cx="1293615" cy="9460451"/>
                        </a:xfrm>
                        <a:prstGeom prst="rect">
                          <a:avLst/>
                        </a:prstGeom>
                        <a:solidFill>
                          <a:srgbClr val="B2CEB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1DDAFD" w14:textId="3E03E270" w:rsidR="00EF7B8D" w:rsidRPr="008B6C30" w:rsidRDefault="00EF7B8D" w:rsidP="00CB0499">
                            <w:pPr>
                              <w:jc w:val="cente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DAF79" id="Rectangle 1" o:spid="_x0000_s1026" style="position:absolute;margin-left:401.3pt;margin-top:-30.7pt;width:101.85pt;height:744.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" fillcolor="#b2cebf" stroked="f" strokeweight="1pt">
                <v:textbox>
                  <w:txbxContent>
                    <w:p w14:paraId="3A1DDAFD" w14:textId="3E03E270" w:rsidR="00EF7B8D" w:rsidRPr="008B6C30" w:rsidRDefault="00EF7B8D" w:rsidP="00CB0499">
                      <w:pPr>
                        <w:jc w:val="center"/>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14:paraId="3B066055" w14:textId="3D24D987" w:rsidR="006557B3" w:rsidRPr="00641640" w:rsidRDefault="006557B3" w:rsidP="006557B3">
      <w:pPr>
        <w:pStyle w:val="NoSpacing"/>
        <w:spacing w:before="480"/>
        <w:jc w:val="center"/>
        <w:rPr>
          <w:rFonts w:ascii="Times New Roman" w:hAnsi="Times New Roman" w:cs="Times New Roman"/>
          <w:noProof/>
          <w:lang w:val="sq-AL"/>
        </w:rPr>
      </w:pPr>
    </w:p>
    <w:p w14:paraId="6D39CC4D" w14:textId="77777777" w:rsidR="00FA2F58" w:rsidRPr="00641640" w:rsidRDefault="00FA2F58" w:rsidP="006557B3">
      <w:pPr>
        <w:pStyle w:val="NoSpacing"/>
        <w:spacing w:before="480"/>
        <w:jc w:val="center"/>
        <w:rPr>
          <w:rFonts w:ascii="Times New Roman" w:hAnsi="Times New Roman" w:cs="Times New Roman"/>
          <w:noProof/>
          <w:lang w:val="sq-AL"/>
        </w:rPr>
      </w:pPr>
    </w:p>
    <w:p w14:paraId="7D2E7ACA" w14:textId="77777777" w:rsidR="00FA2F58" w:rsidRPr="00641640" w:rsidRDefault="00FA2F58" w:rsidP="006557B3">
      <w:pPr>
        <w:pStyle w:val="NoSpacing"/>
        <w:spacing w:before="480"/>
        <w:jc w:val="center"/>
        <w:rPr>
          <w:rFonts w:ascii="Times New Roman" w:hAnsi="Times New Roman" w:cs="Times New Roman"/>
          <w:noProof/>
          <w:lang w:val="sq-AL"/>
        </w:rPr>
      </w:pPr>
    </w:p>
    <w:p w14:paraId="581643D0" w14:textId="77777777" w:rsidR="00FA2F58" w:rsidRPr="00641640" w:rsidRDefault="00FA2F58" w:rsidP="006557B3">
      <w:pPr>
        <w:pStyle w:val="NoSpacing"/>
        <w:spacing w:before="480"/>
        <w:jc w:val="center"/>
        <w:rPr>
          <w:rFonts w:ascii="Times New Roman" w:hAnsi="Times New Roman" w:cs="Times New Roman"/>
          <w:noProof/>
          <w:lang w:val="sq-AL"/>
        </w:rPr>
      </w:pPr>
    </w:p>
    <w:p w14:paraId="625D808F" w14:textId="49B9DD72" w:rsidR="004C568D" w:rsidRPr="00641640" w:rsidRDefault="003F10AF">
      <w:pPr>
        <w:rPr>
          <w:rFonts w:ascii="Times New Roman" w:hAnsi="Times New Roman" w:cs="Times New Roman"/>
          <w:b/>
          <w:bCs/>
          <w:noProof/>
          <w:sz w:val="64"/>
          <w:szCs w:val="64"/>
          <w:lang w:val="sq-AL"/>
        </w:rPr>
      </w:pPr>
      <w:r w:rsidRPr="00641640">
        <w:rPr>
          <w:rFonts w:ascii="Times New Roman" w:hAnsi="Times New Roman" w:cs="Times New Roman"/>
          <w:noProof/>
        </w:rPr>
        <mc:AlternateContent>
          <mc:Choice Requires="wps">
            <w:drawing>
              <wp:anchor distT="0" distB="0" distL="114300" distR="114300" simplePos="0" relativeHeight="251658245" behindDoc="0" locked="0" layoutInCell="1" allowOverlap="1" wp14:anchorId="38B10191" wp14:editId="17F12E83">
                <wp:simplePos x="0" y="0"/>
                <wp:positionH relativeFrom="margin">
                  <wp:posOffset>102622</wp:posOffset>
                </wp:positionH>
                <wp:positionV relativeFrom="paragraph">
                  <wp:posOffset>144780</wp:posOffset>
                </wp:positionV>
                <wp:extent cx="4754245" cy="1239520"/>
                <wp:effectExtent l="0" t="0" r="0" b="0"/>
                <wp:wrapNone/>
                <wp:docPr id="1400656000" name="Rectangle 5"/>
                <wp:cNvGraphicFramePr/>
                <a:graphic xmlns:a="http://schemas.openxmlformats.org/drawingml/2006/main">
                  <a:graphicData uri="http://schemas.microsoft.com/office/word/2010/wordprocessingShape">
                    <wps:wsp>
                      <wps:cNvSpPr/>
                      <wps:spPr>
                        <a:xfrm>
                          <a:off x="0" y="0"/>
                          <a:ext cx="4754245" cy="12395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6FB7EA" w14:textId="45745914" w:rsidR="00EF7B8D" w:rsidRPr="00FD561C" w:rsidRDefault="00EF7B8D" w:rsidP="003F10AF">
                            <w:pPr>
                              <w:spacing w:after="0"/>
                              <w:jc w:val="right"/>
                              <w:rPr>
                                <w:rFonts w:ascii="Times New Roman" w:hAnsi="Times New Roman" w:cs="Times New Roman"/>
                                <w:b/>
                                <w:bCs/>
                                <w:color w:val="000000" w:themeColor="text1"/>
                                <w:sz w:val="44"/>
                                <w:szCs w:val="44"/>
                              </w:rPr>
                            </w:pPr>
                            <w:r w:rsidRPr="00FD561C">
                              <w:rPr>
                                <w:rFonts w:ascii="Times New Roman" w:hAnsi="Times New Roman" w:cs="Times New Roman"/>
                                <w:b/>
                                <w:bCs/>
                                <w:color w:val="000000" w:themeColor="text1"/>
                                <w:sz w:val="44"/>
                                <w:szCs w:val="44"/>
                              </w:rPr>
                              <w:t>Strategjia Ndërsektoriale e Reformës në Administratën Publike</w:t>
                            </w:r>
                            <w:r>
                              <w:rPr>
                                <w:rFonts w:ascii="Times New Roman" w:hAnsi="Times New Roman" w:cs="Times New Roman"/>
                                <w:b/>
                                <w:bCs/>
                                <w:color w:val="000000" w:themeColor="text1"/>
                                <w:sz w:val="44"/>
                                <w:szCs w:val="44"/>
                              </w:rPr>
                              <w:t xml:space="preserve"> </w:t>
                            </w:r>
                            <w:r w:rsidRPr="00FD561C">
                              <w:rPr>
                                <w:rFonts w:ascii="Times New Roman" w:hAnsi="Times New Roman" w:cs="Times New Roman"/>
                                <w:b/>
                                <w:bCs/>
                                <w:color w:val="000000" w:themeColor="text1"/>
                                <w:sz w:val="44"/>
                                <w:szCs w:val="44"/>
                              </w:rPr>
                              <w:t>2025-2030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10191" id="Rectangle 5" o:spid="_x0000_s1027" style="position:absolute;margin-left:8.1pt;margin-top:11.4pt;width:374.35pt;height:97.6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" filled="f" stroked="f" strokeweight="1pt">
                <v:textbox>
                  <w:txbxContent>
                    <w:p w14:paraId="346FB7EA" w14:textId="45745914" w:rsidR="00EF7B8D" w:rsidRPr="00FD561C" w:rsidRDefault="00EF7B8D" w:rsidP="003F10AF">
                      <w:pPr>
                        <w:spacing w:after="0"/>
                        <w:jc w:val="right"/>
                        <w:rPr>
                          <w:rFonts w:ascii="Times New Roman" w:hAnsi="Times New Roman" w:cs="Times New Roman"/>
                          <w:b/>
                          <w:bCs/>
                          <w:color w:val="000000" w:themeColor="text1"/>
                          <w:sz w:val="44"/>
                          <w:szCs w:val="44"/>
                        </w:rPr>
                      </w:pPr>
                      <w:r w:rsidRPr="00FD561C">
                        <w:rPr>
                          <w:rFonts w:ascii="Times New Roman" w:hAnsi="Times New Roman" w:cs="Times New Roman"/>
                          <w:b/>
                          <w:bCs/>
                          <w:color w:val="000000" w:themeColor="text1"/>
                          <w:sz w:val="44"/>
                          <w:szCs w:val="44"/>
                        </w:rPr>
                        <w:t>Strategjia Ndërsektoriale e Reformës në Administratën Publike</w:t>
                      </w:r>
                      <w:r>
                        <w:rPr>
                          <w:rFonts w:ascii="Times New Roman" w:hAnsi="Times New Roman" w:cs="Times New Roman"/>
                          <w:b/>
                          <w:bCs/>
                          <w:color w:val="000000" w:themeColor="text1"/>
                          <w:sz w:val="44"/>
                          <w:szCs w:val="44"/>
                        </w:rPr>
                        <w:t xml:space="preserve"> </w:t>
                      </w:r>
                      <w:r w:rsidRPr="00FD561C">
                        <w:rPr>
                          <w:rFonts w:ascii="Times New Roman" w:hAnsi="Times New Roman" w:cs="Times New Roman"/>
                          <w:b/>
                          <w:bCs/>
                          <w:color w:val="000000" w:themeColor="text1"/>
                          <w:sz w:val="44"/>
                          <w:szCs w:val="44"/>
                        </w:rPr>
                        <w:t>2025-2030</w:t>
                      </w:r>
                    </w:p>
                  </w:txbxContent>
                </v:textbox>
                <w10:wrap anchorx="margin"/>
              </v:rect>
            </w:pict>
          </mc:Fallback>
        </mc:AlternateContent>
      </w:r>
    </w:p>
    <w:p w14:paraId="3BDCF6CF" w14:textId="1416438E" w:rsidR="00AF3F12" w:rsidRPr="00641640" w:rsidRDefault="00AF3F12" w:rsidP="004C568D">
      <w:pPr>
        <w:spacing w:after="0"/>
        <w:rPr>
          <w:rFonts w:ascii="Times New Roman" w:hAnsi="Times New Roman" w:cs="Times New Roman"/>
          <w:b/>
          <w:bCs/>
          <w:noProof/>
          <w:sz w:val="48"/>
          <w:szCs w:val="48"/>
          <w:lang w:val="sq-AL"/>
        </w:rPr>
      </w:pPr>
    </w:p>
    <w:p w14:paraId="22DC4ADD" w14:textId="527611FA" w:rsidR="006557B3" w:rsidRPr="00641640" w:rsidRDefault="006557B3">
      <w:pPr>
        <w:rPr>
          <w:rFonts w:ascii="Times New Roman" w:hAnsi="Times New Roman" w:cs="Times New Roman"/>
          <w:noProof/>
          <w:sz w:val="64"/>
          <w:szCs w:val="64"/>
          <w:lang w:val="sq-AL"/>
        </w:rPr>
      </w:pPr>
    </w:p>
    <w:p w14:paraId="1F1BF900" w14:textId="3876102D" w:rsidR="006557B3" w:rsidRPr="00641640" w:rsidRDefault="00377892">
      <w:pPr>
        <w:rPr>
          <w:rFonts w:ascii="Times New Roman" w:hAnsi="Times New Roman" w:cs="Times New Roman"/>
          <w:i/>
          <w:iCs/>
          <w:noProof/>
          <w:sz w:val="24"/>
          <w:szCs w:val="24"/>
          <w:lang w:val="sq-AL"/>
        </w:rPr>
      </w:pPr>
      <w:r w:rsidRPr="00641640">
        <w:rPr>
          <w:rFonts w:ascii="Times New Roman" w:hAnsi="Times New Roman" w:cs="Times New Roman"/>
          <w:i/>
          <w:iCs/>
          <w:noProof/>
          <w:sz w:val="28"/>
          <w:szCs w:val="28"/>
          <w:lang w:val="sq-AL"/>
        </w:rPr>
        <w:t xml:space="preserve">                                                                                  </w:t>
      </w:r>
      <w:r w:rsidR="00FA75C4" w:rsidRPr="00641640">
        <w:rPr>
          <w:rFonts w:ascii="Times New Roman" w:hAnsi="Times New Roman" w:cs="Times New Roman"/>
          <w:i/>
          <w:iCs/>
          <w:noProof/>
          <w:sz w:val="28"/>
          <w:szCs w:val="28"/>
          <w:lang w:val="sq-AL"/>
        </w:rPr>
        <w:t xml:space="preserve"> </w:t>
      </w:r>
      <w:bookmarkStart w:id="0" w:name="_Hlk205196740"/>
      <w:r w:rsidRPr="00641640">
        <w:rPr>
          <w:rFonts w:ascii="Times New Roman" w:hAnsi="Times New Roman" w:cs="Times New Roman"/>
          <w:i/>
          <w:iCs/>
          <w:noProof/>
          <w:sz w:val="24"/>
          <w:szCs w:val="24"/>
          <w:lang w:val="sq-AL"/>
        </w:rPr>
        <w:t>Shqipëria 2030:</w:t>
      </w:r>
    </w:p>
    <w:p w14:paraId="2047878A" w14:textId="61EB2F09" w:rsidR="00377892" w:rsidRPr="00641640" w:rsidRDefault="0002513C">
      <w:pPr>
        <w:rPr>
          <w:rFonts w:ascii="Times New Roman" w:hAnsi="Times New Roman" w:cs="Times New Roman"/>
          <w:i/>
          <w:iCs/>
          <w:noProof/>
          <w:sz w:val="28"/>
          <w:szCs w:val="28"/>
          <w:lang w:val="sq-AL"/>
        </w:rPr>
      </w:pPr>
      <w:r w:rsidRPr="00641640">
        <w:rPr>
          <w:rFonts w:ascii="Times New Roman" w:hAnsi="Times New Roman" w:cs="Times New Roman"/>
          <w:i/>
          <w:iCs/>
          <w:noProof/>
          <w:sz w:val="28"/>
          <w:szCs w:val="28"/>
        </w:rPr>
        <mc:AlternateContent>
          <mc:Choice Requires="wps">
            <w:drawing>
              <wp:anchor distT="0" distB="0" distL="114300" distR="114300" simplePos="0" relativeHeight="251658244" behindDoc="0" locked="0" layoutInCell="1" allowOverlap="1" wp14:anchorId="76F66DA1" wp14:editId="791E0A1B">
                <wp:simplePos x="0" y="0"/>
                <wp:positionH relativeFrom="column">
                  <wp:posOffset>294198</wp:posOffset>
                </wp:positionH>
                <wp:positionV relativeFrom="paragraph">
                  <wp:posOffset>100882</wp:posOffset>
                </wp:positionV>
                <wp:extent cx="4484536" cy="1518699"/>
                <wp:effectExtent l="0" t="0" r="0" b="0"/>
                <wp:wrapNone/>
                <wp:docPr id="1542379524" name="Rectangle 4"/>
                <wp:cNvGraphicFramePr/>
                <a:graphic xmlns:a="http://schemas.openxmlformats.org/drawingml/2006/main">
                  <a:graphicData uri="http://schemas.microsoft.com/office/word/2010/wordprocessingShape">
                    <wps:wsp>
                      <wps:cNvSpPr/>
                      <wps:spPr>
                        <a:xfrm>
                          <a:off x="0" y="0"/>
                          <a:ext cx="4484536" cy="151869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6D6D0F" w14:textId="567F8455" w:rsidR="00EF7B8D" w:rsidRPr="0089579E" w:rsidRDefault="00EF7B8D" w:rsidP="00FA75C4">
                            <w:pPr>
                              <w:jc w:val="both"/>
                              <w:rPr>
                                <w:rFonts w:ascii="Times New Roman" w:hAnsi="Times New Roman" w:cs="Times New Roman"/>
                                <w:bCs/>
                                <w:i/>
                                <w:iCs/>
                                <w:color w:val="000000" w:themeColor="text1"/>
                                <w:sz w:val="24"/>
                                <w:szCs w:val="24"/>
                              </w:rPr>
                            </w:pPr>
                            <w:r w:rsidRPr="0089579E">
                              <w:rPr>
                                <w:rFonts w:ascii="Times New Roman" w:hAnsi="Times New Roman" w:cs="Times New Roman"/>
                                <w:bCs/>
                                <w:i/>
                                <w:iCs/>
                                <w:color w:val="000000" w:themeColor="text1"/>
                                <w:sz w:val="24"/>
                                <w:szCs w:val="24"/>
                                <w:lang w:val="sq-AL"/>
                              </w:rPr>
                              <w:t>Konsolidimi i një administrate publike profesionale, efikase, inovative dhe e motivuar,  që vepron në përputhje me standardet evropiane dhe parimet e zhvillimit të qëndrueshëm, dhe që ka aftësinë dhe mjetet e nevojshme në dispozicion për ta përgatitur Shqipërinë për procesin historik të aderimit në Bashkimin Evropian.</w:t>
                            </w:r>
                          </w:p>
                          <w:p w14:paraId="02A44DEB" w14:textId="77777777" w:rsidR="00EF7B8D" w:rsidRDefault="00EF7B8D" w:rsidP="000251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66DA1" id="Rectangle 4" o:spid="_x0000_s1028" style="position:absolute;margin-left:23.15pt;margin-top:7.95pt;width:353.1pt;height:119.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" filled="f" stroked="f" strokeweight="1pt">
                <v:textbox>
                  <w:txbxContent>
                    <w:p w14:paraId="686D6D0F" w14:textId="567F8455" w:rsidR="00EF7B8D" w:rsidRPr="0089579E" w:rsidRDefault="00EF7B8D" w:rsidP="00FA75C4">
                      <w:pPr>
                        <w:jc w:val="both"/>
                        <w:rPr>
                          <w:rFonts w:ascii="Times New Roman" w:hAnsi="Times New Roman" w:cs="Times New Roman"/>
                          <w:bCs/>
                          <w:i/>
                          <w:iCs/>
                          <w:color w:val="000000" w:themeColor="text1"/>
                          <w:sz w:val="24"/>
                          <w:szCs w:val="24"/>
                        </w:rPr>
                      </w:pPr>
                      <w:r w:rsidRPr="0089579E">
                        <w:rPr>
                          <w:rFonts w:ascii="Times New Roman" w:hAnsi="Times New Roman" w:cs="Times New Roman"/>
                          <w:bCs/>
                          <w:i/>
                          <w:iCs/>
                          <w:color w:val="000000" w:themeColor="text1"/>
                          <w:sz w:val="24"/>
                          <w:szCs w:val="24"/>
                          <w:lang w:val="sq-AL"/>
                        </w:rPr>
                        <w:t>Konsolidimi i një administrate publike profesionale, efikase, inovative dhe e motivuar,  që vepron në përputhje me standardet evropiane dhe parimet e zhvillimit të qëndrueshëm, dhe që ka aftësinë dhe mjetet e nevojshme në dispozicion për ta përgatitur Shqipërinë për procesin historik të aderimit në Bashkimin Evropian.</w:t>
                      </w:r>
                    </w:p>
                    <w:p w14:paraId="02A44DEB" w14:textId="77777777" w:rsidR="00EF7B8D" w:rsidRDefault="00EF7B8D" w:rsidP="0002513C">
                      <w:pPr>
                        <w:jc w:val="center"/>
                      </w:pPr>
                    </w:p>
                  </w:txbxContent>
                </v:textbox>
              </v:rect>
            </w:pict>
          </mc:Fallback>
        </mc:AlternateContent>
      </w:r>
    </w:p>
    <w:p w14:paraId="4844454F" w14:textId="1DB272CF" w:rsidR="0002513C" w:rsidRPr="00641640" w:rsidRDefault="0002513C">
      <w:pPr>
        <w:rPr>
          <w:rFonts w:ascii="Times New Roman" w:hAnsi="Times New Roman" w:cs="Times New Roman"/>
          <w:i/>
          <w:iCs/>
          <w:noProof/>
          <w:sz w:val="28"/>
          <w:szCs w:val="28"/>
          <w:lang w:val="sq-AL"/>
        </w:rPr>
      </w:pPr>
    </w:p>
    <w:p w14:paraId="4703F3B6" w14:textId="77777777" w:rsidR="005855B5" w:rsidRPr="00641640" w:rsidRDefault="005855B5">
      <w:pPr>
        <w:rPr>
          <w:rFonts w:ascii="Times New Roman" w:hAnsi="Times New Roman" w:cs="Times New Roman"/>
          <w:b/>
          <w:bCs/>
          <w:i/>
          <w:iCs/>
          <w:noProof/>
          <w:sz w:val="64"/>
          <w:szCs w:val="64"/>
          <w:lang w:val="sq-AL"/>
        </w:rPr>
      </w:pPr>
    </w:p>
    <w:bookmarkEnd w:id="0"/>
    <w:p w14:paraId="64E5AD6F" w14:textId="77777777" w:rsidR="005855B5" w:rsidRPr="00641640" w:rsidRDefault="005855B5">
      <w:pPr>
        <w:rPr>
          <w:rFonts w:ascii="Times New Roman" w:hAnsi="Times New Roman" w:cs="Times New Roman"/>
          <w:b/>
          <w:bCs/>
          <w:noProof/>
          <w:sz w:val="64"/>
          <w:szCs w:val="64"/>
          <w:lang w:val="sq-AL"/>
        </w:rPr>
      </w:pPr>
    </w:p>
    <w:p w14:paraId="36694271" w14:textId="77777777" w:rsidR="005855B5" w:rsidRPr="00641640" w:rsidRDefault="005855B5">
      <w:pPr>
        <w:rPr>
          <w:rFonts w:ascii="Times New Roman" w:hAnsi="Times New Roman" w:cs="Times New Roman"/>
          <w:b/>
          <w:bCs/>
          <w:noProof/>
          <w:sz w:val="64"/>
          <w:szCs w:val="64"/>
          <w:lang w:val="sq-AL"/>
        </w:rPr>
      </w:pPr>
    </w:p>
    <w:p w14:paraId="47FF1F39" w14:textId="77777777" w:rsidR="00377892" w:rsidRPr="00641640" w:rsidRDefault="00377892" w:rsidP="00DC1502">
      <w:pPr>
        <w:spacing w:after="0"/>
        <w:jc w:val="both"/>
        <w:rPr>
          <w:rFonts w:ascii="Times New Roman" w:hAnsi="Times New Roman" w:cs="Times New Roman"/>
          <w:b/>
          <w:noProof/>
          <w:lang w:val="sq-AL"/>
        </w:rPr>
      </w:pPr>
    </w:p>
    <w:p w14:paraId="2CF557A8" w14:textId="77777777" w:rsidR="0002513C" w:rsidRPr="00641640" w:rsidRDefault="0002513C" w:rsidP="00DC1502">
      <w:pPr>
        <w:spacing w:after="0"/>
        <w:jc w:val="both"/>
        <w:rPr>
          <w:rFonts w:ascii="Times New Roman" w:hAnsi="Times New Roman" w:cs="Times New Roman"/>
          <w:b/>
          <w:noProof/>
          <w:lang w:val="sq-AL"/>
        </w:rPr>
      </w:pPr>
    </w:p>
    <w:p w14:paraId="7151D59E" w14:textId="77777777" w:rsidR="0002513C" w:rsidRPr="00641640" w:rsidRDefault="0002513C" w:rsidP="00DC1502">
      <w:pPr>
        <w:spacing w:after="0"/>
        <w:jc w:val="both"/>
        <w:rPr>
          <w:rFonts w:ascii="Times New Roman" w:hAnsi="Times New Roman" w:cs="Times New Roman"/>
          <w:b/>
          <w:noProof/>
          <w:lang w:val="sq-AL"/>
        </w:rPr>
      </w:pPr>
    </w:p>
    <w:p w14:paraId="1F8A27B3" w14:textId="77777777" w:rsidR="00377892" w:rsidRPr="00641640" w:rsidRDefault="00377892" w:rsidP="00DC1502">
      <w:pPr>
        <w:spacing w:after="0"/>
        <w:jc w:val="both"/>
        <w:rPr>
          <w:rFonts w:ascii="Times New Roman" w:hAnsi="Times New Roman" w:cs="Times New Roman"/>
          <w:b/>
          <w:noProof/>
          <w:lang w:val="sq-AL"/>
        </w:rPr>
      </w:pPr>
    </w:p>
    <w:p w14:paraId="3123C1CE" w14:textId="77777777" w:rsidR="00FA2F58" w:rsidRPr="00641640" w:rsidRDefault="00FA2F58" w:rsidP="00DC1502">
      <w:pPr>
        <w:spacing w:after="0"/>
        <w:jc w:val="both"/>
        <w:rPr>
          <w:rFonts w:ascii="Times New Roman" w:hAnsi="Times New Roman" w:cs="Times New Roman"/>
          <w:b/>
          <w:noProof/>
          <w:lang w:val="sq-AL"/>
        </w:rPr>
      </w:pPr>
    </w:p>
    <w:p w14:paraId="6A101552" w14:textId="210E766A" w:rsidR="00DC1502" w:rsidRPr="00641640" w:rsidRDefault="00DC1FE3" w:rsidP="00DC1502">
      <w:pPr>
        <w:spacing w:after="0"/>
        <w:jc w:val="both"/>
        <w:rPr>
          <w:rFonts w:ascii="Times New Roman" w:hAnsi="Times New Roman" w:cs="Times New Roman"/>
          <w:b/>
          <w:noProof/>
          <w:lang w:val="sq-AL"/>
        </w:rPr>
      </w:pPr>
      <w:bookmarkStart w:id="1" w:name="_Hlk205196787"/>
      <w:r w:rsidRPr="00641640">
        <w:rPr>
          <w:rFonts w:ascii="Times New Roman" w:hAnsi="Times New Roman" w:cs="Times New Roman"/>
          <w:b/>
          <w:noProof/>
          <w:lang w:val="sq-AL"/>
        </w:rPr>
        <w:t>Falenderime</w:t>
      </w:r>
    </w:p>
    <w:p w14:paraId="1B5184BC" w14:textId="00B6D748" w:rsidR="00DC1502" w:rsidRPr="00641640" w:rsidRDefault="00DC1502" w:rsidP="00DC1502">
      <w:pPr>
        <w:spacing w:after="0"/>
        <w:jc w:val="both"/>
        <w:rPr>
          <w:rFonts w:ascii="Times New Roman" w:hAnsi="Times New Roman" w:cs="Times New Roman"/>
          <w:noProof/>
          <w:lang w:val="sq-AL"/>
        </w:rPr>
      </w:pPr>
    </w:p>
    <w:p w14:paraId="43DED183" w14:textId="4F4D78C1" w:rsidR="00286861" w:rsidRPr="00A12855" w:rsidRDefault="003130C0" w:rsidP="003130C0">
      <w:pPr>
        <w:spacing w:after="0"/>
        <w:jc w:val="both"/>
        <w:rPr>
          <w:rFonts w:ascii="Times New Roman" w:hAnsi="Times New Roman" w:cs="Times New Roman"/>
          <w:noProof/>
          <w:lang w:val="sq-AL"/>
        </w:rPr>
      </w:pPr>
      <w:r w:rsidRPr="00641640">
        <w:rPr>
          <w:rFonts w:ascii="Times New Roman" w:hAnsi="Times New Roman" w:cs="Times New Roman"/>
          <w:noProof/>
          <w:lang w:val="sq-AL"/>
        </w:rPr>
        <w:t>Strategjia Nd</w:t>
      </w:r>
      <w:r w:rsidR="00DC1FE3" w:rsidRPr="00641640">
        <w:rPr>
          <w:rFonts w:ascii="Times New Roman" w:hAnsi="Times New Roman" w:cs="Times New Roman"/>
          <w:noProof/>
          <w:lang w:val="sq-AL"/>
        </w:rPr>
        <w:t>ë</w:t>
      </w:r>
      <w:r w:rsidRPr="00641640">
        <w:rPr>
          <w:rFonts w:ascii="Times New Roman" w:hAnsi="Times New Roman" w:cs="Times New Roman"/>
          <w:noProof/>
          <w:lang w:val="sq-AL"/>
        </w:rPr>
        <w:t>rsektoriale p</w:t>
      </w:r>
      <w:r w:rsidR="00DC1FE3" w:rsidRPr="00641640">
        <w:rPr>
          <w:rFonts w:ascii="Times New Roman" w:hAnsi="Times New Roman" w:cs="Times New Roman"/>
          <w:noProof/>
          <w:lang w:val="sq-AL"/>
        </w:rPr>
        <w:t>ë</w:t>
      </w:r>
      <w:r w:rsidRPr="00641640">
        <w:rPr>
          <w:rFonts w:ascii="Times New Roman" w:hAnsi="Times New Roman" w:cs="Times New Roman"/>
          <w:noProof/>
          <w:lang w:val="sq-AL"/>
        </w:rPr>
        <w:t>r Reform</w:t>
      </w:r>
      <w:r w:rsidR="00DC1FE3" w:rsidRPr="00641640">
        <w:rPr>
          <w:rFonts w:ascii="Times New Roman" w:hAnsi="Times New Roman" w:cs="Times New Roman"/>
          <w:noProof/>
          <w:lang w:val="sq-AL"/>
        </w:rPr>
        <w:t>ë</w:t>
      </w:r>
      <w:r w:rsidRPr="00641640">
        <w:rPr>
          <w:rFonts w:ascii="Times New Roman" w:hAnsi="Times New Roman" w:cs="Times New Roman"/>
          <w:noProof/>
          <w:lang w:val="sq-AL"/>
        </w:rPr>
        <w:t>n n</w:t>
      </w:r>
      <w:r w:rsidR="00DC1FE3" w:rsidRPr="00641640">
        <w:rPr>
          <w:rFonts w:ascii="Times New Roman" w:hAnsi="Times New Roman" w:cs="Times New Roman"/>
          <w:noProof/>
          <w:lang w:val="sq-AL"/>
        </w:rPr>
        <w:t>ë</w:t>
      </w:r>
      <w:r w:rsidRPr="00641640">
        <w:rPr>
          <w:rFonts w:ascii="Times New Roman" w:hAnsi="Times New Roman" w:cs="Times New Roman"/>
          <w:noProof/>
          <w:lang w:val="sq-AL"/>
        </w:rPr>
        <w:t xml:space="preserve"> Administrat</w:t>
      </w:r>
      <w:r w:rsidR="00DC1FE3" w:rsidRPr="00641640">
        <w:rPr>
          <w:rFonts w:ascii="Times New Roman" w:hAnsi="Times New Roman" w:cs="Times New Roman"/>
          <w:noProof/>
          <w:lang w:val="sq-AL"/>
        </w:rPr>
        <w:t>ë</w:t>
      </w:r>
      <w:r w:rsidRPr="00641640">
        <w:rPr>
          <w:rFonts w:ascii="Times New Roman" w:hAnsi="Times New Roman" w:cs="Times New Roman"/>
          <w:noProof/>
          <w:lang w:val="sq-AL"/>
        </w:rPr>
        <w:t xml:space="preserve">n Publike </w:t>
      </w:r>
      <w:r w:rsidR="00286861" w:rsidRPr="00641640">
        <w:rPr>
          <w:rFonts w:ascii="Times New Roman" w:hAnsi="Times New Roman" w:cs="Times New Roman"/>
          <w:noProof/>
          <w:lang w:val="sq-AL"/>
        </w:rPr>
        <w:t>është hartuar nën drejtimin e Ministrit të Shtetit për Administratën Pu</w:t>
      </w:r>
      <w:r w:rsidRPr="00641640">
        <w:rPr>
          <w:rFonts w:ascii="Times New Roman" w:hAnsi="Times New Roman" w:cs="Times New Roman"/>
          <w:noProof/>
          <w:lang w:val="sq-AL"/>
        </w:rPr>
        <w:t>bl</w:t>
      </w:r>
      <w:r w:rsidR="00DC1FE3" w:rsidRPr="00641640">
        <w:rPr>
          <w:rFonts w:ascii="Times New Roman" w:hAnsi="Times New Roman" w:cs="Times New Roman"/>
          <w:noProof/>
          <w:lang w:val="sq-AL"/>
        </w:rPr>
        <w:t xml:space="preserve">ike dhe Antikorrupsionin, me punën teknike të Departamentit të Administratës </w:t>
      </w:r>
      <w:r w:rsidR="00DC1FE3" w:rsidRPr="00A12855">
        <w:rPr>
          <w:rFonts w:ascii="Times New Roman" w:hAnsi="Times New Roman" w:cs="Times New Roman"/>
          <w:noProof/>
          <w:lang w:val="sq-AL"/>
        </w:rPr>
        <w:t xml:space="preserve">Publike. Kjo Strategji reflekton vizionin ambicioz të </w:t>
      </w:r>
      <w:r w:rsidR="00286861" w:rsidRPr="00A12855">
        <w:rPr>
          <w:rFonts w:ascii="Times New Roman" w:hAnsi="Times New Roman" w:cs="Times New Roman"/>
          <w:noProof/>
          <w:lang w:val="sq-AL"/>
        </w:rPr>
        <w:t>Qeverisë Shqiptare për reformimin e thell</w:t>
      </w:r>
      <w:r w:rsidR="00DC1FE3" w:rsidRPr="00A12855">
        <w:rPr>
          <w:rFonts w:ascii="Times New Roman" w:hAnsi="Times New Roman" w:cs="Times New Roman"/>
          <w:noProof/>
          <w:lang w:val="sq-AL"/>
        </w:rPr>
        <w:t>ë</w:t>
      </w:r>
      <w:r w:rsidR="00286861" w:rsidRPr="00A12855">
        <w:rPr>
          <w:rFonts w:ascii="Times New Roman" w:hAnsi="Times New Roman" w:cs="Times New Roman"/>
          <w:noProof/>
          <w:lang w:val="sq-AL"/>
        </w:rPr>
        <w:t xml:space="preserve"> dhe transformativ t</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 xml:space="preserve"> administrat</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s</w:t>
      </w:r>
      <w:r w:rsidR="00286861" w:rsidRPr="00A12855">
        <w:rPr>
          <w:rFonts w:ascii="Times New Roman" w:hAnsi="Times New Roman" w:cs="Times New Roman"/>
          <w:noProof/>
          <w:lang w:val="sq-AL"/>
        </w:rPr>
        <w:t xml:space="preserve"> publike shqiptare</w:t>
      </w:r>
      <w:r w:rsidRPr="00A12855">
        <w:rPr>
          <w:rFonts w:ascii="Times New Roman" w:hAnsi="Times New Roman" w:cs="Times New Roman"/>
          <w:noProof/>
          <w:lang w:val="sq-AL"/>
        </w:rPr>
        <w:t>, në përputhje me</w:t>
      </w:r>
      <w:r w:rsidR="00286861" w:rsidRPr="00A12855">
        <w:rPr>
          <w:rFonts w:ascii="Times New Roman" w:hAnsi="Times New Roman" w:cs="Times New Roman"/>
          <w:noProof/>
          <w:lang w:val="sq-AL"/>
        </w:rPr>
        <w:t xml:space="preserve"> standardet</w:t>
      </w:r>
      <w:r w:rsidRPr="00A12855">
        <w:rPr>
          <w:rFonts w:ascii="Times New Roman" w:hAnsi="Times New Roman" w:cs="Times New Roman"/>
          <w:noProof/>
          <w:lang w:val="sq-AL"/>
        </w:rPr>
        <w:t xml:space="preserve"> dhe praktikat më të mira</w:t>
      </w:r>
      <w:r w:rsidR="00286861" w:rsidRPr="00A12855">
        <w:rPr>
          <w:rFonts w:ascii="Times New Roman" w:hAnsi="Times New Roman" w:cs="Times New Roman"/>
          <w:noProof/>
          <w:lang w:val="sq-AL"/>
        </w:rPr>
        <w:t xml:space="preserve"> evropiane dhe nd</w:t>
      </w:r>
      <w:r w:rsidR="00DC1FE3" w:rsidRPr="00A12855">
        <w:rPr>
          <w:rFonts w:ascii="Times New Roman" w:hAnsi="Times New Roman" w:cs="Times New Roman"/>
          <w:noProof/>
          <w:lang w:val="sq-AL"/>
        </w:rPr>
        <w:t>ë</w:t>
      </w:r>
      <w:r w:rsidR="00286861" w:rsidRPr="00A12855">
        <w:rPr>
          <w:rFonts w:ascii="Times New Roman" w:hAnsi="Times New Roman" w:cs="Times New Roman"/>
          <w:noProof/>
          <w:lang w:val="sq-AL"/>
        </w:rPr>
        <w:t>rkomb</w:t>
      </w:r>
      <w:r w:rsidR="00DC1FE3" w:rsidRPr="00A12855">
        <w:rPr>
          <w:rFonts w:ascii="Times New Roman" w:hAnsi="Times New Roman" w:cs="Times New Roman"/>
          <w:noProof/>
          <w:lang w:val="sq-AL"/>
        </w:rPr>
        <w:t>ë</w:t>
      </w:r>
      <w:r w:rsidR="00286861" w:rsidRPr="00A12855">
        <w:rPr>
          <w:rFonts w:ascii="Times New Roman" w:hAnsi="Times New Roman" w:cs="Times New Roman"/>
          <w:noProof/>
          <w:lang w:val="sq-AL"/>
        </w:rPr>
        <w:t>tare. N</w:t>
      </w:r>
      <w:r w:rsidR="00DC1FE3" w:rsidRPr="00A12855">
        <w:rPr>
          <w:rFonts w:ascii="Times New Roman" w:hAnsi="Times New Roman" w:cs="Times New Roman"/>
          <w:noProof/>
          <w:lang w:val="sq-AL"/>
        </w:rPr>
        <w:t>ë</w:t>
      </w:r>
      <w:r w:rsidR="00286861" w:rsidRPr="00A12855">
        <w:rPr>
          <w:rFonts w:ascii="Times New Roman" w:hAnsi="Times New Roman" w:cs="Times New Roman"/>
          <w:noProof/>
          <w:lang w:val="sq-AL"/>
        </w:rPr>
        <w:t xml:space="preserve"> rrug</w:t>
      </w:r>
      <w:r w:rsidR="00DC1FE3" w:rsidRPr="00A12855">
        <w:rPr>
          <w:rFonts w:ascii="Times New Roman" w:hAnsi="Times New Roman" w:cs="Times New Roman"/>
          <w:noProof/>
          <w:lang w:val="sq-AL"/>
        </w:rPr>
        <w:t>ë</w:t>
      </w:r>
      <w:r w:rsidR="00286861" w:rsidRPr="00A12855">
        <w:rPr>
          <w:rFonts w:ascii="Times New Roman" w:hAnsi="Times New Roman" w:cs="Times New Roman"/>
          <w:noProof/>
          <w:lang w:val="sq-AL"/>
        </w:rPr>
        <w:t>n historike t</w:t>
      </w:r>
      <w:r w:rsidR="00DC1FE3" w:rsidRPr="00A12855">
        <w:rPr>
          <w:rFonts w:ascii="Times New Roman" w:hAnsi="Times New Roman" w:cs="Times New Roman"/>
          <w:noProof/>
          <w:lang w:val="sq-AL"/>
        </w:rPr>
        <w:t>ë</w:t>
      </w:r>
      <w:r w:rsidR="00286861" w:rsidRPr="00A12855">
        <w:rPr>
          <w:rFonts w:ascii="Times New Roman" w:hAnsi="Times New Roman" w:cs="Times New Roman"/>
          <w:noProof/>
          <w:lang w:val="sq-AL"/>
        </w:rPr>
        <w:t xml:space="preserve"> Shqip</w:t>
      </w:r>
      <w:r w:rsidR="00DC1FE3" w:rsidRPr="00A12855">
        <w:rPr>
          <w:rFonts w:ascii="Times New Roman" w:hAnsi="Times New Roman" w:cs="Times New Roman"/>
          <w:noProof/>
          <w:lang w:val="sq-AL"/>
        </w:rPr>
        <w:t>ë</w:t>
      </w:r>
      <w:r w:rsidR="00286861" w:rsidRPr="00A12855">
        <w:rPr>
          <w:rFonts w:ascii="Times New Roman" w:hAnsi="Times New Roman" w:cs="Times New Roman"/>
          <w:noProof/>
          <w:lang w:val="sq-AL"/>
        </w:rPr>
        <w:t>ris</w:t>
      </w:r>
      <w:r w:rsidR="00DC1FE3" w:rsidRPr="00A12855">
        <w:rPr>
          <w:rFonts w:ascii="Times New Roman" w:hAnsi="Times New Roman" w:cs="Times New Roman"/>
          <w:noProof/>
          <w:lang w:val="sq-AL"/>
        </w:rPr>
        <w:t>ë</w:t>
      </w:r>
      <w:r w:rsidR="00286861" w:rsidRPr="00A12855">
        <w:rPr>
          <w:rFonts w:ascii="Times New Roman" w:hAnsi="Times New Roman" w:cs="Times New Roman"/>
          <w:noProof/>
          <w:lang w:val="sq-AL"/>
        </w:rPr>
        <w:t xml:space="preserve"> drejt Bashkimit Evropian, n</w:t>
      </w:r>
      <w:r w:rsidRPr="00A12855">
        <w:rPr>
          <w:rFonts w:ascii="Times New Roman" w:hAnsi="Times New Roman" w:cs="Times New Roman"/>
          <w:noProof/>
          <w:lang w:val="sq-AL"/>
        </w:rPr>
        <w:t>e jemi pal</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kundshm</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risht të angazhuar p</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r ta fuqizuar dhe shnd</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rruar</w:t>
      </w:r>
      <w:r w:rsidR="00286861" w:rsidRPr="00A12855">
        <w:rPr>
          <w:rFonts w:ascii="Times New Roman" w:hAnsi="Times New Roman" w:cs="Times New Roman"/>
          <w:noProof/>
          <w:lang w:val="sq-AL"/>
        </w:rPr>
        <w:t xml:space="preserve"> administra</w:t>
      </w:r>
      <w:r w:rsidRPr="00A12855">
        <w:rPr>
          <w:rFonts w:ascii="Times New Roman" w:hAnsi="Times New Roman" w:cs="Times New Roman"/>
          <w:noProof/>
          <w:lang w:val="sq-AL"/>
        </w:rPr>
        <w:t>t</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n</w:t>
      </w:r>
      <w:r w:rsidR="00286861" w:rsidRPr="00A12855">
        <w:rPr>
          <w:rFonts w:ascii="Times New Roman" w:hAnsi="Times New Roman" w:cs="Times New Roman"/>
          <w:noProof/>
          <w:lang w:val="sq-AL"/>
        </w:rPr>
        <w:t xml:space="preserve"> publike </w:t>
      </w:r>
      <w:r w:rsidRPr="00A12855">
        <w:rPr>
          <w:rFonts w:ascii="Times New Roman" w:hAnsi="Times New Roman" w:cs="Times New Roman"/>
          <w:noProof/>
          <w:lang w:val="sq-AL"/>
        </w:rPr>
        <w:t>n</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 xml:space="preserve"> një motor t</w:t>
      </w:r>
      <w:r w:rsidR="00DC1FE3" w:rsidRPr="00A12855">
        <w:rPr>
          <w:rFonts w:ascii="Times New Roman" w:hAnsi="Times New Roman" w:cs="Times New Roman"/>
          <w:noProof/>
          <w:lang w:val="sq-AL"/>
        </w:rPr>
        <w:t>ë</w:t>
      </w:r>
      <w:r w:rsidR="00286861" w:rsidRPr="00A12855">
        <w:rPr>
          <w:rFonts w:ascii="Times New Roman" w:hAnsi="Times New Roman" w:cs="Times New Roman"/>
          <w:noProof/>
          <w:lang w:val="sq-AL"/>
        </w:rPr>
        <w:t xml:space="preserve"> zh</w:t>
      </w:r>
      <w:r w:rsidRPr="00A12855">
        <w:rPr>
          <w:rFonts w:ascii="Times New Roman" w:hAnsi="Times New Roman" w:cs="Times New Roman"/>
          <w:noProof/>
          <w:lang w:val="sq-AL"/>
        </w:rPr>
        <w:t>villimit të q</w:t>
      </w:r>
      <w:r w:rsidR="001019E6" w:rsidRPr="00A12855">
        <w:rPr>
          <w:rFonts w:ascii="Times New Roman" w:hAnsi="Times New Roman" w:cs="Times New Roman"/>
          <w:noProof/>
          <w:lang w:val="sq-AL"/>
        </w:rPr>
        <w:t>e</w:t>
      </w:r>
      <w:r w:rsidRPr="00A12855">
        <w:rPr>
          <w:rFonts w:ascii="Times New Roman" w:hAnsi="Times New Roman" w:cs="Times New Roman"/>
          <w:noProof/>
          <w:lang w:val="sq-AL"/>
        </w:rPr>
        <w:t>ndrueshëm dhe n</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 xml:space="preserve"> nj</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 xml:space="preserve"> sh</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 xml:space="preserve">rbyes efikas dhe </w:t>
      </w:r>
      <w:r w:rsidR="00286861" w:rsidRPr="00A12855">
        <w:rPr>
          <w:rFonts w:ascii="Times New Roman" w:hAnsi="Times New Roman" w:cs="Times New Roman"/>
          <w:noProof/>
          <w:lang w:val="sq-AL"/>
        </w:rPr>
        <w:t>të përgjegjshëm ndaj qytetarëve, duke garantuar një hap të sigurt për integrimin e Shqipërisë në BE.</w:t>
      </w:r>
    </w:p>
    <w:p w14:paraId="5075D187" w14:textId="77777777" w:rsidR="003130C0" w:rsidRPr="00A12855" w:rsidRDefault="003130C0" w:rsidP="003130C0">
      <w:pPr>
        <w:spacing w:after="0"/>
        <w:jc w:val="both"/>
        <w:rPr>
          <w:rFonts w:ascii="Times New Roman" w:hAnsi="Times New Roman" w:cs="Times New Roman"/>
          <w:noProof/>
          <w:lang w:val="sq-AL"/>
        </w:rPr>
      </w:pPr>
    </w:p>
    <w:p w14:paraId="52F41297" w14:textId="2124B085" w:rsidR="003130C0" w:rsidRPr="00A12855" w:rsidRDefault="003130C0" w:rsidP="003130C0">
      <w:pPr>
        <w:spacing w:after="0"/>
        <w:jc w:val="both"/>
        <w:rPr>
          <w:rFonts w:ascii="Times New Roman" w:hAnsi="Times New Roman" w:cs="Times New Roman"/>
          <w:noProof/>
          <w:lang w:val="sq-AL"/>
        </w:rPr>
      </w:pPr>
      <w:r w:rsidRPr="00A12855">
        <w:rPr>
          <w:rFonts w:ascii="Times New Roman" w:hAnsi="Times New Roman" w:cs="Times New Roman"/>
          <w:noProof/>
          <w:lang w:val="sq-AL"/>
        </w:rPr>
        <w:t xml:space="preserve">Në kuadër të procesit të negociatave për anëtarësimin në Bashkimin Evropian, Shqipëria ka hapur negociatat për dy grupe </w:t>
      </w:r>
      <w:r w:rsidR="00BB4287" w:rsidRPr="00A12855">
        <w:rPr>
          <w:rFonts w:ascii="Times New Roman" w:hAnsi="Times New Roman" w:cs="Times New Roman"/>
          <w:noProof/>
          <w:lang w:val="sq-AL"/>
        </w:rPr>
        <w:t>k</w:t>
      </w:r>
      <w:r w:rsidRPr="00A12855">
        <w:rPr>
          <w:rFonts w:ascii="Times New Roman" w:hAnsi="Times New Roman" w:cs="Times New Roman"/>
          <w:noProof/>
          <w:lang w:val="sq-AL"/>
        </w:rPr>
        <w:t>apitujsh kyç</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 Grupkapitujt I “Themeloret” dhe Grupkapitujt IV “Politika e Jashtme</w:t>
      </w:r>
      <w:r w:rsidR="003A7754" w:rsidRPr="00A12855">
        <w:rPr>
          <w:rFonts w:ascii="Times New Roman" w:hAnsi="Times New Roman" w:cs="Times New Roman"/>
          <w:noProof/>
          <w:lang w:val="sq-AL"/>
        </w:rPr>
        <w:t>”</w:t>
      </w:r>
      <w:r w:rsidRPr="00A12855">
        <w:rPr>
          <w:rFonts w:ascii="Times New Roman" w:hAnsi="Times New Roman" w:cs="Times New Roman"/>
          <w:noProof/>
          <w:lang w:val="sq-AL"/>
        </w:rPr>
        <w:t xml:space="preserve">. Reforma e Administratës Publike është thelbësore për arritjen e qëllimeve të këtyre kapitujve dhe për përafrimin e Shqipërisë me standardet e BE-së. </w:t>
      </w:r>
      <w:r w:rsidR="00DC1FE3" w:rsidRPr="00A12855">
        <w:rPr>
          <w:rFonts w:ascii="Times New Roman" w:hAnsi="Times New Roman" w:cs="Times New Roman"/>
          <w:noProof/>
          <w:lang w:val="sq-AL"/>
        </w:rPr>
        <w:t xml:space="preserve">Qeveria Shqiptare mbetet e vendosur për ta udhëhequr këtë reformë dhe për të siguruar që administrata publike të jetë një pasqyrë e suksesit të Shqipërisë drejt mishërimit në rritje të standardeve evropiane. Paketa strategjike e garanton përputhjen me këto standarde duke qenë plotësisht e harmonizuar me Udhërrëfyesin për Reformën në Administratën Publike 2023-2030, si dhe me gjetjet dhe rekomandimet e Raportit të fundit të Vlerësimit të vitit 2024 nga OECD/SIGMA, si partneri më reputativ i Shqipërisë në avancimin e kësaj reforme. </w:t>
      </w:r>
    </w:p>
    <w:p w14:paraId="06FA7E19" w14:textId="77777777" w:rsidR="00DC1FE3" w:rsidRPr="00A12855" w:rsidRDefault="00DC1FE3" w:rsidP="003130C0">
      <w:pPr>
        <w:spacing w:after="0"/>
        <w:jc w:val="both"/>
        <w:rPr>
          <w:rFonts w:ascii="Times New Roman" w:hAnsi="Times New Roman" w:cs="Times New Roman"/>
          <w:noProof/>
          <w:lang w:val="sq-AL"/>
        </w:rPr>
      </w:pPr>
    </w:p>
    <w:p w14:paraId="7FC1A8C5" w14:textId="58B83398" w:rsidR="00286861" w:rsidRPr="00641640" w:rsidRDefault="003130C0" w:rsidP="003130C0">
      <w:pPr>
        <w:spacing w:after="0"/>
        <w:jc w:val="both"/>
        <w:rPr>
          <w:rFonts w:ascii="Times New Roman" w:hAnsi="Times New Roman" w:cs="Times New Roman"/>
          <w:noProof/>
          <w:lang w:val="sq-AL"/>
        </w:rPr>
      </w:pPr>
      <w:r w:rsidRPr="00A12855">
        <w:rPr>
          <w:rFonts w:ascii="Times New Roman" w:hAnsi="Times New Roman" w:cs="Times New Roman"/>
          <w:noProof/>
          <w:lang w:val="sq-AL"/>
        </w:rPr>
        <w:t xml:space="preserve">Strategjia </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sht</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 xml:space="preserve"> finalizuar fal</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 xml:space="preserve"> nj</w:t>
      </w:r>
      <w:r w:rsidR="00DC1FE3" w:rsidRPr="00A12855">
        <w:rPr>
          <w:rFonts w:ascii="Times New Roman" w:hAnsi="Times New Roman" w:cs="Times New Roman"/>
          <w:noProof/>
          <w:lang w:val="sq-AL"/>
        </w:rPr>
        <w:t>ë</w:t>
      </w:r>
      <w:r w:rsidR="00286861" w:rsidRPr="00A12855">
        <w:rPr>
          <w:rFonts w:ascii="Times New Roman" w:hAnsi="Times New Roman" w:cs="Times New Roman"/>
          <w:noProof/>
          <w:lang w:val="sq-AL"/>
        </w:rPr>
        <w:t xml:space="preserve"> bashkëpunim</w:t>
      </w:r>
      <w:r w:rsidRPr="00A12855">
        <w:rPr>
          <w:rFonts w:ascii="Times New Roman" w:hAnsi="Times New Roman" w:cs="Times New Roman"/>
          <w:noProof/>
          <w:lang w:val="sq-AL"/>
        </w:rPr>
        <w:t>i</w:t>
      </w:r>
      <w:r w:rsidR="00286861" w:rsidRPr="00A12855">
        <w:rPr>
          <w:rFonts w:ascii="Times New Roman" w:hAnsi="Times New Roman" w:cs="Times New Roman"/>
          <w:noProof/>
          <w:lang w:val="sq-AL"/>
        </w:rPr>
        <w:t xml:space="preserve"> të ngushtë me të gjithë aktorët përkatës, </w:t>
      </w:r>
      <w:r w:rsidRPr="00A12855">
        <w:rPr>
          <w:rFonts w:ascii="Times New Roman" w:hAnsi="Times New Roman" w:cs="Times New Roman"/>
          <w:noProof/>
          <w:lang w:val="sq-AL"/>
        </w:rPr>
        <w:t>fal</w:t>
      </w:r>
      <w:r w:rsidR="00807DBE" w:rsidRPr="00A12855">
        <w:rPr>
          <w:rFonts w:ascii="Times New Roman" w:hAnsi="Times New Roman" w:cs="Times New Roman"/>
          <w:noProof/>
          <w:lang w:val="sq-AL"/>
        </w:rPr>
        <w:t>e</w:t>
      </w:r>
      <w:r w:rsidRPr="00A12855">
        <w:rPr>
          <w:rFonts w:ascii="Times New Roman" w:hAnsi="Times New Roman" w:cs="Times New Roman"/>
          <w:noProof/>
          <w:lang w:val="sq-AL"/>
        </w:rPr>
        <w:t>nderimi i t</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 xml:space="preserve"> cil</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ve</w:t>
      </w:r>
      <w:r w:rsidR="00286861" w:rsidRPr="00A12855">
        <w:rPr>
          <w:rFonts w:ascii="Times New Roman" w:hAnsi="Times New Roman" w:cs="Times New Roman"/>
          <w:noProof/>
          <w:lang w:val="sq-AL"/>
        </w:rPr>
        <w:t xml:space="preserve"> është me rëndësi të veçantë</w:t>
      </w:r>
      <w:r w:rsidRPr="00A12855">
        <w:rPr>
          <w:rFonts w:ascii="Times New Roman" w:hAnsi="Times New Roman" w:cs="Times New Roman"/>
          <w:noProof/>
          <w:lang w:val="sq-AL"/>
        </w:rPr>
        <w:t>, veçan</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risht</w:t>
      </w:r>
      <w:r w:rsidR="00286861" w:rsidRPr="00A12855">
        <w:rPr>
          <w:rFonts w:ascii="Times New Roman" w:hAnsi="Times New Roman" w:cs="Times New Roman"/>
          <w:noProof/>
          <w:lang w:val="sq-AL"/>
        </w:rPr>
        <w:t xml:space="preserve"> </w:t>
      </w:r>
      <w:r w:rsidRPr="00A12855">
        <w:rPr>
          <w:rFonts w:ascii="Times New Roman" w:hAnsi="Times New Roman" w:cs="Times New Roman"/>
          <w:noProof/>
          <w:lang w:val="sq-AL"/>
        </w:rPr>
        <w:t>p</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r</w:t>
      </w:r>
      <w:r w:rsidR="00286861" w:rsidRPr="00A12855">
        <w:rPr>
          <w:rFonts w:ascii="Times New Roman" w:hAnsi="Times New Roman" w:cs="Times New Roman"/>
          <w:noProof/>
          <w:lang w:val="sq-AL"/>
        </w:rPr>
        <w:t xml:space="preserve"> ekspertizën dhe angazhimin e tyre për të ndihmuar në </w:t>
      </w:r>
      <w:r w:rsidRPr="00A12855">
        <w:rPr>
          <w:rFonts w:ascii="Times New Roman" w:hAnsi="Times New Roman" w:cs="Times New Roman"/>
          <w:noProof/>
          <w:lang w:val="sq-AL"/>
        </w:rPr>
        <w:t>planifikimin e detajuar t</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 xml:space="preserve"> ndërtimit t</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 xml:space="preserve"> </w:t>
      </w:r>
      <w:r w:rsidR="00286861" w:rsidRPr="00A12855">
        <w:rPr>
          <w:rFonts w:ascii="Times New Roman" w:hAnsi="Times New Roman" w:cs="Times New Roman"/>
          <w:noProof/>
          <w:lang w:val="sq-AL"/>
        </w:rPr>
        <w:t xml:space="preserve">një administrate </w:t>
      </w:r>
      <w:r w:rsidRPr="00A12855">
        <w:rPr>
          <w:rFonts w:ascii="Times New Roman" w:hAnsi="Times New Roman" w:cs="Times New Roman"/>
          <w:noProof/>
          <w:lang w:val="sq-AL"/>
        </w:rPr>
        <w:t>publike t</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 xml:space="preserve"> p</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rgatitur p</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r sfidat bashk</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 xml:space="preserve">kohore. </w:t>
      </w:r>
      <w:r w:rsidR="00286861" w:rsidRPr="00A12855">
        <w:rPr>
          <w:rFonts w:ascii="Times New Roman" w:hAnsi="Times New Roman" w:cs="Times New Roman"/>
          <w:noProof/>
          <w:lang w:val="sq-AL"/>
        </w:rPr>
        <w:t>Ky dokument nuk është thjesht një plan, por një angazhim i fortë dhe një paraku</w:t>
      </w:r>
      <w:r w:rsidRPr="00A12855">
        <w:rPr>
          <w:rFonts w:ascii="Times New Roman" w:hAnsi="Times New Roman" w:cs="Times New Roman"/>
          <w:noProof/>
          <w:lang w:val="sq-AL"/>
        </w:rPr>
        <w:t>sht për t</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 xml:space="preserve"> realizuar vizionin e Shqip</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ris</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 xml:space="preserve"> n</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 xml:space="preserve"> Bashkimin Evropian n</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 xml:space="preserve"> vitin 2030</w:t>
      </w:r>
      <w:r w:rsidR="00286861" w:rsidRPr="00A12855">
        <w:rPr>
          <w:rFonts w:ascii="Times New Roman" w:hAnsi="Times New Roman" w:cs="Times New Roman"/>
          <w:noProof/>
          <w:lang w:val="sq-AL"/>
        </w:rPr>
        <w:t xml:space="preserve">, </w:t>
      </w:r>
      <w:r w:rsidRPr="00A12855">
        <w:rPr>
          <w:rFonts w:ascii="Times New Roman" w:hAnsi="Times New Roman" w:cs="Times New Roman"/>
          <w:noProof/>
          <w:lang w:val="sq-AL"/>
        </w:rPr>
        <w:t>si nj</w:t>
      </w:r>
      <w:r w:rsidR="00DC1FE3" w:rsidRPr="00A12855">
        <w:rPr>
          <w:rFonts w:ascii="Times New Roman" w:hAnsi="Times New Roman" w:cs="Times New Roman"/>
          <w:noProof/>
          <w:lang w:val="sq-AL"/>
        </w:rPr>
        <w:t>ë</w:t>
      </w:r>
      <w:r w:rsidRPr="00A12855">
        <w:rPr>
          <w:rFonts w:ascii="Times New Roman" w:hAnsi="Times New Roman" w:cs="Times New Roman"/>
          <w:noProof/>
          <w:lang w:val="sq-AL"/>
        </w:rPr>
        <w:t xml:space="preserve"> vend </w:t>
      </w:r>
      <w:r w:rsidRPr="00641640">
        <w:rPr>
          <w:rFonts w:ascii="Times New Roman" w:hAnsi="Times New Roman" w:cs="Times New Roman"/>
          <w:noProof/>
          <w:lang w:val="sq-AL"/>
        </w:rPr>
        <w:t>ku administrata publike udh</w:t>
      </w:r>
      <w:r w:rsidR="00DC1FE3" w:rsidRPr="00641640">
        <w:rPr>
          <w:rFonts w:ascii="Times New Roman" w:hAnsi="Times New Roman" w:cs="Times New Roman"/>
          <w:noProof/>
          <w:lang w:val="sq-AL"/>
        </w:rPr>
        <w:t>ë</w:t>
      </w:r>
      <w:r w:rsidRPr="00641640">
        <w:rPr>
          <w:rFonts w:ascii="Times New Roman" w:hAnsi="Times New Roman" w:cs="Times New Roman"/>
          <w:noProof/>
          <w:lang w:val="sq-AL"/>
        </w:rPr>
        <w:t>heq me shembull agjend</w:t>
      </w:r>
      <w:r w:rsidR="00DC1FE3" w:rsidRPr="00641640">
        <w:rPr>
          <w:rFonts w:ascii="Times New Roman" w:hAnsi="Times New Roman" w:cs="Times New Roman"/>
          <w:noProof/>
          <w:lang w:val="sq-AL"/>
        </w:rPr>
        <w:t>ë</w:t>
      </w:r>
      <w:r w:rsidRPr="00641640">
        <w:rPr>
          <w:rFonts w:ascii="Times New Roman" w:hAnsi="Times New Roman" w:cs="Times New Roman"/>
          <w:noProof/>
          <w:lang w:val="sq-AL"/>
        </w:rPr>
        <w:t>n transformuese t</w:t>
      </w:r>
      <w:r w:rsidR="00DC1FE3" w:rsidRPr="00641640">
        <w:rPr>
          <w:rFonts w:ascii="Times New Roman" w:hAnsi="Times New Roman" w:cs="Times New Roman"/>
          <w:noProof/>
          <w:lang w:val="sq-AL"/>
        </w:rPr>
        <w:t>ë</w:t>
      </w:r>
      <w:r w:rsidRPr="00641640">
        <w:rPr>
          <w:rFonts w:ascii="Times New Roman" w:hAnsi="Times New Roman" w:cs="Times New Roman"/>
          <w:noProof/>
          <w:lang w:val="sq-AL"/>
        </w:rPr>
        <w:t xml:space="preserve"> vendit. </w:t>
      </w:r>
    </w:p>
    <w:p w14:paraId="4374896C" w14:textId="77777777" w:rsidR="00286861" w:rsidRPr="00641640" w:rsidRDefault="00286861" w:rsidP="003130C0">
      <w:pPr>
        <w:spacing w:after="0"/>
        <w:jc w:val="both"/>
        <w:rPr>
          <w:rFonts w:ascii="Times New Roman" w:hAnsi="Times New Roman" w:cs="Times New Roman"/>
          <w:noProof/>
          <w:lang w:val="sq-AL"/>
        </w:rPr>
      </w:pPr>
    </w:p>
    <w:p w14:paraId="68C8D7D0" w14:textId="6E6BE367" w:rsidR="00286861" w:rsidRPr="00641640" w:rsidRDefault="00DC1FE3" w:rsidP="003130C0">
      <w:pPr>
        <w:spacing w:after="0"/>
        <w:jc w:val="both"/>
        <w:rPr>
          <w:rFonts w:ascii="Times New Roman" w:hAnsi="Times New Roman" w:cs="Times New Roman"/>
          <w:noProof/>
          <w:lang w:val="sq-AL"/>
        </w:rPr>
      </w:pPr>
      <w:r w:rsidRPr="00641640">
        <w:rPr>
          <w:rFonts w:ascii="Times New Roman" w:hAnsi="Times New Roman" w:cs="Times New Roman"/>
          <w:noProof/>
          <w:lang w:val="sq-AL"/>
        </w:rPr>
        <w:t xml:space="preserve">Një falënderim i veçantë shkon për </w:t>
      </w:r>
      <w:r w:rsidR="00286861" w:rsidRPr="00641640">
        <w:rPr>
          <w:rFonts w:ascii="Times New Roman" w:hAnsi="Times New Roman" w:cs="Times New Roman"/>
          <w:noProof/>
          <w:lang w:val="sq-AL"/>
        </w:rPr>
        <w:t xml:space="preserve">Shkollën Rajonale të Administratës Publike (ReSPA) për </w:t>
      </w:r>
      <w:r w:rsidRPr="00641640">
        <w:rPr>
          <w:rFonts w:ascii="Times New Roman" w:hAnsi="Times New Roman" w:cs="Times New Roman"/>
          <w:noProof/>
          <w:lang w:val="sq-AL"/>
        </w:rPr>
        <w:t>ofrimin e ekspertizës dhe mbështetjes</w:t>
      </w:r>
      <w:r w:rsidR="00286861" w:rsidRPr="00641640">
        <w:rPr>
          <w:rFonts w:ascii="Times New Roman" w:hAnsi="Times New Roman" w:cs="Times New Roman"/>
          <w:noProof/>
          <w:lang w:val="sq-AL"/>
        </w:rPr>
        <w:t xml:space="preserve"> në hartimin e </w:t>
      </w:r>
      <w:r w:rsidRPr="00641640">
        <w:rPr>
          <w:rFonts w:ascii="Times New Roman" w:hAnsi="Times New Roman" w:cs="Times New Roman"/>
          <w:noProof/>
          <w:lang w:val="sq-AL"/>
        </w:rPr>
        <w:t>draftit të parë të strategjisë, d</w:t>
      </w:r>
      <w:r w:rsidR="00286861" w:rsidRPr="00641640">
        <w:rPr>
          <w:rFonts w:ascii="Times New Roman" w:hAnsi="Times New Roman" w:cs="Times New Roman"/>
          <w:noProof/>
          <w:lang w:val="sq-AL"/>
        </w:rPr>
        <w:t>uke o</w:t>
      </w:r>
      <w:r w:rsidRPr="00641640">
        <w:rPr>
          <w:rFonts w:ascii="Times New Roman" w:hAnsi="Times New Roman" w:cs="Times New Roman"/>
          <w:noProof/>
          <w:lang w:val="sq-AL"/>
        </w:rPr>
        <w:t xml:space="preserve">fruar një platformë profesionale </w:t>
      </w:r>
      <w:r w:rsidR="00286861" w:rsidRPr="00641640">
        <w:rPr>
          <w:rFonts w:ascii="Times New Roman" w:hAnsi="Times New Roman" w:cs="Times New Roman"/>
          <w:noProof/>
          <w:lang w:val="sq-AL"/>
        </w:rPr>
        <w:t xml:space="preserve">për </w:t>
      </w:r>
      <w:r w:rsidRPr="00641640">
        <w:rPr>
          <w:rFonts w:ascii="Times New Roman" w:hAnsi="Times New Roman" w:cs="Times New Roman"/>
          <w:noProof/>
          <w:lang w:val="sq-AL"/>
        </w:rPr>
        <w:t xml:space="preserve">asistencë të avancuar dhe </w:t>
      </w:r>
      <w:r w:rsidR="00286861" w:rsidRPr="00641640">
        <w:rPr>
          <w:rFonts w:ascii="Times New Roman" w:hAnsi="Times New Roman" w:cs="Times New Roman"/>
          <w:noProof/>
          <w:lang w:val="sq-AL"/>
        </w:rPr>
        <w:t>shkëmbimin e përvoj</w:t>
      </w:r>
      <w:r w:rsidRPr="00641640">
        <w:rPr>
          <w:rFonts w:ascii="Times New Roman" w:hAnsi="Times New Roman" w:cs="Times New Roman"/>
          <w:noProof/>
          <w:lang w:val="sq-AL"/>
        </w:rPr>
        <w:t xml:space="preserve">ave dhe praktikave më të mira në punën e përditshme për avancimin e Reformës në Administratën Publike. </w:t>
      </w:r>
    </w:p>
    <w:p w14:paraId="7C0C2FC2" w14:textId="77777777" w:rsidR="00286861" w:rsidRPr="00641640" w:rsidRDefault="00286861" w:rsidP="003130C0">
      <w:pPr>
        <w:spacing w:after="0"/>
        <w:jc w:val="both"/>
        <w:rPr>
          <w:rFonts w:ascii="Times New Roman" w:hAnsi="Times New Roman" w:cs="Times New Roman"/>
          <w:noProof/>
          <w:lang w:val="sq-AL"/>
        </w:rPr>
      </w:pPr>
    </w:p>
    <w:p w14:paraId="7A912693" w14:textId="1537D608" w:rsidR="00286861" w:rsidRPr="00641640" w:rsidRDefault="00DC1FE3" w:rsidP="003130C0">
      <w:pPr>
        <w:spacing w:after="0"/>
        <w:jc w:val="both"/>
        <w:rPr>
          <w:rFonts w:ascii="Times New Roman" w:hAnsi="Times New Roman" w:cs="Times New Roman"/>
          <w:noProof/>
          <w:lang w:val="sq-AL"/>
        </w:rPr>
      </w:pPr>
      <w:r w:rsidRPr="00641640">
        <w:rPr>
          <w:rFonts w:ascii="Times New Roman" w:hAnsi="Times New Roman" w:cs="Times New Roman"/>
          <w:noProof/>
          <w:lang w:val="sq-AL"/>
        </w:rPr>
        <w:t xml:space="preserve">Gjithashtu, mirënjohja shkon edhe për </w:t>
      </w:r>
      <w:r w:rsidR="00286861" w:rsidRPr="00641640">
        <w:rPr>
          <w:rFonts w:ascii="Times New Roman" w:hAnsi="Times New Roman" w:cs="Times New Roman"/>
          <w:noProof/>
          <w:lang w:val="sq-AL"/>
        </w:rPr>
        <w:t>mbështetj</w:t>
      </w:r>
      <w:r w:rsidRPr="00641640">
        <w:rPr>
          <w:rFonts w:ascii="Times New Roman" w:hAnsi="Times New Roman" w:cs="Times New Roman"/>
          <w:noProof/>
          <w:lang w:val="sq-AL"/>
        </w:rPr>
        <w:t>en e P</w:t>
      </w:r>
      <w:r w:rsidR="00286861" w:rsidRPr="00641640">
        <w:rPr>
          <w:rFonts w:ascii="Times New Roman" w:hAnsi="Times New Roman" w:cs="Times New Roman"/>
          <w:noProof/>
          <w:lang w:val="sq-AL"/>
        </w:rPr>
        <w:t>rojek</w:t>
      </w:r>
      <w:r w:rsidRPr="00641640">
        <w:rPr>
          <w:rFonts w:ascii="Times New Roman" w:hAnsi="Times New Roman" w:cs="Times New Roman"/>
          <w:noProof/>
          <w:lang w:val="sq-AL"/>
        </w:rPr>
        <w:t>tit “BE për Mirëqeverisjen” (EU</w:t>
      </w:r>
      <w:r w:rsidR="00286861" w:rsidRPr="00641640">
        <w:rPr>
          <w:rFonts w:ascii="Times New Roman" w:hAnsi="Times New Roman" w:cs="Times New Roman"/>
          <w:noProof/>
          <w:lang w:val="sq-AL"/>
        </w:rPr>
        <w:t xml:space="preserve">4Good Governance), i financuar nga fondet IPA 2020. Ky projekt ka siguruar një mbështetje të fortë në </w:t>
      </w:r>
      <w:r w:rsidR="006D6B3F" w:rsidRPr="00641640">
        <w:rPr>
          <w:rFonts w:ascii="Times New Roman" w:hAnsi="Times New Roman" w:cs="Times New Roman"/>
          <w:noProof/>
          <w:lang w:val="sq-AL"/>
        </w:rPr>
        <w:t>pasurimin e draftit t</w:t>
      </w:r>
      <w:r w:rsidR="00F90D8B" w:rsidRPr="00641640">
        <w:rPr>
          <w:rFonts w:ascii="Times New Roman" w:hAnsi="Times New Roman" w:cs="Times New Roman"/>
          <w:noProof/>
          <w:lang w:val="sq-AL"/>
        </w:rPr>
        <w:t>ë</w:t>
      </w:r>
      <w:r w:rsidR="006D6B3F" w:rsidRPr="00641640">
        <w:rPr>
          <w:rFonts w:ascii="Times New Roman" w:hAnsi="Times New Roman" w:cs="Times New Roman"/>
          <w:noProof/>
          <w:lang w:val="sq-AL"/>
        </w:rPr>
        <w:t xml:space="preserve"> dokumentit dhe</w:t>
      </w:r>
      <w:r w:rsidRPr="00641640">
        <w:rPr>
          <w:rFonts w:ascii="Times New Roman" w:hAnsi="Times New Roman" w:cs="Times New Roman"/>
          <w:noProof/>
          <w:lang w:val="sq-AL"/>
        </w:rPr>
        <w:t xml:space="preserve"> kostimin e paketës strategjike</w:t>
      </w:r>
      <w:r w:rsidR="00286861" w:rsidRPr="00641640">
        <w:rPr>
          <w:rFonts w:ascii="Times New Roman" w:hAnsi="Times New Roman" w:cs="Times New Roman"/>
          <w:noProof/>
          <w:lang w:val="sq-AL"/>
        </w:rPr>
        <w:t>, duke garantuar që çdo hap të jetë në përputhje me normat më të larta evropiane.</w:t>
      </w:r>
    </w:p>
    <w:p w14:paraId="2D81D468" w14:textId="77777777" w:rsidR="00286861" w:rsidRPr="00641640" w:rsidRDefault="00286861" w:rsidP="003130C0">
      <w:pPr>
        <w:spacing w:after="0"/>
        <w:jc w:val="both"/>
        <w:rPr>
          <w:rFonts w:ascii="Times New Roman" w:hAnsi="Times New Roman" w:cs="Times New Roman"/>
          <w:noProof/>
          <w:lang w:val="sq-AL"/>
        </w:rPr>
      </w:pPr>
    </w:p>
    <w:p w14:paraId="1B41003B" w14:textId="49837FCB" w:rsidR="00DC1FE3" w:rsidRPr="00641640" w:rsidRDefault="003130C0" w:rsidP="003130C0">
      <w:pPr>
        <w:jc w:val="both"/>
        <w:rPr>
          <w:rFonts w:ascii="Times New Roman" w:hAnsi="Times New Roman" w:cs="Times New Roman"/>
          <w:noProof/>
          <w:lang w:val="sq-AL"/>
        </w:rPr>
      </w:pPr>
      <w:r w:rsidRPr="00641640">
        <w:rPr>
          <w:rFonts w:ascii="Times New Roman" w:hAnsi="Times New Roman" w:cs="Times New Roman"/>
          <w:noProof/>
          <w:lang w:val="sq-AL"/>
        </w:rPr>
        <w:t xml:space="preserve">Megjithatë, përgjegjësia kryesore dhe pronësia </w:t>
      </w:r>
      <w:r w:rsidR="00DC1FE3" w:rsidRPr="00641640">
        <w:rPr>
          <w:rFonts w:ascii="Times New Roman" w:hAnsi="Times New Roman" w:cs="Times New Roman"/>
          <w:noProof/>
          <w:lang w:val="sq-AL"/>
        </w:rPr>
        <w:t xml:space="preserve">e qendrueshme dhe afatgjatë e rezultateve të këtij procesi </w:t>
      </w:r>
      <w:r w:rsidRPr="00641640">
        <w:rPr>
          <w:rFonts w:ascii="Times New Roman" w:hAnsi="Times New Roman" w:cs="Times New Roman"/>
          <w:noProof/>
          <w:lang w:val="sq-AL"/>
        </w:rPr>
        <w:t>q</w:t>
      </w:r>
      <w:r w:rsidR="004F3BFF" w:rsidRPr="00641640">
        <w:rPr>
          <w:rFonts w:ascii="Times New Roman" w:hAnsi="Times New Roman" w:cs="Times New Roman"/>
          <w:noProof/>
          <w:lang w:val="sq-AL"/>
        </w:rPr>
        <w:t>e</w:t>
      </w:r>
      <w:r w:rsidRPr="00641640">
        <w:rPr>
          <w:rFonts w:ascii="Times New Roman" w:hAnsi="Times New Roman" w:cs="Times New Roman"/>
          <w:noProof/>
          <w:lang w:val="sq-AL"/>
        </w:rPr>
        <w:t>ndron tek Qeveria Shqiptare dhe, më gjerë, tek të gjitha institucionet e angazhuara për zbatimin e kësaj strategjie.</w:t>
      </w:r>
      <w:r w:rsidR="00DC1FE3" w:rsidRPr="00641640">
        <w:rPr>
          <w:rFonts w:ascii="Times New Roman" w:hAnsi="Times New Roman" w:cs="Times New Roman"/>
          <w:noProof/>
          <w:lang w:val="sq-AL"/>
        </w:rPr>
        <w:t xml:space="preserve"> </w:t>
      </w:r>
      <w:r w:rsidRPr="00641640">
        <w:rPr>
          <w:rFonts w:ascii="Times New Roman" w:hAnsi="Times New Roman" w:cs="Times New Roman"/>
          <w:noProof/>
          <w:lang w:val="sq-AL"/>
        </w:rPr>
        <w:t>Me këtë plan të qartë dhe me angazhimin e të gjithë aktorëve të përfshirë, mbetemi besimplot</w:t>
      </w:r>
      <w:r w:rsidR="00DC1FE3" w:rsidRPr="00641640">
        <w:rPr>
          <w:rFonts w:ascii="Times New Roman" w:hAnsi="Times New Roman" w:cs="Times New Roman"/>
          <w:noProof/>
          <w:lang w:val="sq-AL"/>
        </w:rPr>
        <w:t>ë</w:t>
      </w:r>
      <w:r w:rsidRPr="00641640">
        <w:rPr>
          <w:rFonts w:ascii="Times New Roman" w:hAnsi="Times New Roman" w:cs="Times New Roman"/>
          <w:noProof/>
          <w:lang w:val="sq-AL"/>
        </w:rPr>
        <w:t xml:space="preserve"> se do të arrijmë t</w:t>
      </w:r>
      <w:r w:rsidR="00DC1FE3" w:rsidRPr="00641640">
        <w:rPr>
          <w:rFonts w:ascii="Times New Roman" w:hAnsi="Times New Roman" w:cs="Times New Roman"/>
          <w:noProof/>
          <w:lang w:val="sq-AL"/>
        </w:rPr>
        <w:t>ë</w:t>
      </w:r>
      <w:r w:rsidRPr="00641640">
        <w:rPr>
          <w:rFonts w:ascii="Times New Roman" w:hAnsi="Times New Roman" w:cs="Times New Roman"/>
          <w:noProof/>
          <w:lang w:val="sq-AL"/>
        </w:rPr>
        <w:t xml:space="preserve"> konsolidojm</w:t>
      </w:r>
      <w:r w:rsidR="00DC1FE3" w:rsidRPr="00641640">
        <w:rPr>
          <w:rFonts w:ascii="Times New Roman" w:hAnsi="Times New Roman" w:cs="Times New Roman"/>
          <w:noProof/>
          <w:lang w:val="sq-AL"/>
        </w:rPr>
        <w:t>ë</w:t>
      </w:r>
      <w:r w:rsidRPr="00641640">
        <w:rPr>
          <w:rFonts w:ascii="Times New Roman" w:hAnsi="Times New Roman" w:cs="Times New Roman"/>
          <w:noProof/>
          <w:lang w:val="sq-AL"/>
        </w:rPr>
        <w:t xml:space="preserve"> një administratë publike që u shërben denj</w:t>
      </w:r>
      <w:r w:rsidR="00DC1FE3" w:rsidRPr="00641640">
        <w:rPr>
          <w:rFonts w:ascii="Times New Roman" w:hAnsi="Times New Roman" w:cs="Times New Roman"/>
          <w:noProof/>
          <w:lang w:val="sq-AL"/>
        </w:rPr>
        <w:t>ë</w:t>
      </w:r>
      <w:r w:rsidRPr="00641640">
        <w:rPr>
          <w:rFonts w:ascii="Times New Roman" w:hAnsi="Times New Roman" w:cs="Times New Roman"/>
          <w:noProof/>
          <w:lang w:val="sq-AL"/>
        </w:rPr>
        <w:t>sisht qytetarëve dhe që është plotësisht e përgatitur për sfidat e ardhshme të integrimit në Bashkimin Evropian.</w:t>
      </w:r>
    </w:p>
    <w:p w14:paraId="3407B7FD" w14:textId="77777777" w:rsidR="00377892" w:rsidRPr="00641640" w:rsidRDefault="00377892" w:rsidP="003130C0">
      <w:pPr>
        <w:jc w:val="both"/>
        <w:rPr>
          <w:rFonts w:ascii="Times New Roman" w:hAnsi="Times New Roman" w:cs="Times New Roman"/>
          <w:noProof/>
          <w:sz w:val="2"/>
          <w:szCs w:val="2"/>
          <w:lang w:val="sq-AL"/>
        </w:rPr>
      </w:pPr>
    </w:p>
    <w:p w14:paraId="6AAB5F6D" w14:textId="77777777" w:rsidR="00DC1FE3" w:rsidRPr="00641640" w:rsidRDefault="00DC1FE3" w:rsidP="00DC1FE3">
      <w:pPr>
        <w:jc w:val="center"/>
        <w:rPr>
          <w:rFonts w:ascii="Times New Roman" w:hAnsi="Times New Roman" w:cs="Times New Roman"/>
          <w:b/>
          <w:noProof/>
          <w:lang w:val="sq-AL"/>
        </w:rPr>
      </w:pPr>
      <w:r w:rsidRPr="00641640">
        <w:rPr>
          <w:rFonts w:ascii="Times New Roman" w:hAnsi="Times New Roman" w:cs="Times New Roman"/>
          <w:b/>
          <w:noProof/>
          <w:lang w:val="sq-AL"/>
        </w:rPr>
        <w:t>Ministri i Shtetit për Administratën Publike dhe Antikorrupsionin</w:t>
      </w:r>
    </w:p>
    <w:p w14:paraId="37CA9D7E" w14:textId="12B370F9" w:rsidR="000576A2" w:rsidRPr="00641640" w:rsidRDefault="00DC1FE3" w:rsidP="00C82FC3">
      <w:pPr>
        <w:jc w:val="center"/>
        <w:rPr>
          <w:rFonts w:ascii="Times New Roman" w:hAnsi="Times New Roman" w:cs="Times New Roman"/>
          <w:b/>
          <w:noProof/>
          <w:lang w:val="sq-AL"/>
        </w:rPr>
      </w:pPr>
      <w:r w:rsidRPr="00641640">
        <w:rPr>
          <w:rFonts w:ascii="Times New Roman" w:hAnsi="Times New Roman" w:cs="Times New Roman"/>
          <w:b/>
          <w:noProof/>
          <w:lang w:val="sq-AL"/>
        </w:rPr>
        <w:t>Adea Pirdeni</w:t>
      </w:r>
    </w:p>
    <w:bookmarkEnd w:id="1"/>
    <w:p w14:paraId="02F1404C" w14:textId="7C3C5489" w:rsidR="00966B03" w:rsidRPr="00641640" w:rsidRDefault="00AB55EE" w:rsidP="00B03554">
      <w:pPr>
        <w:pBdr>
          <w:bottom w:val="single" w:sz="24" w:space="1" w:color="F0CDA1"/>
        </w:pBdr>
        <w:spacing w:before="120" w:after="120"/>
        <w:rPr>
          <w:rFonts w:ascii="Times New Roman" w:eastAsia="Arial" w:hAnsi="Times New Roman" w:cs="Times New Roman"/>
          <w:b/>
          <w:noProof/>
          <w:color w:val="003300"/>
          <w:sz w:val="36"/>
          <w:szCs w:val="36"/>
          <w:lang w:val="sq-AL"/>
        </w:rPr>
      </w:pPr>
      <w:r w:rsidRPr="00641640">
        <w:rPr>
          <w:rFonts w:ascii="Times New Roman" w:eastAsia="Arial" w:hAnsi="Times New Roman" w:cs="Times New Roman"/>
          <w:b/>
          <w:noProof/>
          <w:color w:val="003300"/>
          <w:sz w:val="36"/>
          <w:szCs w:val="36"/>
          <w:lang w:val="sq-AL"/>
        </w:rPr>
        <w:lastRenderedPageBreak/>
        <w:t xml:space="preserve">TABELA E PËRMBAJTJES </w:t>
      </w:r>
    </w:p>
    <w:p w14:paraId="4814B52D" w14:textId="77777777" w:rsidR="00966B03" w:rsidRPr="00966B03" w:rsidRDefault="00966B03" w:rsidP="00966B03">
      <w:pPr>
        <w:spacing w:after="0" w:line="240" w:lineRule="auto"/>
        <w:rPr>
          <w:rFonts w:ascii="Times New Roman" w:hAnsi="Times New Roman" w:cs="Times New Roman"/>
          <w:noProof/>
          <w:lang w:val="sq-AL"/>
        </w:rPr>
      </w:pPr>
    </w:p>
    <w:p w14:paraId="5D7761BA" w14:textId="2B9CB78A"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Lista e shkurtimeve</w:t>
      </w:r>
    </w:p>
    <w:p w14:paraId="47ED095E" w14:textId="77777777" w:rsidR="00966B03" w:rsidRPr="00966B03" w:rsidRDefault="00966B03" w:rsidP="00966B03">
      <w:pPr>
        <w:spacing w:after="0" w:line="240" w:lineRule="auto"/>
        <w:jc w:val="both"/>
        <w:rPr>
          <w:rFonts w:ascii="Garamond" w:hAnsi="Garamond" w:cs="Times New Roman"/>
          <w:noProof/>
          <w:lang w:val="sq-AL"/>
        </w:rPr>
      </w:pPr>
    </w:p>
    <w:p w14:paraId="6B8D2B18" w14:textId="77777777"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PJESA I  - KONTEKSTI STRATEGJIK</w:t>
      </w:r>
    </w:p>
    <w:p w14:paraId="21BB30A8" w14:textId="77777777" w:rsidR="00966B03" w:rsidRPr="00966B03" w:rsidRDefault="00966B03" w:rsidP="00966B03">
      <w:pPr>
        <w:spacing w:after="0" w:line="240" w:lineRule="auto"/>
        <w:jc w:val="both"/>
        <w:rPr>
          <w:rFonts w:ascii="Garamond" w:hAnsi="Garamond" w:cs="Times New Roman"/>
          <w:noProof/>
          <w:lang w:val="sq-AL"/>
        </w:rPr>
      </w:pPr>
    </w:p>
    <w:p w14:paraId="2546571A" w14:textId="363A03F2"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1. Hyrja dhe qëllimi i Strategjisë</w:t>
      </w:r>
    </w:p>
    <w:p w14:paraId="16885185" w14:textId="77777777" w:rsidR="00966B03" w:rsidRPr="00966B03" w:rsidRDefault="00966B03" w:rsidP="00966B03">
      <w:pPr>
        <w:spacing w:after="0" w:line="240" w:lineRule="auto"/>
        <w:jc w:val="both"/>
        <w:rPr>
          <w:rFonts w:ascii="Garamond" w:hAnsi="Garamond" w:cs="Times New Roman"/>
          <w:noProof/>
          <w:lang w:val="sq-AL"/>
        </w:rPr>
      </w:pPr>
    </w:p>
    <w:p w14:paraId="06AC2354" w14:textId="6AB63A72"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1.1 Fusha dhe qëllimi i Strategjisë</w:t>
      </w:r>
    </w:p>
    <w:p w14:paraId="14D3EFFC" w14:textId="6BED17F4"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1.2 Procesi i hartimit të Strategjisë Ndërsektoriale të RAP</w:t>
      </w:r>
    </w:p>
    <w:p w14:paraId="21AA5F4E" w14:textId="01BCE51B"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1.3 Struktura e Strategjisë Ndërsektoriale të RAP</w:t>
      </w:r>
    </w:p>
    <w:p w14:paraId="2016F520" w14:textId="46ADDADB"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1.4 Korniza ligjore dhe institucionale e reformës së administratës publike</w:t>
      </w:r>
    </w:p>
    <w:p w14:paraId="2BC69289" w14:textId="16B1D72F"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1.5 Ndërlidhja me kornizën Strategjike Kombëtare për Zhvillimin, Integrimin Evropian, Reformat Ekonomike dhe Qeverisjen e Mirë</w:t>
      </w:r>
    </w:p>
    <w:p w14:paraId="7BF0574D" w14:textId="77777777" w:rsidR="00966B03" w:rsidRPr="00966B03" w:rsidRDefault="00966B03" w:rsidP="00966B03">
      <w:pPr>
        <w:spacing w:after="0" w:line="240" w:lineRule="auto"/>
        <w:jc w:val="both"/>
        <w:rPr>
          <w:rFonts w:ascii="Garamond" w:hAnsi="Garamond" w:cs="Times New Roman"/>
          <w:noProof/>
          <w:lang w:val="sq-AL"/>
        </w:rPr>
      </w:pPr>
    </w:p>
    <w:p w14:paraId="4E521464" w14:textId="3F98E577"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2. Konteksti politik dhe strategjik: arritjet dhe sfidat</w:t>
      </w:r>
    </w:p>
    <w:p w14:paraId="3DE51E10" w14:textId="77777777" w:rsidR="00966B03" w:rsidRPr="00966B03" w:rsidRDefault="00966B03" w:rsidP="00966B03">
      <w:pPr>
        <w:spacing w:after="0" w:line="240" w:lineRule="auto"/>
        <w:jc w:val="both"/>
        <w:rPr>
          <w:rFonts w:ascii="Garamond" w:hAnsi="Garamond" w:cs="Times New Roman"/>
          <w:noProof/>
          <w:lang w:val="sq-AL"/>
        </w:rPr>
      </w:pPr>
    </w:p>
    <w:p w14:paraId="19BF2E92" w14:textId="67A7D354"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2.1. Arritjet dhe sfidat në zhvillimin dhe koordinimin e politikave</w:t>
      </w:r>
    </w:p>
    <w:p w14:paraId="566A59F3" w14:textId="2C633A33"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2.2. Arritjet dhe sfidat në shërbimin civil dhe menaxhimin e burimeve njerëzore</w:t>
      </w:r>
    </w:p>
    <w:p w14:paraId="4909A0FC" w14:textId="75BC7397"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2.3. Arritjet dhe sfidat në ofrimin e shërbimeve të digjitalizuara</w:t>
      </w:r>
    </w:p>
    <w:p w14:paraId="1171B7FF" w14:textId="59AB697B"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2.4. Arritjet dhe sfidat në organizimin, llogaridhënien dhe mbikëqyrjen e administratës</w:t>
      </w:r>
    </w:p>
    <w:p w14:paraId="52AC59F3" w14:textId="1FFA76D1"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2.5. Arritjet dhe sfidat drejt një administrate të gjelbër publike</w:t>
      </w:r>
    </w:p>
    <w:p w14:paraId="39038E7A" w14:textId="77777777" w:rsidR="00966B03" w:rsidRPr="00966B03" w:rsidRDefault="00966B03" w:rsidP="00966B03">
      <w:pPr>
        <w:spacing w:after="0" w:line="240" w:lineRule="auto"/>
        <w:jc w:val="both"/>
        <w:rPr>
          <w:rFonts w:ascii="Garamond" w:hAnsi="Garamond" w:cs="Times New Roman"/>
          <w:noProof/>
          <w:lang w:val="sq-AL"/>
        </w:rPr>
      </w:pPr>
    </w:p>
    <w:p w14:paraId="587DB7EF" w14:textId="66ACEF50"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3. Vizioni dhe misioni i Strategjisë</w:t>
      </w:r>
    </w:p>
    <w:p w14:paraId="6A062EF4" w14:textId="0CADEFE5"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 xml:space="preserve"> </w:t>
      </w:r>
    </w:p>
    <w:p w14:paraId="0A442C66" w14:textId="77777777"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PJESA II - QËLLIMET E POLITIKËS, OBJEKTIVAT SPECIFIKË, MASAT DHE TREGUESIT E PERFORMANCËS</w:t>
      </w:r>
    </w:p>
    <w:p w14:paraId="7467EBCA" w14:textId="77777777" w:rsidR="00966B03" w:rsidRPr="00966B03" w:rsidRDefault="00966B03" w:rsidP="00966B03">
      <w:pPr>
        <w:spacing w:after="0" w:line="240" w:lineRule="auto"/>
        <w:jc w:val="both"/>
        <w:rPr>
          <w:rFonts w:ascii="Garamond" w:hAnsi="Garamond" w:cs="Times New Roman"/>
          <w:noProof/>
          <w:lang w:val="sq-AL"/>
        </w:rPr>
      </w:pPr>
    </w:p>
    <w:p w14:paraId="51CDA110" w14:textId="1365C388"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1. Qëllimi i Politikës I - Zhvillimi dhe koordinimi i politikave</w:t>
      </w:r>
    </w:p>
    <w:p w14:paraId="58A8C63E" w14:textId="77777777" w:rsidR="00966B03" w:rsidRPr="00966B03" w:rsidRDefault="00966B03" w:rsidP="00966B03">
      <w:pPr>
        <w:spacing w:after="0" w:line="240" w:lineRule="auto"/>
        <w:jc w:val="both"/>
        <w:rPr>
          <w:rFonts w:ascii="Garamond" w:hAnsi="Garamond" w:cs="Times New Roman"/>
          <w:noProof/>
          <w:lang w:val="sq-AL"/>
        </w:rPr>
      </w:pPr>
    </w:p>
    <w:p w14:paraId="5DCA13C9" w14:textId="420AE85C"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1.1 Objektivi Specifik 1.1: Përmirësimi i koordinimit, përafrimit dhe buxhetimit të politikave me objektivat kombëtare dhe globale të zhvillimit përgjatë gjithë ciklit të planifikimit të integruar të politikave</w:t>
      </w:r>
    </w:p>
    <w:p w14:paraId="2C65E900" w14:textId="3780F4DA"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1.2 Objektivi Specifik 1.2: Zbatimi i një procesi të mirëkoordinuar dhe gjithëpërfshirës për integrimin evropian, duke fuqizuar kapacitetet e strukturave negociuese për të përballuar me sukses kërkesat e procesit</w:t>
      </w:r>
    </w:p>
    <w:p w14:paraId="5CA87CD1" w14:textId="693E2A75"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1.3 Objektivi Specifik 1.3: Hartimi i politikave mbështetur në të dhëna dhe vlerësim cilësor të ndikimit rregullator, përgjatë një procesi mirëplanifikimi ligjor dhe konsultimi gjithëpërfshirës publik, që garanton përputhje me acquis-në dhe praktikat e mira ndërkombëtare</w:t>
      </w:r>
    </w:p>
    <w:p w14:paraId="46C93345" w14:textId="77777777" w:rsidR="00966B03" w:rsidRPr="00966B03" w:rsidRDefault="00966B03" w:rsidP="00966B03">
      <w:pPr>
        <w:spacing w:after="0" w:line="240" w:lineRule="auto"/>
        <w:jc w:val="both"/>
        <w:rPr>
          <w:rFonts w:ascii="Garamond" w:hAnsi="Garamond" w:cs="Times New Roman"/>
          <w:noProof/>
          <w:lang w:val="sq-AL"/>
        </w:rPr>
      </w:pPr>
    </w:p>
    <w:p w14:paraId="2FC0B3A3" w14:textId="10EFAD7D"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2. Qëllimi i Politikës II: Shërbimi civil dhe menaxhimi i burimeve njerëzore</w:t>
      </w:r>
    </w:p>
    <w:p w14:paraId="0EB83854" w14:textId="77777777" w:rsidR="00966B03" w:rsidRPr="00966B03" w:rsidRDefault="00966B03" w:rsidP="00966B03">
      <w:pPr>
        <w:spacing w:after="0" w:line="240" w:lineRule="auto"/>
        <w:jc w:val="both"/>
        <w:rPr>
          <w:rFonts w:ascii="Garamond" w:hAnsi="Garamond" w:cs="Times New Roman"/>
          <w:noProof/>
          <w:lang w:val="sq-AL"/>
        </w:rPr>
      </w:pPr>
    </w:p>
    <w:p w14:paraId="4C55A643" w14:textId="55DF45DD"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2.1 Objektivi Specifik 2.1: Pranimi në institucionet e administratës publike bazuar në konkurs të hapur, në parimin e meritës dhe duke siguruar përzgjedhjen e kandidatëve më të mirë</w:t>
      </w:r>
    </w:p>
    <w:p w14:paraId="0CD83794" w14:textId="718804A0"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2.2 Objektivi Specifik 2.2: Investimi në motivimin dhe mirëqenien e nëpunësve publikë, me synim rritjen e atraksionit dhe forcimin e pozitës së sektorit publik si punëmarrës i besueshëm, tërheqës dhe konkurrues në tregun e punës</w:t>
      </w:r>
    </w:p>
    <w:p w14:paraId="62BFB11E" w14:textId="0A266A0F"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2.3 Objektivi Specifik 2.3: Investimi në zhvillimin profesional të nëpunësve të të gjitha niveleve të administratës publike për të mbështetur dhe avancuar agjendën kombëtare të integrimit evropian të Shqipërisë</w:t>
      </w:r>
    </w:p>
    <w:p w14:paraId="6EFAB518" w14:textId="7EBF85B5"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2.4 Objektivi Specifik 2.4: Procedurat e Menaxhimit të Burimeve Njerëzore facilitohen nga sistemet e gjenerimit të të dhënave të sakta dhe përdorimi i plotë i teknologjisë për thjeshtimin e proceseve të punës në fushën e MBNJ</w:t>
      </w:r>
    </w:p>
    <w:p w14:paraId="23025AD3" w14:textId="77777777" w:rsidR="00966B03" w:rsidRPr="00966B03" w:rsidRDefault="00966B03" w:rsidP="00966B03">
      <w:pPr>
        <w:spacing w:after="0" w:line="240" w:lineRule="auto"/>
        <w:jc w:val="both"/>
        <w:rPr>
          <w:rFonts w:ascii="Garamond" w:hAnsi="Garamond" w:cs="Times New Roman"/>
          <w:noProof/>
          <w:lang w:val="sq-AL"/>
        </w:rPr>
      </w:pPr>
    </w:p>
    <w:p w14:paraId="2C6302EE" w14:textId="14795CCE"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3. Qëllimi i Politikës III: Ofrimi i shërbimeve dhe digjitalizimi</w:t>
      </w:r>
    </w:p>
    <w:p w14:paraId="6D7439BA" w14:textId="77777777" w:rsidR="00966B03" w:rsidRPr="00966B03" w:rsidRDefault="00966B03" w:rsidP="00966B03">
      <w:pPr>
        <w:spacing w:after="0" w:line="240" w:lineRule="auto"/>
        <w:jc w:val="both"/>
        <w:rPr>
          <w:rFonts w:ascii="Garamond" w:hAnsi="Garamond" w:cs="Times New Roman"/>
          <w:noProof/>
          <w:lang w:val="sq-AL"/>
        </w:rPr>
      </w:pPr>
    </w:p>
    <w:p w14:paraId="1ED78989" w14:textId="0EE9FB9E"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3.1 Objektivi Specifik 3.1: Ri-inxhinierimi dhe optimizimi i shërbimeve publike elektronike, duke rritur aksesin për qytetarët dhe bizneset, si dhe efikasitetin përmes teknologjisë së avancuar dhe thjeshtimit të proceseve me fokus te përdoruesi</w:t>
      </w:r>
    </w:p>
    <w:p w14:paraId="4DC41513" w14:textId="181765A0"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lastRenderedPageBreak/>
        <w:t>3.2 Objektivi Specifik 3.2: Rritja e aftësive dhe gjithëpërfshirjes digjitale përmes zbatimit të masave që sigurojnë arritjen e kompetencave bazë digjitale për nxënësit, përmirësojnë aksesin dhe cilësinë e shërbimeve elektronike për qytetarët, dhe fuqizojnë mundësuesit teknologjikë në sektorin publik</w:t>
      </w:r>
    </w:p>
    <w:p w14:paraId="76695E9A" w14:textId="77777777" w:rsidR="00966B03" w:rsidRPr="00966B03" w:rsidRDefault="00966B03" w:rsidP="00966B03">
      <w:pPr>
        <w:spacing w:after="0" w:line="240" w:lineRule="auto"/>
        <w:jc w:val="both"/>
        <w:rPr>
          <w:rFonts w:ascii="Garamond" w:hAnsi="Garamond" w:cs="Times New Roman"/>
          <w:noProof/>
          <w:lang w:val="sq-AL"/>
        </w:rPr>
      </w:pPr>
    </w:p>
    <w:p w14:paraId="435F3EF1" w14:textId="326E288E"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4. Qëllimi i Politikës IV: Organizimi, llogaridhënia dhe mbikëqyrja e administratës</w:t>
      </w:r>
    </w:p>
    <w:p w14:paraId="37FE8D47" w14:textId="77777777" w:rsidR="00966B03" w:rsidRPr="00966B03" w:rsidRDefault="00966B03" w:rsidP="00966B03">
      <w:pPr>
        <w:spacing w:after="0" w:line="240" w:lineRule="auto"/>
        <w:jc w:val="both"/>
        <w:rPr>
          <w:rFonts w:ascii="Garamond" w:hAnsi="Garamond" w:cs="Times New Roman"/>
          <w:noProof/>
          <w:lang w:val="sq-AL"/>
        </w:rPr>
      </w:pPr>
    </w:p>
    <w:p w14:paraId="3B7E9B95" w14:textId="471697AB"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4.1 Objektivi Specifik 4.1: Zhvillimi i strukturave organizative të qarta dhe të përshtatshme për të përmbushur detyrat e administratës publike në mënyrë efektive dhe efikase</w:t>
      </w:r>
    </w:p>
    <w:p w14:paraId="03238537" w14:textId="48C54AEB"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4.2 Objektivi Specifik 4.2: Krijimi i mekanizmave të qartë të brendshëm që garantojnë llogaridhënien e punonjësve dhe drejtuesve të administratës publike për performancën dhe vendimmarrjen e tyre</w:t>
      </w:r>
    </w:p>
    <w:p w14:paraId="04BA398B" w14:textId="53D8045E"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4.3 Objektivi Specifik 4.3: Promovimi i një administrate të hapur dhe transparente që angazhon qytetarët dhe palët e tjera të interesuara në proceset e vendimmarrjes, duke rritur aksesin në informacion dhe duke përmirësuar dialogun ndërmjet administratës dhe publikut</w:t>
      </w:r>
    </w:p>
    <w:p w14:paraId="773E4391" w14:textId="212C72AD"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4.4 Objektivi Specifik 4.4: Fuqizimi i mbikëqyrjes së jashtme të administratës publike nga Kuvendi dhe institucionet e pavarura mbi zbatimin e politikave dhe detyrimeve nga ana e qeverisë</w:t>
      </w:r>
    </w:p>
    <w:p w14:paraId="2AB2F9BE" w14:textId="77777777" w:rsidR="00966B03" w:rsidRPr="00966B03" w:rsidRDefault="00966B03" w:rsidP="00966B03">
      <w:pPr>
        <w:spacing w:after="0" w:line="240" w:lineRule="auto"/>
        <w:jc w:val="both"/>
        <w:rPr>
          <w:rFonts w:ascii="Garamond" w:hAnsi="Garamond" w:cs="Times New Roman"/>
          <w:noProof/>
          <w:lang w:val="sq-AL"/>
        </w:rPr>
      </w:pPr>
    </w:p>
    <w:p w14:paraId="2F23C41E" w14:textId="4138193C"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5. Qëllimi i Politikës V: Administrata e gjelbër</w:t>
      </w:r>
    </w:p>
    <w:p w14:paraId="0A27816D" w14:textId="77777777" w:rsidR="00966B03" w:rsidRPr="00966B03" w:rsidRDefault="00966B03" w:rsidP="00966B03">
      <w:pPr>
        <w:spacing w:after="0" w:line="240" w:lineRule="auto"/>
        <w:jc w:val="both"/>
        <w:rPr>
          <w:rFonts w:ascii="Garamond" w:hAnsi="Garamond" w:cs="Times New Roman"/>
          <w:noProof/>
          <w:lang w:val="sq-AL"/>
        </w:rPr>
      </w:pPr>
    </w:p>
    <w:p w14:paraId="289CF3DD" w14:textId="761D3F48"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5.1 Objektivi Specifik 5.1: Përmirësimi i performancës mjedisore të institucioneve publike në përputhje me standardet e Skemës së Eko-Menaxhimit dhe Auditimit (SEMA</w:t>
      </w:r>
      <w:r>
        <w:rPr>
          <w:rFonts w:ascii="Garamond" w:hAnsi="Garamond" w:cs="Times New Roman"/>
          <w:noProof/>
          <w:lang w:val="sq-AL"/>
        </w:rPr>
        <w:t>)</w:t>
      </w:r>
    </w:p>
    <w:p w14:paraId="284420C8" w14:textId="5B119F92"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5.2 Objektivi Specifik 5.2: Forcimi i partneritetit ndërsektorial për zbatimin e nismave të gjelbra në administratën publike</w:t>
      </w:r>
    </w:p>
    <w:p w14:paraId="58AA54AC" w14:textId="4E238BF7"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5.3 Objektivi Specifik 5.3: Transformimi i kapitalit njerëzor të sektorit publik për tranzicionin ekologjik</w:t>
      </w:r>
    </w:p>
    <w:p w14:paraId="197F3748" w14:textId="44BD5A19"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5.4 Objektivi Specifik 5.4: Përshpejtimi i prokurimit të gjelbër publik dhe zbatimi i parimeve të ekonomisë qarkulluese</w:t>
      </w:r>
    </w:p>
    <w:p w14:paraId="4078951B" w14:textId="27D01771"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 xml:space="preserve"> </w:t>
      </w:r>
    </w:p>
    <w:p w14:paraId="6CFCFF61" w14:textId="77777777"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PJESA III - ZBATIMI, LLOGARIDHËNIA, MONITORIMI DHE ANALIZA</w:t>
      </w:r>
    </w:p>
    <w:p w14:paraId="40DE0C85" w14:textId="77777777" w:rsidR="00966B03" w:rsidRPr="00966B03" w:rsidRDefault="00966B03" w:rsidP="00966B03">
      <w:pPr>
        <w:spacing w:after="0" w:line="240" w:lineRule="auto"/>
        <w:jc w:val="both"/>
        <w:rPr>
          <w:rFonts w:ascii="Garamond" w:hAnsi="Garamond" w:cs="Times New Roman"/>
          <w:noProof/>
          <w:lang w:val="sq-AL"/>
        </w:rPr>
      </w:pPr>
    </w:p>
    <w:p w14:paraId="219333E4" w14:textId="2F3642FB"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1. Korniza institucionale për zbatimin e SNRAP</w:t>
      </w:r>
    </w:p>
    <w:p w14:paraId="273A890C" w14:textId="4FB45F1D"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2. Përgjegjësitë institucionale të lidhura me monitorimin dhe raportimin</w:t>
      </w:r>
    </w:p>
    <w:p w14:paraId="0BA85553" w14:textId="69649DA8"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 xml:space="preserve"> </w:t>
      </w:r>
    </w:p>
    <w:p w14:paraId="53DDFAF6" w14:textId="55B1C3C2"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PJESA IV  - FINANCIMI I STRATEGJISË</w:t>
      </w:r>
    </w:p>
    <w:p w14:paraId="05F196D9" w14:textId="4D95ECF3"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 xml:space="preserve"> </w:t>
      </w:r>
    </w:p>
    <w:p w14:paraId="2034B064" w14:textId="77777777" w:rsidR="00966B03"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ANEKS 1 - Plani i Veprimit 2025-2027</w:t>
      </w:r>
    </w:p>
    <w:p w14:paraId="2F9031F2" w14:textId="205FB097" w:rsidR="00E2643C" w:rsidRPr="00966B03" w:rsidRDefault="00966B03" w:rsidP="00966B03">
      <w:pPr>
        <w:spacing w:after="0" w:line="240" w:lineRule="auto"/>
        <w:jc w:val="both"/>
        <w:rPr>
          <w:rFonts w:ascii="Garamond" w:hAnsi="Garamond" w:cs="Times New Roman"/>
          <w:noProof/>
          <w:lang w:val="sq-AL"/>
        </w:rPr>
      </w:pPr>
      <w:r w:rsidRPr="00966B03">
        <w:rPr>
          <w:rFonts w:ascii="Garamond" w:hAnsi="Garamond" w:cs="Times New Roman"/>
          <w:noProof/>
          <w:lang w:val="sq-AL"/>
        </w:rPr>
        <w:t>ANEKS 2 - Pasaporta e Treguesve</w:t>
      </w:r>
    </w:p>
    <w:p w14:paraId="525C5801" w14:textId="15C3F9A6" w:rsidR="00966B03" w:rsidRDefault="00966B03" w:rsidP="00966B03">
      <w:pPr>
        <w:spacing w:after="0" w:line="240" w:lineRule="auto"/>
        <w:rPr>
          <w:rFonts w:ascii="Times New Roman" w:hAnsi="Times New Roman" w:cs="Times New Roman"/>
          <w:noProof/>
          <w:lang w:val="sq-AL"/>
        </w:rPr>
      </w:pPr>
    </w:p>
    <w:p w14:paraId="1A4D0543" w14:textId="17CF9869" w:rsidR="00966B03" w:rsidRDefault="00966B03" w:rsidP="00966B03">
      <w:pPr>
        <w:spacing w:after="0" w:line="240" w:lineRule="auto"/>
        <w:rPr>
          <w:rFonts w:ascii="Times New Roman" w:hAnsi="Times New Roman" w:cs="Times New Roman"/>
          <w:noProof/>
          <w:lang w:val="sq-AL"/>
        </w:rPr>
      </w:pPr>
    </w:p>
    <w:p w14:paraId="1216A90C" w14:textId="77777777" w:rsidR="00966B03" w:rsidRDefault="00966B03" w:rsidP="00966B03">
      <w:pPr>
        <w:spacing w:after="0" w:line="240" w:lineRule="auto"/>
        <w:rPr>
          <w:rFonts w:ascii="Times New Roman" w:hAnsi="Times New Roman" w:cs="Times New Roman"/>
          <w:noProof/>
          <w:lang w:val="sq-AL"/>
        </w:rPr>
      </w:pPr>
    </w:p>
    <w:p w14:paraId="5DB6A402" w14:textId="77777777" w:rsidR="00966B03" w:rsidRDefault="00966B03" w:rsidP="00966B03">
      <w:pPr>
        <w:spacing w:after="0" w:line="240" w:lineRule="auto"/>
        <w:rPr>
          <w:rFonts w:ascii="Times New Roman" w:hAnsi="Times New Roman" w:cs="Times New Roman"/>
          <w:noProof/>
          <w:lang w:val="sq-AL"/>
        </w:rPr>
      </w:pPr>
    </w:p>
    <w:p w14:paraId="2B66CE92" w14:textId="77777777" w:rsidR="00966B03" w:rsidRDefault="00966B03" w:rsidP="00966B03">
      <w:pPr>
        <w:spacing w:after="0" w:line="240" w:lineRule="auto"/>
        <w:rPr>
          <w:rFonts w:ascii="Times New Roman" w:hAnsi="Times New Roman" w:cs="Times New Roman"/>
          <w:noProof/>
          <w:lang w:val="sq-AL"/>
        </w:rPr>
      </w:pPr>
    </w:p>
    <w:p w14:paraId="4989612B" w14:textId="77777777" w:rsidR="00966B03" w:rsidRDefault="00966B03" w:rsidP="00966B03">
      <w:pPr>
        <w:spacing w:after="0" w:line="240" w:lineRule="auto"/>
        <w:rPr>
          <w:rFonts w:ascii="Times New Roman" w:hAnsi="Times New Roman" w:cs="Times New Roman"/>
          <w:noProof/>
          <w:lang w:val="sq-AL"/>
        </w:rPr>
      </w:pPr>
    </w:p>
    <w:p w14:paraId="053C57C5" w14:textId="220F8C62" w:rsidR="00966B03" w:rsidRPr="00641640" w:rsidRDefault="00966B03" w:rsidP="0052518E">
      <w:pPr>
        <w:rPr>
          <w:rFonts w:ascii="Times New Roman" w:hAnsi="Times New Roman" w:cs="Times New Roman"/>
          <w:noProof/>
          <w:lang w:val="sq-AL"/>
        </w:rPr>
        <w:sectPr w:rsidR="00966B03" w:rsidRPr="00641640" w:rsidSect="00261076">
          <w:pgSz w:w="11906" w:h="16838" w:code="9"/>
          <w:pgMar w:top="1440" w:right="1440" w:bottom="1440" w:left="1440" w:header="720" w:footer="720" w:gutter="0"/>
          <w:cols w:space="720"/>
          <w:titlePg/>
          <w:docGrid w:linePitch="360"/>
        </w:sectPr>
      </w:pPr>
    </w:p>
    <w:p w14:paraId="42F5D49E" w14:textId="7CA9E73E" w:rsidR="00F67164" w:rsidRPr="00641640" w:rsidRDefault="0069566D" w:rsidP="0069566D">
      <w:pPr>
        <w:pBdr>
          <w:bottom w:val="single" w:sz="24" w:space="1" w:color="F0CDA1"/>
        </w:pBdr>
        <w:spacing w:before="120" w:after="120"/>
        <w:rPr>
          <w:rFonts w:ascii="Times New Roman" w:eastAsia="Arial" w:hAnsi="Times New Roman" w:cs="Times New Roman"/>
          <w:b/>
          <w:noProof/>
          <w:color w:val="003300"/>
          <w:sz w:val="36"/>
          <w:szCs w:val="36"/>
          <w:lang w:val="sq-AL"/>
        </w:rPr>
      </w:pPr>
      <w:bookmarkStart w:id="2" w:name="_Toc189510610"/>
      <w:r w:rsidRPr="00641640">
        <w:rPr>
          <w:rFonts w:ascii="Times New Roman" w:eastAsia="Arial" w:hAnsi="Times New Roman" w:cs="Times New Roman"/>
          <w:b/>
          <w:noProof/>
          <w:color w:val="003300"/>
          <w:sz w:val="36"/>
          <w:szCs w:val="36"/>
          <w:lang w:val="sq-AL"/>
        </w:rPr>
        <w:lastRenderedPageBreak/>
        <w:t xml:space="preserve">LISTA E SHKURTIMEVE </w:t>
      </w:r>
      <w:bookmarkEnd w:id="2"/>
    </w:p>
    <w:p w14:paraId="2CC815C0" w14:textId="77777777" w:rsidR="0069566D" w:rsidRPr="00641640" w:rsidRDefault="0069566D" w:rsidP="0069566D">
      <w:pPr>
        <w:spacing w:after="0"/>
        <w:rPr>
          <w:rFonts w:ascii="Times New Roman" w:hAnsi="Times New Roman" w:cs="Times New Roman"/>
          <w:noProof/>
          <w:lang w:val="sq-AL"/>
        </w:rPr>
      </w:pPr>
    </w:p>
    <w:tbl>
      <w:tblPr>
        <w:tblStyle w:val="TableGridIDEA6"/>
        <w:tblW w:w="51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1171"/>
        <w:gridCol w:w="541"/>
        <w:gridCol w:w="7839"/>
      </w:tblGrid>
      <w:tr w:rsidR="001A4B6E" w:rsidRPr="001D7836" w14:paraId="7B0B8A34" w14:textId="77777777" w:rsidTr="001E76D1">
        <w:tc>
          <w:tcPr>
            <w:tcW w:w="1170" w:type="dxa"/>
          </w:tcPr>
          <w:p w14:paraId="1E44BFCD" w14:textId="77777777" w:rsidR="001A4B6E" w:rsidRPr="00641640" w:rsidRDefault="001A4B6E" w:rsidP="00B37B36">
            <w:pPr>
              <w:spacing w:line="276" w:lineRule="auto"/>
              <w:rPr>
                <w:rFonts w:ascii="Times New Roman" w:hAnsi="Times New Roman"/>
                <w:noProof/>
                <w:sz w:val="24"/>
                <w:szCs w:val="24"/>
                <w:lang w:val="sq-AL"/>
              </w:rPr>
            </w:pPr>
            <w:r w:rsidRPr="00641640">
              <w:rPr>
                <w:rFonts w:ascii="Times New Roman" w:hAnsi="Times New Roman"/>
                <w:noProof/>
                <w:sz w:val="24"/>
                <w:szCs w:val="24"/>
                <w:lang w:val="sq-AL"/>
              </w:rPr>
              <w:t>ADB</w:t>
            </w:r>
          </w:p>
        </w:tc>
        <w:tc>
          <w:tcPr>
            <w:tcW w:w="540" w:type="dxa"/>
          </w:tcPr>
          <w:p w14:paraId="4E7EE115" w14:textId="77777777" w:rsidR="001A4B6E" w:rsidRPr="00641640" w:rsidRDefault="001A4B6E" w:rsidP="00B37B36">
            <w:pPr>
              <w:spacing w:line="276" w:lineRule="auto"/>
              <w:jc w:val="center"/>
              <w:rPr>
                <w:rFonts w:ascii="Times New Roman" w:hAnsi="Times New Roman"/>
                <w:noProof/>
                <w:sz w:val="24"/>
                <w:szCs w:val="24"/>
                <w:lang w:val="sq-AL"/>
              </w:rPr>
            </w:pPr>
            <w:r w:rsidRPr="00641640">
              <w:rPr>
                <w:rFonts w:ascii="Times New Roman" w:hAnsi="Times New Roman"/>
                <w:noProof/>
                <w:sz w:val="24"/>
                <w:szCs w:val="24"/>
                <w:lang w:val="sq-AL"/>
              </w:rPr>
              <w:t>-</w:t>
            </w:r>
          </w:p>
        </w:tc>
        <w:tc>
          <w:tcPr>
            <w:tcW w:w="7831" w:type="dxa"/>
            <w:vAlign w:val="center"/>
          </w:tcPr>
          <w:p w14:paraId="748DB2A6" w14:textId="77777777" w:rsidR="001A4B6E" w:rsidRPr="00641640" w:rsidRDefault="001A4B6E" w:rsidP="00B37B36">
            <w:pPr>
              <w:spacing w:line="276" w:lineRule="auto"/>
              <w:rPr>
                <w:rFonts w:ascii="Times New Roman" w:hAnsi="Times New Roman"/>
                <w:noProof/>
                <w:sz w:val="24"/>
                <w:szCs w:val="24"/>
                <w:lang w:val="sq-AL"/>
              </w:rPr>
            </w:pPr>
            <w:r w:rsidRPr="00641640">
              <w:rPr>
                <w:rFonts w:ascii="Times New Roman" w:hAnsi="Times New Roman"/>
                <w:noProof/>
                <w:sz w:val="24"/>
                <w:szCs w:val="24"/>
                <w:lang w:val="sq-AL"/>
              </w:rPr>
              <w:t>Agjencia për Dialog dhe Bashkëqeverisje</w:t>
            </w:r>
          </w:p>
        </w:tc>
      </w:tr>
      <w:tr w:rsidR="00D331CA" w:rsidRPr="00641640" w14:paraId="78A81AA0" w14:textId="77777777" w:rsidTr="001E76D1">
        <w:tc>
          <w:tcPr>
            <w:tcW w:w="1170" w:type="dxa"/>
          </w:tcPr>
          <w:p w14:paraId="6C2717B7" w14:textId="16B2FEBA" w:rsidR="00D331CA" w:rsidRPr="00641640" w:rsidRDefault="00D331CA" w:rsidP="00B37B36">
            <w:pPr>
              <w:spacing w:line="276" w:lineRule="auto"/>
              <w:rPr>
                <w:rFonts w:ascii="Times New Roman" w:hAnsi="Times New Roman"/>
                <w:noProof/>
                <w:sz w:val="24"/>
                <w:szCs w:val="24"/>
                <w:lang w:val="sq-AL"/>
              </w:rPr>
            </w:pPr>
            <w:r>
              <w:rPr>
                <w:rFonts w:ascii="Times New Roman" w:hAnsi="Times New Roman"/>
                <w:noProof/>
                <w:sz w:val="24"/>
                <w:szCs w:val="24"/>
                <w:lang w:val="sq-AL"/>
              </w:rPr>
              <w:t>AEE</w:t>
            </w:r>
          </w:p>
        </w:tc>
        <w:tc>
          <w:tcPr>
            <w:tcW w:w="540" w:type="dxa"/>
          </w:tcPr>
          <w:p w14:paraId="32C5CA02" w14:textId="6BE2ECD3" w:rsidR="00D331CA" w:rsidRPr="00641640" w:rsidRDefault="00D331CA" w:rsidP="00B37B36">
            <w:pPr>
              <w:spacing w:line="276" w:lineRule="auto"/>
              <w:jc w:val="center"/>
              <w:rPr>
                <w:rFonts w:ascii="Times New Roman" w:hAnsi="Times New Roman"/>
                <w:noProof/>
                <w:sz w:val="24"/>
                <w:szCs w:val="24"/>
                <w:lang w:val="sq-AL"/>
              </w:rPr>
            </w:pPr>
            <w:r>
              <w:rPr>
                <w:rFonts w:ascii="Times New Roman" w:hAnsi="Times New Roman"/>
                <w:noProof/>
                <w:sz w:val="24"/>
                <w:szCs w:val="24"/>
                <w:lang w:val="sq-AL"/>
              </w:rPr>
              <w:t>-</w:t>
            </w:r>
          </w:p>
        </w:tc>
        <w:tc>
          <w:tcPr>
            <w:tcW w:w="7831" w:type="dxa"/>
            <w:vAlign w:val="center"/>
          </w:tcPr>
          <w:p w14:paraId="68E37262" w14:textId="6AB244AB" w:rsidR="00D331CA" w:rsidRPr="00641640" w:rsidRDefault="00720B50" w:rsidP="00B37B36">
            <w:pPr>
              <w:spacing w:line="276" w:lineRule="auto"/>
              <w:rPr>
                <w:rFonts w:ascii="Times New Roman" w:hAnsi="Times New Roman"/>
                <w:noProof/>
                <w:sz w:val="24"/>
                <w:szCs w:val="24"/>
                <w:lang w:val="sq-AL"/>
              </w:rPr>
            </w:pPr>
            <w:r w:rsidRPr="00720B50">
              <w:rPr>
                <w:rFonts w:ascii="Times New Roman" w:hAnsi="Times New Roman"/>
                <w:noProof/>
                <w:sz w:val="24"/>
                <w:szCs w:val="24"/>
                <w:lang w:val="sq-AL"/>
              </w:rPr>
              <w:t>Agjencia e Eficencës së Energjisë</w:t>
            </w:r>
            <w:r w:rsidR="00E20B4E">
              <w:rPr>
                <w:rFonts w:ascii="Times New Roman" w:hAnsi="Times New Roman"/>
                <w:noProof/>
                <w:sz w:val="24"/>
                <w:szCs w:val="24"/>
                <w:lang w:val="sq-AL"/>
              </w:rPr>
              <w:t xml:space="preserve"> </w:t>
            </w:r>
          </w:p>
        </w:tc>
      </w:tr>
      <w:tr w:rsidR="00E20B4E" w:rsidRPr="001D7836" w14:paraId="59EF5246" w14:textId="77777777" w:rsidTr="001E76D1">
        <w:tc>
          <w:tcPr>
            <w:tcW w:w="1170" w:type="dxa"/>
          </w:tcPr>
          <w:p w14:paraId="5F59495E" w14:textId="6B5C4453" w:rsidR="00E20B4E" w:rsidRDefault="00E20B4E" w:rsidP="00B37B36">
            <w:pPr>
              <w:spacing w:line="276" w:lineRule="auto"/>
              <w:rPr>
                <w:rFonts w:ascii="Times New Roman" w:hAnsi="Times New Roman"/>
                <w:noProof/>
                <w:sz w:val="24"/>
                <w:szCs w:val="24"/>
                <w:lang w:val="sq-AL"/>
              </w:rPr>
            </w:pPr>
            <w:r>
              <w:rPr>
                <w:rFonts w:ascii="Times New Roman" w:hAnsi="Times New Roman"/>
                <w:noProof/>
                <w:sz w:val="24"/>
                <w:szCs w:val="24"/>
                <w:lang w:val="sq-AL"/>
              </w:rPr>
              <w:t>AKEM</w:t>
            </w:r>
          </w:p>
        </w:tc>
        <w:tc>
          <w:tcPr>
            <w:tcW w:w="540" w:type="dxa"/>
          </w:tcPr>
          <w:p w14:paraId="7F608864" w14:textId="4DB60F26" w:rsidR="00E20B4E" w:rsidRDefault="00E20B4E" w:rsidP="00B37B36">
            <w:pPr>
              <w:spacing w:line="276" w:lineRule="auto"/>
              <w:jc w:val="center"/>
              <w:rPr>
                <w:rFonts w:ascii="Times New Roman" w:hAnsi="Times New Roman"/>
                <w:noProof/>
                <w:sz w:val="24"/>
                <w:szCs w:val="24"/>
                <w:lang w:val="sq-AL"/>
              </w:rPr>
            </w:pPr>
            <w:r>
              <w:rPr>
                <w:rFonts w:ascii="Times New Roman" w:hAnsi="Times New Roman"/>
                <w:noProof/>
                <w:sz w:val="24"/>
                <w:szCs w:val="24"/>
                <w:lang w:val="sq-AL"/>
              </w:rPr>
              <w:t>-</w:t>
            </w:r>
          </w:p>
        </w:tc>
        <w:tc>
          <w:tcPr>
            <w:tcW w:w="7831" w:type="dxa"/>
            <w:vAlign w:val="center"/>
          </w:tcPr>
          <w:p w14:paraId="355D5E16" w14:textId="0677837F" w:rsidR="00E20B4E" w:rsidRPr="00641640" w:rsidRDefault="004135CD" w:rsidP="00B37B36">
            <w:pPr>
              <w:spacing w:line="276" w:lineRule="auto"/>
              <w:rPr>
                <w:rFonts w:ascii="Times New Roman" w:hAnsi="Times New Roman"/>
                <w:noProof/>
                <w:sz w:val="24"/>
                <w:szCs w:val="24"/>
                <w:lang w:val="sq-AL"/>
              </w:rPr>
            </w:pPr>
            <w:r w:rsidRPr="004135CD">
              <w:rPr>
                <w:rFonts w:ascii="Times New Roman" w:hAnsi="Times New Roman"/>
                <w:noProof/>
                <w:sz w:val="24"/>
                <w:szCs w:val="24"/>
                <w:lang w:val="sq-AL"/>
              </w:rPr>
              <w:t>Agjencia Kombëtare e Ekonomisë Qarkulluese</w:t>
            </w:r>
          </w:p>
        </w:tc>
      </w:tr>
      <w:tr w:rsidR="001A4B6E" w:rsidRPr="00641640" w14:paraId="51CA0D73" w14:textId="77777777" w:rsidTr="001E76D1">
        <w:tc>
          <w:tcPr>
            <w:tcW w:w="1170" w:type="dxa"/>
          </w:tcPr>
          <w:p w14:paraId="04C1EF7F" w14:textId="77777777" w:rsidR="001A4B6E" w:rsidRPr="00641640" w:rsidRDefault="001A4B6E" w:rsidP="00B37B36">
            <w:pPr>
              <w:spacing w:line="276" w:lineRule="auto"/>
              <w:rPr>
                <w:rFonts w:ascii="Times New Roman" w:hAnsi="Times New Roman"/>
                <w:noProof/>
                <w:sz w:val="24"/>
                <w:szCs w:val="24"/>
                <w:lang w:val="sq-AL"/>
              </w:rPr>
            </w:pPr>
            <w:r w:rsidRPr="00641640">
              <w:rPr>
                <w:rFonts w:ascii="Times New Roman" w:hAnsi="Times New Roman"/>
                <w:noProof/>
                <w:sz w:val="24"/>
                <w:szCs w:val="24"/>
                <w:lang w:val="sq-AL"/>
              </w:rPr>
              <w:t>AKR</w:t>
            </w:r>
          </w:p>
        </w:tc>
        <w:tc>
          <w:tcPr>
            <w:tcW w:w="540" w:type="dxa"/>
          </w:tcPr>
          <w:p w14:paraId="1F0D7F54" w14:textId="77777777" w:rsidR="001A4B6E" w:rsidRPr="00641640" w:rsidRDefault="001A4B6E" w:rsidP="00B37B36">
            <w:pPr>
              <w:spacing w:line="276" w:lineRule="auto"/>
              <w:jc w:val="center"/>
              <w:rPr>
                <w:rFonts w:ascii="Times New Roman" w:hAnsi="Times New Roman"/>
                <w:noProof/>
                <w:sz w:val="24"/>
                <w:szCs w:val="24"/>
                <w:lang w:val="sq-AL"/>
              </w:rPr>
            </w:pPr>
            <w:r w:rsidRPr="00641640">
              <w:rPr>
                <w:rFonts w:ascii="Times New Roman" w:hAnsi="Times New Roman"/>
                <w:noProof/>
                <w:sz w:val="24"/>
                <w:szCs w:val="24"/>
                <w:lang w:val="sq-AL"/>
              </w:rPr>
              <w:t>-</w:t>
            </w:r>
          </w:p>
        </w:tc>
        <w:tc>
          <w:tcPr>
            <w:tcW w:w="7831" w:type="dxa"/>
            <w:vAlign w:val="center"/>
          </w:tcPr>
          <w:p w14:paraId="63DA8916" w14:textId="77777777" w:rsidR="001A4B6E" w:rsidRPr="00641640" w:rsidRDefault="001A4B6E" w:rsidP="00B37B36">
            <w:pPr>
              <w:spacing w:line="276" w:lineRule="auto"/>
              <w:rPr>
                <w:rFonts w:ascii="Times New Roman" w:hAnsi="Times New Roman"/>
                <w:noProof/>
                <w:sz w:val="24"/>
                <w:szCs w:val="24"/>
                <w:lang w:val="sq-AL"/>
              </w:rPr>
            </w:pPr>
            <w:r w:rsidRPr="00641640">
              <w:rPr>
                <w:rFonts w:ascii="Times New Roman" w:hAnsi="Times New Roman"/>
                <w:noProof/>
                <w:sz w:val="24"/>
                <w:szCs w:val="24"/>
                <w:lang w:val="sq-AL"/>
              </w:rPr>
              <w:t>Agjenda Kombëtare e Reformave</w:t>
            </w:r>
          </w:p>
        </w:tc>
      </w:tr>
      <w:tr w:rsidR="001A4B6E" w:rsidRPr="001D7836" w14:paraId="570D6612" w14:textId="77777777" w:rsidTr="001E76D1">
        <w:tc>
          <w:tcPr>
            <w:tcW w:w="1170" w:type="dxa"/>
          </w:tcPr>
          <w:p w14:paraId="4F72C34D" w14:textId="77777777" w:rsidR="001A4B6E" w:rsidRPr="00641640" w:rsidRDefault="001A4B6E" w:rsidP="00B37B36">
            <w:pPr>
              <w:spacing w:line="276" w:lineRule="auto"/>
              <w:rPr>
                <w:rFonts w:ascii="Times New Roman" w:hAnsi="Times New Roman"/>
                <w:noProof/>
                <w:sz w:val="24"/>
                <w:szCs w:val="24"/>
                <w:lang w:val="sq-AL"/>
              </w:rPr>
            </w:pPr>
            <w:r w:rsidRPr="00641640">
              <w:rPr>
                <w:rFonts w:ascii="Times New Roman" w:hAnsi="Times New Roman"/>
                <w:noProof/>
                <w:sz w:val="24"/>
                <w:szCs w:val="24"/>
                <w:lang w:val="sq-AL"/>
              </w:rPr>
              <w:t>AKSHI</w:t>
            </w:r>
          </w:p>
        </w:tc>
        <w:tc>
          <w:tcPr>
            <w:tcW w:w="540" w:type="dxa"/>
          </w:tcPr>
          <w:p w14:paraId="00BB489A" w14:textId="77777777" w:rsidR="001A4B6E" w:rsidRPr="00641640" w:rsidRDefault="001A4B6E" w:rsidP="00B37B36">
            <w:pPr>
              <w:spacing w:line="276" w:lineRule="auto"/>
              <w:jc w:val="center"/>
              <w:rPr>
                <w:rFonts w:ascii="Times New Roman" w:hAnsi="Times New Roman"/>
                <w:noProof/>
                <w:sz w:val="24"/>
                <w:szCs w:val="24"/>
                <w:lang w:val="sq-AL"/>
              </w:rPr>
            </w:pPr>
            <w:r w:rsidRPr="00641640">
              <w:rPr>
                <w:rFonts w:ascii="Times New Roman" w:hAnsi="Times New Roman"/>
                <w:noProof/>
                <w:sz w:val="24"/>
                <w:szCs w:val="24"/>
                <w:lang w:val="sq-AL"/>
              </w:rPr>
              <w:t>-</w:t>
            </w:r>
          </w:p>
        </w:tc>
        <w:tc>
          <w:tcPr>
            <w:tcW w:w="7831" w:type="dxa"/>
            <w:vAlign w:val="center"/>
          </w:tcPr>
          <w:p w14:paraId="2BDCF771" w14:textId="77777777" w:rsidR="001A4B6E" w:rsidRPr="00641640" w:rsidRDefault="001A4B6E" w:rsidP="00B37B36">
            <w:pPr>
              <w:spacing w:line="276" w:lineRule="auto"/>
              <w:rPr>
                <w:rFonts w:ascii="Times New Roman" w:hAnsi="Times New Roman"/>
                <w:noProof/>
                <w:sz w:val="24"/>
                <w:szCs w:val="24"/>
                <w:lang w:val="sq-AL"/>
              </w:rPr>
            </w:pPr>
            <w:r w:rsidRPr="00641640">
              <w:rPr>
                <w:rFonts w:ascii="Times New Roman" w:hAnsi="Times New Roman"/>
                <w:noProof/>
                <w:sz w:val="24"/>
                <w:szCs w:val="24"/>
                <w:lang w:val="sq-AL"/>
              </w:rPr>
              <w:t>Agjencia Kombëtare e Shoqërisë së Informacionit</w:t>
            </w:r>
          </w:p>
        </w:tc>
      </w:tr>
      <w:tr w:rsidR="001A4B6E" w:rsidRPr="001D7836" w14:paraId="25FDC529" w14:textId="77777777" w:rsidTr="001E76D1">
        <w:tc>
          <w:tcPr>
            <w:tcW w:w="1170" w:type="dxa"/>
          </w:tcPr>
          <w:p w14:paraId="38119279" w14:textId="77777777" w:rsidR="001A4B6E" w:rsidRPr="00CF51E8" w:rsidRDefault="001A4B6E" w:rsidP="00B37B36">
            <w:pPr>
              <w:spacing w:line="276" w:lineRule="auto"/>
              <w:rPr>
                <w:rFonts w:ascii="Times New Roman" w:eastAsia="Times New Roman" w:hAnsi="Times New Roman"/>
                <w:noProof/>
                <w:sz w:val="24"/>
                <w:szCs w:val="24"/>
                <w:lang w:val="sq-AL"/>
              </w:rPr>
            </w:pPr>
            <w:r w:rsidRPr="00CF51E8">
              <w:rPr>
                <w:rFonts w:ascii="Times New Roman" w:eastAsia="Times New Roman" w:hAnsi="Times New Roman"/>
                <w:noProof/>
                <w:sz w:val="24"/>
                <w:szCs w:val="24"/>
                <w:lang w:val="sq-AL"/>
              </w:rPr>
              <w:t>AMSHC</w:t>
            </w:r>
          </w:p>
        </w:tc>
        <w:tc>
          <w:tcPr>
            <w:tcW w:w="540" w:type="dxa"/>
          </w:tcPr>
          <w:p w14:paraId="152D0A85" w14:textId="77777777" w:rsidR="001A4B6E" w:rsidRPr="00CF51E8" w:rsidRDefault="001A4B6E" w:rsidP="00B37B36">
            <w:pPr>
              <w:spacing w:line="276" w:lineRule="auto"/>
              <w:jc w:val="center"/>
              <w:rPr>
                <w:rFonts w:ascii="Times New Roman" w:hAnsi="Times New Roman"/>
                <w:noProof/>
                <w:sz w:val="24"/>
                <w:szCs w:val="24"/>
                <w:lang w:val="sq-AL"/>
              </w:rPr>
            </w:pPr>
            <w:r>
              <w:rPr>
                <w:rFonts w:ascii="Times New Roman" w:hAnsi="Times New Roman"/>
                <w:noProof/>
                <w:sz w:val="24"/>
                <w:szCs w:val="24"/>
                <w:lang w:val="sq-AL"/>
              </w:rPr>
              <w:t>-</w:t>
            </w:r>
          </w:p>
        </w:tc>
        <w:tc>
          <w:tcPr>
            <w:tcW w:w="7831" w:type="dxa"/>
            <w:vAlign w:val="center"/>
          </w:tcPr>
          <w:p w14:paraId="7BF94CA1" w14:textId="77777777" w:rsidR="001A4B6E" w:rsidRPr="00CF51E8" w:rsidRDefault="001A4B6E" w:rsidP="00B37B36">
            <w:pPr>
              <w:spacing w:line="276" w:lineRule="auto"/>
              <w:rPr>
                <w:rFonts w:ascii="Times New Roman" w:hAnsi="Times New Roman"/>
                <w:sz w:val="24"/>
                <w:szCs w:val="24"/>
                <w:lang w:val="sq-AL"/>
              </w:rPr>
            </w:pPr>
            <w:r w:rsidRPr="00CF51E8">
              <w:rPr>
                <w:rFonts w:ascii="Times New Roman" w:hAnsi="Times New Roman"/>
                <w:sz w:val="24"/>
                <w:szCs w:val="24"/>
                <w:lang w:val="sq-AL"/>
              </w:rPr>
              <w:t>Agjencia për Mbështetjen e Shoqërisë Civile</w:t>
            </w:r>
          </w:p>
        </w:tc>
      </w:tr>
      <w:tr w:rsidR="001A4B6E" w:rsidRPr="001D7836" w14:paraId="2F05A2E6" w14:textId="77777777" w:rsidTr="001E76D1">
        <w:tc>
          <w:tcPr>
            <w:tcW w:w="1170" w:type="dxa"/>
          </w:tcPr>
          <w:p w14:paraId="1381755D" w14:textId="77777777" w:rsidR="001A4B6E" w:rsidRDefault="001A4B6E" w:rsidP="00B37B36">
            <w:pPr>
              <w:spacing w:line="276" w:lineRule="auto"/>
              <w:rPr>
                <w:rFonts w:ascii="Times New Roman" w:eastAsia="Times New Roman" w:hAnsi="Times New Roman"/>
                <w:noProof/>
                <w:sz w:val="24"/>
                <w:szCs w:val="24"/>
                <w:lang w:val="sq-AL"/>
              </w:rPr>
            </w:pPr>
            <w:r>
              <w:rPr>
                <w:rFonts w:ascii="Times New Roman" w:eastAsia="Times New Roman" w:hAnsi="Times New Roman"/>
                <w:noProof/>
                <w:sz w:val="24"/>
                <w:szCs w:val="24"/>
                <w:lang w:val="sq-AL"/>
              </w:rPr>
              <w:t>AMVV</w:t>
            </w:r>
          </w:p>
        </w:tc>
        <w:tc>
          <w:tcPr>
            <w:tcW w:w="540" w:type="dxa"/>
          </w:tcPr>
          <w:p w14:paraId="68801E7D" w14:textId="77777777" w:rsidR="001A4B6E" w:rsidRPr="00352119" w:rsidRDefault="001A4B6E" w:rsidP="00B37B36">
            <w:pPr>
              <w:spacing w:line="276" w:lineRule="auto"/>
              <w:jc w:val="center"/>
              <w:rPr>
                <w:rFonts w:ascii="Times New Roman" w:hAnsi="Times New Roman"/>
                <w:noProof/>
                <w:sz w:val="24"/>
                <w:szCs w:val="24"/>
                <w:lang w:val="sq-AL"/>
              </w:rPr>
            </w:pPr>
            <w:r>
              <w:rPr>
                <w:rFonts w:ascii="Times New Roman" w:hAnsi="Times New Roman"/>
                <w:noProof/>
                <w:sz w:val="24"/>
                <w:szCs w:val="24"/>
                <w:lang w:val="sq-AL"/>
              </w:rPr>
              <w:t>-</w:t>
            </w:r>
          </w:p>
        </w:tc>
        <w:tc>
          <w:tcPr>
            <w:tcW w:w="7831" w:type="dxa"/>
            <w:vAlign w:val="center"/>
          </w:tcPr>
          <w:p w14:paraId="161E99F9" w14:textId="77777777" w:rsidR="001A4B6E" w:rsidRDefault="001A4B6E" w:rsidP="00B37B36">
            <w:pPr>
              <w:spacing w:line="276" w:lineRule="auto"/>
              <w:rPr>
                <w:rFonts w:ascii="Times New Roman" w:hAnsi="Times New Roman"/>
                <w:sz w:val="24"/>
                <w:szCs w:val="24"/>
                <w:lang w:val="sq-AL"/>
              </w:rPr>
            </w:pPr>
            <w:r>
              <w:rPr>
                <w:rFonts w:ascii="Times New Roman" w:hAnsi="Times New Roman"/>
                <w:noProof/>
                <w:color w:val="000000"/>
                <w:sz w:val="24"/>
                <w:szCs w:val="24"/>
                <w:lang w:val="sq-AL"/>
              </w:rPr>
              <w:t>Agjencia për Mbështetjen e Vetëqeverisjes Vendore</w:t>
            </w:r>
          </w:p>
        </w:tc>
      </w:tr>
      <w:tr w:rsidR="001A4B6E" w:rsidRPr="00641640" w14:paraId="335E36F9" w14:textId="77777777" w:rsidTr="001E76D1">
        <w:tc>
          <w:tcPr>
            <w:tcW w:w="1170" w:type="dxa"/>
          </w:tcPr>
          <w:p w14:paraId="0647294D" w14:textId="77777777" w:rsidR="001A4B6E" w:rsidRPr="00641640" w:rsidRDefault="001A4B6E" w:rsidP="00B37B36">
            <w:pPr>
              <w:spacing w:line="276" w:lineRule="auto"/>
              <w:rPr>
                <w:rFonts w:ascii="Times New Roman" w:hAnsi="Times New Roman"/>
                <w:noProof/>
                <w:sz w:val="24"/>
                <w:szCs w:val="24"/>
                <w:lang w:val="sq-AL"/>
              </w:rPr>
            </w:pPr>
            <w:r>
              <w:rPr>
                <w:rFonts w:ascii="Times New Roman" w:hAnsi="Times New Roman"/>
                <w:noProof/>
                <w:sz w:val="24"/>
                <w:szCs w:val="24"/>
                <w:lang w:val="sq-AL"/>
              </w:rPr>
              <w:t>APP</w:t>
            </w:r>
          </w:p>
        </w:tc>
        <w:tc>
          <w:tcPr>
            <w:tcW w:w="540" w:type="dxa"/>
          </w:tcPr>
          <w:p w14:paraId="730816FB" w14:textId="77777777" w:rsidR="001A4B6E" w:rsidRPr="00641640" w:rsidRDefault="001A4B6E" w:rsidP="00B37B36">
            <w:pPr>
              <w:spacing w:line="276" w:lineRule="auto"/>
              <w:jc w:val="center"/>
              <w:rPr>
                <w:rFonts w:ascii="Times New Roman" w:hAnsi="Times New Roman"/>
                <w:noProof/>
                <w:sz w:val="24"/>
                <w:szCs w:val="24"/>
                <w:lang w:val="sq-AL"/>
              </w:rPr>
            </w:pPr>
            <w:r>
              <w:rPr>
                <w:rFonts w:ascii="Times New Roman" w:hAnsi="Times New Roman"/>
                <w:noProof/>
                <w:sz w:val="24"/>
                <w:szCs w:val="24"/>
                <w:lang w:val="sq-AL"/>
              </w:rPr>
              <w:t>-</w:t>
            </w:r>
          </w:p>
        </w:tc>
        <w:tc>
          <w:tcPr>
            <w:tcW w:w="7831" w:type="dxa"/>
            <w:vAlign w:val="center"/>
          </w:tcPr>
          <w:p w14:paraId="18669B3D" w14:textId="77777777" w:rsidR="001A4B6E" w:rsidRPr="00641640" w:rsidRDefault="001A4B6E" w:rsidP="00B37B36">
            <w:pPr>
              <w:spacing w:line="276" w:lineRule="auto"/>
              <w:rPr>
                <w:rFonts w:ascii="Times New Roman" w:hAnsi="Times New Roman"/>
                <w:noProof/>
                <w:sz w:val="24"/>
                <w:szCs w:val="24"/>
                <w:lang w:val="sq-AL"/>
              </w:rPr>
            </w:pPr>
            <w:r>
              <w:rPr>
                <w:rFonts w:ascii="Times New Roman" w:hAnsi="Times New Roman"/>
                <w:noProof/>
                <w:sz w:val="24"/>
                <w:szCs w:val="24"/>
                <w:lang w:val="sq-AL"/>
              </w:rPr>
              <w:t>Agjencia e Prokurimit Publik</w:t>
            </w:r>
          </w:p>
        </w:tc>
      </w:tr>
      <w:tr w:rsidR="001A4B6E" w:rsidRPr="00641640" w14:paraId="0494D538" w14:textId="77777777" w:rsidTr="001E76D1">
        <w:tc>
          <w:tcPr>
            <w:tcW w:w="1170" w:type="dxa"/>
          </w:tcPr>
          <w:p w14:paraId="406FB0B2" w14:textId="77777777" w:rsidR="001A4B6E" w:rsidRPr="00352119" w:rsidRDefault="001A4B6E" w:rsidP="00B37B36">
            <w:pPr>
              <w:spacing w:line="276" w:lineRule="auto"/>
              <w:rPr>
                <w:rFonts w:ascii="Times New Roman" w:eastAsia="Times New Roman" w:hAnsi="Times New Roman"/>
                <w:noProof/>
                <w:sz w:val="24"/>
                <w:szCs w:val="24"/>
                <w:lang w:val="sq-AL"/>
              </w:rPr>
            </w:pPr>
            <w:r w:rsidRPr="00352119">
              <w:rPr>
                <w:rFonts w:ascii="Times New Roman" w:eastAsia="Times New Roman" w:hAnsi="Times New Roman"/>
                <w:noProof/>
                <w:sz w:val="24"/>
                <w:szCs w:val="24"/>
                <w:lang w:val="sq-AL"/>
              </w:rPr>
              <w:t>ASPA</w:t>
            </w:r>
          </w:p>
        </w:tc>
        <w:tc>
          <w:tcPr>
            <w:tcW w:w="540" w:type="dxa"/>
          </w:tcPr>
          <w:p w14:paraId="17DA6606" w14:textId="77777777" w:rsidR="001A4B6E" w:rsidRPr="00352119" w:rsidRDefault="001A4B6E" w:rsidP="00B37B36">
            <w:pPr>
              <w:spacing w:line="276" w:lineRule="auto"/>
              <w:jc w:val="center"/>
              <w:rPr>
                <w:rFonts w:ascii="Times New Roman" w:hAnsi="Times New Roman"/>
                <w:noProof/>
                <w:sz w:val="24"/>
                <w:szCs w:val="24"/>
                <w:lang w:val="sq-AL"/>
              </w:rPr>
            </w:pPr>
            <w:r>
              <w:rPr>
                <w:rFonts w:ascii="Times New Roman" w:hAnsi="Times New Roman"/>
                <w:noProof/>
                <w:sz w:val="24"/>
                <w:szCs w:val="24"/>
                <w:lang w:val="sq-AL"/>
              </w:rPr>
              <w:t>-</w:t>
            </w:r>
          </w:p>
        </w:tc>
        <w:tc>
          <w:tcPr>
            <w:tcW w:w="7831" w:type="dxa"/>
            <w:vAlign w:val="center"/>
          </w:tcPr>
          <w:p w14:paraId="3088A0FD" w14:textId="547236FA" w:rsidR="001A4B6E" w:rsidRPr="00352119" w:rsidRDefault="001A4B6E" w:rsidP="00B37B36">
            <w:pPr>
              <w:spacing w:line="276" w:lineRule="auto"/>
              <w:rPr>
                <w:rFonts w:ascii="Times New Roman" w:hAnsi="Times New Roman"/>
                <w:iCs/>
                <w:sz w:val="24"/>
                <w:szCs w:val="24"/>
              </w:rPr>
            </w:pPr>
            <w:r w:rsidRPr="00352119">
              <w:rPr>
                <w:rFonts w:ascii="Times New Roman" w:hAnsi="Times New Roman"/>
                <w:iCs/>
                <w:sz w:val="24"/>
                <w:szCs w:val="24"/>
              </w:rPr>
              <w:t>Shkolla Shqiptare e Administrat</w:t>
            </w:r>
            <w:r w:rsidR="0099658A">
              <w:rPr>
                <w:rFonts w:ascii="Times New Roman" w:hAnsi="Times New Roman"/>
                <w:iCs/>
                <w:sz w:val="24"/>
                <w:szCs w:val="24"/>
              </w:rPr>
              <w:t>ë</w:t>
            </w:r>
            <w:r w:rsidRPr="00352119">
              <w:rPr>
                <w:rFonts w:ascii="Times New Roman" w:hAnsi="Times New Roman"/>
                <w:iCs/>
                <w:sz w:val="24"/>
                <w:szCs w:val="24"/>
              </w:rPr>
              <w:t>s Publike</w:t>
            </w:r>
          </w:p>
        </w:tc>
      </w:tr>
      <w:tr w:rsidR="001A4B6E" w:rsidRPr="00641640" w14:paraId="17A14904" w14:textId="77777777" w:rsidTr="001E76D1">
        <w:tc>
          <w:tcPr>
            <w:tcW w:w="1170" w:type="dxa"/>
            <w:hideMark/>
          </w:tcPr>
          <w:p w14:paraId="5CC46782"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BE</w:t>
            </w:r>
          </w:p>
        </w:tc>
        <w:tc>
          <w:tcPr>
            <w:tcW w:w="540" w:type="dxa"/>
          </w:tcPr>
          <w:p w14:paraId="75C3DFD5"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hideMark/>
          </w:tcPr>
          <w:p w14:paraId="766EE703"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Bashkimi Evropian</w:t>
            </w:r>
          </w:p>
        </w:tc>
      </w:tr>
      <w:tr w:rsidR="001A4B6E" w:rsidRPr="00641640" w14:paraId="77BFDA56" w14:textId="77777777" w:rsidTr="001E76D1">
        <w:tc>
          <w:tcPr>
            <w:tcW w:w="1170" w:type="dxa"/>
          </w:tcPr>
          <w:p w14:paraId="217AD9B9"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hAnsi="Times New Roman"/>
                <w:noProof/>
                <w:sz w:val="24"/>
                <w:szCs w:val="24"/>
                <w:lang w:val="sq-AL"/>
              </w:rPr>
              <w:t>BNJ</w:t>
            </w:r>
          </w:p>
        </w:tc>
        <w:tc>
          <w:tcPr>
            <w:tcW w:w="540" w:type="dxa"/>
          </w:tcPr>
          <w:p w14:paraId="00FF5BB0" w14:textId="77777777" w:rsidR="001A4B6E" w:rsidRPr="00641640" w:rsidRDefault="001A4B6E" w:rsidP="00B37B36">
            <w:pPr>
              <w:spacing w:line="276" w:lineRule="auto"/>
              <w:jc w:val="center"/>
              <w:rPr>
                <w:rFonts w:ascii="Times New Roman" w:hAnsi="Times New Roman"/>
                <w:noProof/>
                <w:sz w:val="24"/>
                <w:szCs w:val="24"/>
                <w:lang w:val="sq-AL"/>
              </w:rPr>
            </w:pPr>
            <w:r w:rsidRPr="00641640">
              <w:rPr>
                <w:rFonts w:ascii="Times New Roman" w:hAnsi="Times New Roman"/>
                <w:noProof/>
                <w:sz w:val="24"/>
                <w:szCs w:val="24"/>
                <w:lang w:val="sq-AL"/>
              </w:rPr>
              <w:t>-</w:t>
            </w:r>
          </w:p>
        </w:tc>
        <w:tc>
          <w:tcPr>
            <w:tcW w:w="7831" w:type="dxa"/>
            <w:vAlign w:val="center"/>
          </w:tcPr>
          <w:p w14:paraId="5F6D1B5E"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hAnsi="Times New Roman"/>
                <w:noProof/>
                <w:sz w:val="24"/>
                <w:szCs w:val="24"/>
                <w:lang w:val="sq-AL"/>
              </w:rPr>
              <w:t>Burimet Njerëzore</w:t>
            </w:r>
          </w:p>
        </w:tc>
      </w:tr>
      <w:tr w:rsidR="001A4B6E" w:rsidRPr="00641640" w14:paraId="0BC606F5" w14:textId="77777777" w:rsidTr="001E76D1">
        <w:tc>
          <w:tcPr>
            <w:tcW w:w="1170" w:type="dxa"/>
          </w:tcPr>
          <w:p w14:paraId="1627FDD8" w14:textId="77777777" w:rsidR="001A4B6E" w:rsidRPr="00641640" w:rsidRDefault="001A4B6E" w:rsidP="00B37B36">
            <w:pPr>
              <w:spacing w:line="276" w:lineRule="auto"/>
              <w:rPr>
                <w:rFonts w:ascii="Times New Roman" w:hAnsi="Times New Roman"/>
                <w:noProof/>
                <w:sz w:val="24"/>
                <w:szCs w:val="24"/>
                <w:lang w:val="sq-AL"/>
              </w:rPr>
            </w:pPr>
            <w:r w:rsidRPr="00641640">
              <w:rPr>
                <w:rFonts w:ascii="Times New Roman" w:hAnsi="Times New Roman"/>
                <w:noProof/>
                <w:sz w:val="24"/>
                <w:szCs w:val="24"/>
                <w:lang w:val="sq-AL"/>
              </w:rPr>
              <w:t>DAP</w:t>
            </w:r>
          </w:p>
        </w:tc>
        <w:tc>
          <w:tcPr>
            <w:tcW w:w="540" w:type="dxa"/>
          </w:tcPr>
          <w:p w14:paraId="174210D4" w14:textId="77777777" w:rsidR="001A4B6E" w:rsidRPr="00641640" w:rsidRDefault="001A4B6E" w:rsidP="00B37B36">
            <w:pPr>
              <w:spacing w:line="276" w:lineRule="auto"/>
              <w:jc w:val="center"/>
              <w:rPr>
                <w:rFonts w:ascii="Times New Roman" w:hAnsi="Times New Roman"/>
                <w:noProof/>
                <w:sz w:val="24"/>
                <w:szCs w:val="24"/>
                <w:lang w:val="sq-AL"/>
              </w:rPr>
            </w:pPr>
            <w:r w:rsidRPr="00641640">
              <w:rPr>
                <w:rFonts w:ascii="Times New Roman" w:hAnsi="Times New Roman"/>
                <w:noProof/>
                <w:sz w:val="24"/>
                <w:szCs w:val="24"/>
                <w:lang w:val="sq-AL"/>
              </w:rPr>
              <w:t>-</w:t>
            </w:r>
          </w:p>
        </w:tc>
        <w:tc>
          <w:tcPr>
            <w:tcW w:w="7831" w:type="dxa"/>
            <w:vAlign w:val="center"/>
          </w:tcPr>
          <w:p w14:paraId="5C8C41D2" w14:textId="77777777" w:rsidR="001A4B6E" w:rsidRPr="00641640" w:rsidRDefault="001A4B6E" w:rsidP="00B37B36">
            <w:pPr>
              <w:spacing w:line="276" w:lineRule="auto"/>
              <w:rPr>
                <w:rFonts w:ascii="Times New Roman" w:hAnsi="Times New Roman"/>
                <w:noProof/>
                <w:sz w:val="24"/>
                <w:szCs w:val="24"/>
                <w:lang w:val="sq-AL"/>
              </w:rPr>
            </w:pPr>
            <w:r w:rsidRPr="00641640">
              <w:rPr>
                <w:rFonts w:ascii="Times New Roman" w:hAnsi="Times New Roman"/>
                <w:noProof/>
                <w:sz w:val="24"/>
                <w:szCs w:val="24"/>
                <w:lang w:val="sq-AL"/>
              </w:rPr>
              <w:t>Departamenti i Administratës Publike</w:t>
            </w:r>
          </w:p>
        </w:tc>
      </w:tr>
      <w:tr w:rsidR="001A4B6E" w:rsidRPr="001D7836" w14:paraId="288E56FB" w14:textId="77777777" w:rsidTr="001E76D1">
        <w:tc>
          <w:tcPr>
            <w:tcW w:w="1170" w:type="dxa"/>
          </w:tcPr>
          <w:p w14:paraId="4705AD89" w14:textId="77777777" w:rsidR="001A4B6E" w:rsidRPr="00352119" w:rsidRDefault="001A4B6E" w:rsidP="00B37B36">
            <w:pPr>
              <w:spacing w:line="276" w:lineRule="auto"/>
              <w:rPr>
                <w:rFonts w:ascii="Times New Roman" w:eastAsia="Times New Roman" w:hAnsi="Times New Roman"/>
                <w:noProof/>
                <w:sz w:val="24"/>
                <w:szCs w:val="24"/>
                <w:lang w:val="sq-AL"/>
              </w:rPr>
            </w:pPr>
            <w:r>
              <w:rPr>
                <w:rFonts w:ascii="Times New Roman" w:eastAsia="Times New Roman" w:hAnsi="Times New Roman"/>
                <w:noProof/>
                <w:sz w:val="24"/>
                <w:szCs w:val="24"/>
                <w:lang w:val="sq-AL"/>
              </w:rPr>
              <w:t>DPIE</w:t>
            </w:r>
          </w:p>
        </w:tc>
        <w:tc>
          <w:tcPr>
            <w:tcW w:w="540" w:type="dxa"/>
          </w:tcPr>
          <w:p w14:paraId="3FDF3404" w14:textId="77777777" w:rsidR="001A4B6E" w:rsidRPr="00352119" w:rsidRDefault="001A4B6E" w:rsidP="00B37B36">
            <w:pPr>
              <w:spacing w:line="276" w:lineRule="auto"/>
              <w:jc w:val="center"/>
              <w:rPr>
                <w:rFonts w:ascii="Times New Roman" w:hAnsi="Times New Roman"/>
                <w:noProof/>
                <w:sz w:val="24"/>
                <w:szCs w:val="24"/>
                <w:lang w:val="sq-AL"/>
              </w:rPr>
            </w:pPr>
            <w:r>
              <w:rPr>
                <w:rFonts w:ascii="Times New Roman" w:hAnsi="Times New Roman"/>
                <w:noProof/>
                <w:sz w:val="24"/>
                <w:szCs w:val="24"/>
                <w:lang w:val="sq-AL"/>
              </w:rPr>
              <w:t>-</w:t>
            </w:r>
          </w:p>
        </w:tc>
        <w:tc>
          <w:tcPr>
            <w:tcW w:w="7831" w:type="dxa"/>
            <w:vAlign w:val="center"/>
          </w:tcPr>
          <w:p w14:paraId="70DB4FB9" w14:textId="77777777" w:rsidR="001A4B6E" w:rsidRPr="00352119" w:rsidRDefault="001A4B6E" w:rsidP="00B37B36">
            <w:pPr>
              <w:spacing w:line="276" w:lineRule="auto"/>
              <w:rPr>
                <w:rFonts w:ascii="Times New Roman" w:hAnsi="Times New Roman"/>
                <w:sz w:val="24"/>
                <w:szCs w:val="24"/>
                <w:lang w:val="sq-AL"/>
              </w:rPr>
            </w:pPr>
            <w:r>
              <w:rPr>
                <w:rFonts w:ascii="Times New Roman" w:hAnsi="Times New Roman"/>
                <w:sz w:val="24"/>
                <w:szCs w:val="24"/>
                <w:lang w:val="sq-AL"/>
              </w:rPr>
              <w:t>Departamenti i Politikave për Integrimin Evropian</w:t>
            </w:r>
          </w:p>
        </w:tc>
      </w:tr>
      <w:tr w:rsidR="001A4B6E" w:rsidRPr="00641640" w14:paraId="3F74C417" w14:textId="77777777" w:rsidTr="001E76D1">
        <w:tc>
          <w:tcPr>
            <w:tcW w:w="1170" w:type="dxa"/>
          </w:tcPr>
          <w:p w14:paraId="77ABAEE0"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DPP</w:t>
            </w:r>
          </w:p>
        </w:tc>
        <w:tc>
          <w:tcPr>
            <w:tcW w:w="540" w:type="dxa"/>
          </w:tcPr>
          <w:p w14:paraId="1060C376"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tcPr>
          <w:p w14:paraId="6B37318C"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Dokumenti i Politikave Prioritare</w:t>
            </w:r>
          </w:p>
        </w:tc>
      </w:tr>
      <w:tr w:rsidR="001A4B6E" w:rsidRPr="001D7836" w14:paraId="1C7BDD5A" w14:textId="77777777" w:rsidTr="001E76D1">
        <w:tc>
          <w:tcPr>
            <w:tcW w:w="1170" w:type="dxa"/>
          </w:tcPr>
          <w:p w14:paraId="7D93867C" w14:textId="77777777" w:rsidR="001A4B6E" w:rsidRPr="00641640" w:rsidRDefault="001A4B6E" w:rsidP="00B37B36">
            <w:pPr>
              <w:spacing w:line="276" w:lineRule="auto"/>
              <w:rPr>
                <w:rFonts w:ascii="Times New Roman" w:hAnsi="Times New Roman"/>
                <w:noProof/>
                <w:sz w:val="24"/>
                <w:szCs w:val="24"/>
                <w:lang w:val="sq-AL"/>
              </w:rPr>
            </w:pPr>
            <w:r w:rsidRPr="00641640">
              <w:rPr>
                <w:rFonts w:ascii="Times New Roman" w:hAnsi="Times New Roman"/>
                <w:noProof/>
                <w:sz w:val="24"/>
                <w:szCs w:val="24"/>
                <w:lang w:val="sq-AL"/>
              </w:rPr>
              <w:t>GMIP</w:t>
            </w:r>
          </w:p>
        </w:tc>
        <w:tc>
          <w:tcPr>
            <w:tcW w:w="540" w:type="dxa"/>
          </w:tcPr>
          <w:p w14:paraId="1F9B44FA" w14:textId="77777777" w:rsidR="001A4B6E" w:rsidRPr="00641640" w:rsidRDefault="001A4B6E" w:rsidP="00B37B36">
            <w:pPr>
              <w:spacing w:line="276" w:lineRule="auto"/>
              <w:jc w:val="center"/>
              <w:rPr>
                <w:rFonts w:ascii="Times New Roman" w:hAnsi="Times New Roman"/>
                <w:noProof/>
                <w:sz w:val="24"/>
                <w:szCs w:val="24"/>
                <w:lang w:val="sq-AL"/>
              </w:rPr>
            </w:pPr>
            <w:r w:rsidRPr="00641640">
              <w:rPr>
                <w:rFonts w:ascii="Times New Roman" w:hAnsi="Times New Roman"/>
                <w:noProof/>
                <w:sz w:val="24"/>
                <w:szCs w:val="24"/>
                <w:lang w:val="sq-AL"/>
              </w:rPr>
              <w:t>-</w:t>
            </w:r>
          </w:p>
        </w:tc>
        <w:tc>
          <w:tcPr>
            <w:tcW w:w="7831" w:type="dxa"/>
            <w:vAlign w:val="center"/>
          </w:tcPr>
          <w:p w14:paraId="22B1DD19" w14:textId="77777777" w:rsidR="001A4B6E" w:rsidRPr="00641640" w:rsidRDefault="001A4B6E" w:rsidP="00B37B36">
            <w:pPr>
              <w:spacing w:line="276" w:lineRule="auto"/>
              <w:rPr>
                <w:rFonts w:ascii="Times New Roman" w:hAnsi="Times New Roman"/>
                <w:noProof/>
                <w:sz w:val="24"/>
                <w:szCs w:val="24"/>
                <w:lang w:val="sq-AL"/>
              </w:rPr>
            </w:pPr>
            <w:r w:rsidRPr="00641640">
              <w:rPr>
                <w:rFonts w:ascii="Times New Roman" w:hAnsi="Times New Roman"/>
                <w:noProof/>
                <w:sz w:val="24"/>
                <w:szCs w:val="24"/>
                <w:lang w:val="sq-AL"/>
              </w:rPr>
              <w:t>Grupi i Menaxhimit të Integruar të Politikave</w:t>
            </w:r>
          </w:p>
        </w:tc>
      </w:tr>
      <w:tr w:rsidR="001A4B6E" w:rsidRPr="00641640" w14:paraId="788A62DC" w14:textId="77777777" w:rsidTr="001E76D1">
        <w:tc>
          <w:tcPr>
            <w:tcW w:w="1170" w:type="dxa"/>
          </w:tcPr>
          <w:p w14:paraId="56E7944B" w14:textId="77777777" w:rsidR="001A4B6E" w:rsidRPr="00641640" w:rsidRDefault="001A4B6E" w:rsidP="00B37B36">
            <w:pPr>
              <w:spacing w:line="276" w:lineRule="auto"/>
              <w:rPr>
                <w:rFonts w:ascii="Times New Roman" w:hAnsi="Times New Roman"/>
                <w:noProof/>
                <w:sz w:val="24"/>
                <w:szCs w:val="24"/>
                <w:lang w:val="sq-AL"/>
              </w:rPr>
            </w:pPr>
            <w:r w:rsidRPr="00641640">
              <w:rPr>
                <w:rFonts w:ascii="Times New Roman" w:hAnsi="Times New Roman"/>
                <w:noProof/>
                <w:sz w:val="24"/>
                <w:szCs w:val="24"/>
                <w:lang w:val="sq-AL"/>
              </w:rPr>
              <w:t>INSTAT</w:t>
            </w:r>
          </w:p>
        </w:tc>
        <w:tc>
          <w:tcPr>
            <w:tcW w:w="540" w:type="dxa"/>
          </w:tcPr>
          <w:p w14:paraId="0D30EFD8" w14:textId="77777777" w:rsidR="001A4B6E" w:rsidRPr="00641640" w:rsidRDefault="001A4B6E" w:rsidP="00B37B36">
            <w:pPr>
              <w:spacing w:line="276" w:lineRule="auto"/>
              <w:jc w:val="center"/>
              <w:rPr>
                <w:rFonts w:ascii="Times New Roman" w:hAnsi="Times New Roman"/>
                <w:noProof/>
                <w:sz w:val="24"/>
                <w:szCs w:val="24"/>
                <w:lang w:val="sq-AL"/>
              </w:rPr>
            </w:pPr>
            <w:r w:rsidRPr="00641640">
              <w:rPr>
                <w:rFonts w:ascii="Times New Roman" w:hAnsi="Times New Roman"/>
                <w:noProof/>
                <w:sz w:val="24"/>
                <w:szCs w:val="24"/>
                <w:lang w:val="sq-AL"/>
              </w:rPr>
              <w:t>-</w:t>
            </w:r>
          </w:p>
        </w:tc>
        <w:tc>
          <w:tcPr>
            <w:tcW w:w="7831" w:type="dxa"/>
            <w:vAlign w:val="center"/>
          </w:tcPr>
          <w:p w14:paraId="296DE8D8" w14:textId="77777777" w:rsidR="001A4B6E" w:rsidRPr="00641640" w:rsidRDefault="001A4B6E" w:rsidP="00B37B36">
            <w:pPr>
              <w:spacing w:line="276" w:lineRule="auto"/>
              <w:rPr>
                <w:rFonts w:ascii="Times New Roman" w:hAnsi="Times New Roman"/>
                <w:noProof/>
                <w:sz w:val="24"/>
                <w:szCs w:val="24"/>
                <w:lang w:val="sq-AL"/>
              </w:rPr>
            </w:pPr>
            <w:r w:rsidRPr="00641640">
              <w:rPr>
                <w:rFonts w:ascii="Times New Roman" w:hAnsi="Times New Roman"/>
                <w:noProof/>
                <w:sz w:val="24"/>
                <w:szCs w:val="24"/>
                <w:lang w:val="sq-AL"/>
              </w:rPr>
              <w:t>Instituti i Statistikave</w:t>
            </w:r>
          </w:p>
        </w:tc>
      </w:tr>
      <w:tr w:rsidR="001A4B6E" w:rsidRPr="001D7836" w14:paraId="1DC581F1" w14:textId="77777777" w:rsidTr="001E76D1">
        <w:tc>
          <w:tcPr>
            <w:tcW w:w="1170" w:type="dxa"/>
            <w:hideMark/>
          </w:tcPr>
          <w:p w14:paraId="6FFF7B32"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hAnsi="Times New Roman"/>
                <w:noProof/>
                <w:sz w:val="24"/>
                <w:szCs w:val="24"/>
                <w:lang w:val="sq-AL"/>
              </w:rPr>
              <w:t>IPA</w:t>
            </w:r>
          </w:p>
        </w:tc>
        <w:tc>
          <w:tcPr>
            <w:tcW w:w="540" w:type="dxa"/>
          </w:tcPr>
          <w:p w14:paraId="37260EF2" w14:textId="77777777" w:rsidR="001A4B6E" w:rsidRPr="00641640" w:rsidRDefault="001A4B6E" w:rsidP="00B37B36">
            <w:pPr>
              <w:spacing w:line="276" w:lineRule="auto"/>
              <w:jc w:val="center"/>
              <w:rPr>
                <w:rFonts w:ascii="Times New Roman" w:hAnsi="Times New Roman"/>
                <w:noProof/>
                <w:sz w:val="24"/>
                <w:szCs w:val="24"/>
                <w:lang w:val="sq-AL"/>
              </w:rPr>
            </w:pPr>
            <w:r w:rsidRPr="00641640">
              <w:rPr>
                <w:rFonts w:ascii="Times New Roman" w:hAnsi="Times New Roman"/>
                <w:noProof/>
                <w:sz w:val="24"/>
                <w:szCs w:val="24"/>
                <w:lang w:val="sq-AL"/>
              </w:rPr>
              <w:t>-</w:t>
            </w:r>
          </w:p>
        </w:tc>
        <w:tc>
          <w:tcPr>
            <w:tcW w:w="7831" w:type="dxa"/>
            <w:vAlign w:val="center"/>
            <w:hideMark/>
          </w:tcPr>
          <w:p w14:paraId="4A183567" w14:textId="77777777" w:rsidR="001A4B6E" w:rsidRPr="00641640" w:rsidRDefault="001A4B6E" w:rsidP="00B37B36">
            <w:pPr>
              <w:spacing w:line="276" w:lineRule="auto"/>
              <w:rPr>
                <w:rFonts w:ascii="Times New Roman" w:hAnsi="Times New Roman"/>
                <w:noProof/>
                <w:sz w:val="24"/>
                <w:szCs w:val="24"/>
                <w:lang w:val="sq-AL"/>
              </w:rPr>
            </w:pPr>
            <w:r w:rsidRPr="00641640">
              <w:rPr>
                <w:rFonts w:ascii="Times New Roman" w:hAnsi="Times New Roman"/>
                <w:noProof/>
                <w:sz w:val="24"/>
                <w:szCs w:val="24"/>
                <w:lang w:val="sq-AL"/>
              </w:rPr>
              <w:t>Instrumenti i Asistencës së Para-Aderimit</w:t>
            </w:r>
          </w:p>
        </w:tc>
      </w:tr>
      <w:tr w:rsidR="001A4B6E" w:rsidRPr="001D7836" w14:paraId="22BD5AA0" w14:textId="77777777" w:rsidTr="001E76D1">
        <w:tc>
          <w:tcPr>
            <w:tcW w:w="1170" w:type="dxa"/>
          </w:tcPr>
          <w:p w14:paraId="3D16C601" w14:textId="77777777" w:rsidR="001A4B6E" w:rsidRPr="00352119" w:rsidRDefault="001A4B6E" w:rsidP="00B37B36">
            <w:pPr>
              <w:spacing w:line="276" w:lineRule="auto"/>
              <w:rPr>
                <w:rFonts w:ascii="Times New Roman" w:eastAsia="Times New Roman" w:hAnsi="Times New Roman"/>
                <w:noProof/>
                <w:sz w:val="24"/>
                <w:szCs w:val="24"/>
                <w:lang w:val="sq-AL"/>
              </w:rPr>
            </w:pPr>
            <w:r w:rsidRPr="00352119">
              <w:rPr>
                <w:rFonts w:ascii="Times New Roman" w:eastAsia="Times New Roman" w:hAnsi="Times New Roman"/>
                <w:noProof/>
                <w:sz w:val="24"/>
                <w:szCs w:val="24"/>
                <w:lang w:val="sq-AL"/>
              </w:rPr>
              <w:t>KDIMDP</w:t>
            </w:r>
          </w:p>
        </w:tc>
        <w:tc>
          <w:tcPr>
            <w:tcW w:w="540" w:type="dxa"/>
          </w:tcPr>
          <w:p w14:paraId="2DB6EAD5" w14:textId="77777777" w:rsidR="001A4B6E" w:rsidRPr="00352119" w:rsidRDefault="001A4B6E" w:rsidP="00B37B36">
            <w:pPr>
              <w:spacing w:line="276" w:lineRule="auto"/>
              <w:jc w:val="center"/>
              <w:rPr>
                <w:rFonts w:ascii="Times New Roman" w:hAnsi="Times New Roman"/>
                <w:noProof/>
                <w:sz w:val="24"/>
                <w:szCs w:val="24"/>
                <w:lang w:val="sq-AL"/>
              </w:rPr>
            </w:pPr>
            <w:r>
              <w:rPr>
                <w:rFonts w:ascii="Times New Roman" w:hAnsi="Times New Roman"/>
                <w:noProof/>
                <w:sz w:val="24"/>
                <w:szCs w:val="24"/>
                <w:lang w:val="sq-AL"/>
              </w:rPr>
              <w:t>-</w:t>
            </w:r>
          </w:p>
        </w:tc>
        <w:tc>
          <w:tcPr>
            <w:tcW w:w="7831" w:type="dxa"/>
            <w:vAlign w:val="center"/>
          </w:tcPr>
          <w:p w14:paraId="5D5BB861" w14:textId="77777777" w:rsidR="001A4B6E" w:rsidRPr="001D7836" w:rsidRDefault="001A4B6E" w:rsidP="00B37B36">
            <w:pPr>
              <w:spacing w:line="276" w:lineRule="auto"/>
              <w:rPr>
                <w:rFonts w:ascii="Times New Roman" w:hAnsi="Times New Roman"/>
                <w:iCs/>
                <w:sz w:val="24"/>
                <w:szCs w:val="24"/>
                <w:lang w:val="it-IT"/>
              </w:rPr>
            </w:pPr>
            <w:r w:rsidRPr="00352119">
              <w:rPr>
                <w:rFonts w:ascii="Times New Roman" w:hAnsi="Times New Roman"/>
                <w:sz w:val="24"/>
                <w:szCs w:val="24"/>
                <w:lang w:val="sq-AL"/>
              </w:rPr>
              <w:t>Komisioneri</w:t>
            </w:r>
            <w:r>
              <w:rPr>
                <w:rFonts w:ascii="Times New Roman" w:hAnsi="Times New Roman"/>
                <w:sz w:val="24"/>
                <w:szCs w:val="24"/>
                <w:lang w:val="sq-AL"/>
              </w:rPr>
              <w:t xml:space="preserve"> </w:t>
            </w:r>
            <w:r w:rsidRPr="00352119">
              <w:rPr>
                <w:rFonts w:ascii="Times New Roman" w:hAnsi="Times New Roman"/>
                <w:sz w:val="24"/>
                <w:szCs w:val="24"/>
                <w:lang w:val="sq-AL"/>
              </w:rPr>
              <w:t>për të Drejtën e Informimit dhe Mbrojtjen e të Dhënave Personale</w:t>
            </w:r>
          </w:p>
        </w:tc>
      </w:tr>
      <w:tr w:rsidR="001A4B6E" w:rsidRPr="00641640" w14:paraId="5298C45F" w14:textId="77777777" w:rsidTr="001E76D1">
        <w:tc>
          <w:tcPr>
            <w:tcW w:w="1170" w:type="dxa"/>
          </w:tcPr>
          <w:p w14:paraId="554A697E" w14:textId="77777777" w:rsidR="001A4B6E" w:rsidRPr="00641640" w:rsidRDefault="001A4B6E" w:rsidP="00B37B36">
            <w:pPr>
              <w:spacing w:line="276" w:lineRule="auto"/>
              <w:rPr>
                <w:rFonts w:ascii="Times New Roman" w:hAnsi="Times New Roman"/>
                <w:noProof/>
                <w:sz w:val="24"/>
                <w:szCs w:val="24"/>
                <w:lang w:val="sq-AL"/>
              </w:rPr>
            </w:pPr>
            <w:r w:rsidRPr="00641640">
              <w:rPr>
                <w:rFonts w:ascii="Times New Roman" w:hAnsi="Times New Roman"/>
                <w:noProof/>
                <w:sz w:val="24"/>
                <w:szCs w:val="24"/>
                <w:lang w:val="sq-AL"/>
              </w:rPr>
              <w:t>KE</w:t>
            </w:r>
          </w:p>
        </w:tc>
        <w:tc>
          <w:tcPr>
            <w:tcW w:w="540" w:type="dxa"/>
          </w:tcPr>
          <w:p w14:paraId="22BDD78C" w14:textId="77777777" w:rsidR="001A4B6E" w:rsidRPr="00641640" w:rsidRDefault="001A4B6E" w:rsidP="00B37B36">
            <w:pPr>
              <w:spacing w:line="276" w:lineRule="auto"/>
              <w:jc w:val="center"/>
              <w:rPr>
                <w:rFonts w:ascii="Times New Roman" w:hAnsi="Times New Roman"/>
                <w:noProof/>
                <w:sz w:val="24"/>
                <w:szCs w:val="24"/>
                <w:lang w:val="sq-AL"/>
              </w:rPr>
            </w:pPr>
            <w:r w:rsidRPr="00641640">
              <w:rPr>
                <w:rFonts w:ascii="Times New Roman" w:hAnsi="Times New Roman"/>
                <w:noProof/>
                <w:sz w:val="24"/>
                <w:szCs w:val="24"/>
                <w:lang w:val="sq-AL"/>
              </w:rPr>
              <w:t>-</w:t>
            </w:r>
          </w:p>
        </w:tc>
        <w:tc>
          <w:tcPr>
            <w:tcW w:w="7831" w:type="dxa"/>
            <w:vAlign w:val="center"/>
          </w:tcPr>
          <w:p w14:paraId="6802E85A" w14:textId="77777777" w:rsidR="001A4B6E" w:rsidRPr="00641640" w:rsidRDefault="001A4B6E" w:rsidP="00B37B36">
            <w:pPr>
              <w:spacing w:line="276" w:lineRule="auto"/>
              <w:rPr>
                <w:rFonts w:ascii="Times New Roman" w:hAnsi="Times New Roman"/>
                <w:noProof/>
                <w:sz w:val="24"/>
                <w:szCs w:val="24"/>
                <w:lang w:val="sq-AL"/>
              </w:rPr>
            </w:pPr>
            <w:r w:rsidRPr="00641640">
              <w:rPr>
                <w:rFonts w:ascii="Times New Roman" w:hAnsi="Times New Roman"/>
                <w:noProof/>
                <w:sz w:val="24"/>
                <w:szCs w:val="24"/>
                <w:lang w:val="sq-AL"/>
              </w:rPr>
              <w:t>Komisioni Evropian</w:t>
            </w:r>
          </w:p>
        </w:tc>
      </w:tr>
      <w:tr w:rsidR="001A4B6E" w:rsidRPr="00641640" w14:paraId="779FB4E3" w14:textId="77777777" w:rsidTr="001E76D1">
        <w:tc>
          <w:tcPr>
            <w:tcW w:w="1170" w:type="dxa"/>
          </w:tcPr>
          <w:p w14:paraId="49B25E22" w14:textId="77777777" w:rsidR="001A4B6E" w:rsidRPr="00641640" w:rsidRDefault="001A4B6E" w:rsidP="00B37B36">
            <w:pPr>
              <w:spacing w:line="276" w:lineRule="auto"/>
              <w:rPr>
                <w:rFonts w:ascii="Times New Roman" w:hAnsi="Times New Roman"/>
                <w:noProof/>
                <w:sz w:val="24"/>
                <w:szCs w:val="24"/>
                <w:lang w:val="sq-AL"/>
              </w:rPr>
            </w:pPr>
            <w:r w:rsidRPr="00641640">
              <w:rPr>
                <w:rFonts w:ascii="Times New Roman" w:hAnsi="Times New Roman"/>
                <w:noProof/>
                <w:sz w:val="24"/>
                <w:szCs w:val="24"/>
                <w:lang w:val="sq-AL"/>
              </w:rPr>
              <w:t>KM</w:t>
            </w:r>
          </w:p>
        </w:tc>
        <w:tc>
          <w:tcPr>
            <w:tcW w:w="540" w:type="dxa"/>
          </w:tcPr>
          <w:p w14:paraId="5AD20E39" w14:textId="77777777" w:rsidR="001A4B6E" w:rsidRPr="00641640" w:rsidRDefault="001A4B6E" w:rsidP="00B37B36">
            <w:pPr>
              <w:spacing w:line="276" w:lineRule="auto"/>
              <w:jc w:val="center"/>
              <w:rPr>
                <w:rFonts w:ascii="Times New Roman" w:hAnsi="Times New Roman"/>
                <w:noProof/>
                <w:sz w:val="24"/>
                <w:szCs w:val="24"/>
                <w:lang w:val="sq-AL"/>
              </w:rPr>
            </w:pPr>
            <w:r w:rsidRPr="00641640">
              <w:rPr>
                <w:rFonts w:ascii="Times New Roman" w:hAnsi="Times New Roman"/>
                <w:noProof/>
                <w:sz w:val="24"/>
                <w:szCs w:val="24"/>
                <w:lang w:val="sq-AL"/>
              </w:rPr>
              <w:t>-</w:t>
            </w:r>
          </w:p>
        </w:tc>
        <w:tc>
          <w:tcPr>
            <w:tcW w:w="7831" w:type="dxa"/>
            <w:vAlign w:val="center"/>
          </w:tcPr>
          <w:p w14:paraId="477892AC" w14:textId="77777777" w:rsidR="001A4B6E" w:rsidRPr="00641640" w:rsidRDefault="001A4B6E" w:rsidP="00B37B36">
            <w:pPr>
              <w:spacing w:line="276" w:lineRule="auto"/>
              <w:rPr>
                <w:rFonts w:ascii="Times New Roman" w:hAnsi="Times New Roman"/>
                <w:noProof/>
                <w:sz w:val="24"/>
                <w:szCs w:val="24"/>
                <w:lang w:val="sq-AL"/>
              </w:rPr>
            </w:pPr>
            <w:r w:rsidRPr="00641640">
              <w:rPr>
                <w:rFonts w:ascii="Times New Roman" w:hAnsi="Times New Roman"/>
                <w:noProof/>
                <w:sz w:val="24"/>
                <w:szCs w:val="24"/>
                <w:lang w:val="sq-AL"/>
              </w:rPr>
              <w:t>Këshillit të Ministrave</w:t>
            </w:r>
          </w:p>
        </w:tc>
      </w:tr>
      <w:tr w:rsidR="001A4B6E" w:rsidRPr="00641640" w14:paraId="57F2CA61" w14:textId="77777777" w:rsidTr="001E76D1">
        <w:tc>
          <w:tcPr>
            <w:tcW w:w="1170" w:type="dxa"/>
          </w:tcPr>
          <w:p w14:paraId="44EB5197"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KPS</w:t>
            </w:r>
          </w:p>
        </w:tc>
        <w:tc>
          <w:tcPr>
            <w:tcW w:w="540" w:type="dxa"/>
          </w:tcPr>
          <w:p w14:paraId="12A5E1B4"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tcPr>
          <w:p w14:paraId="00D073B0"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Komiteti i Planifikimit Strategjik</w:t>
            </w:r>
          </w:p>
        </w:tc>
      </w:tr>
      <w:tr w:rsidR="001A4B6E" w:rsidRPr="00641640" w14:paraId="735A858A" w14:textId="77777777" w:rsidTr="001E76D1">
        <w:tc>
          <w:tcPr>
            <w:tcW w:w="1170" w:type="dxa"/>
          </w:tcPr>
          <w:p w14:paraId="184AC1DC"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LDI</w:t>
            </w:r>
          </w:p>
        </w:tc>
        <w:tc>
          <w:tcPr>
            <w:tcW w:w="540" w:type="dxa"/>
          </w:tcPr>
          <w:p w14:paraId="06FBD2F7"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tcPr>
          <w:p w14:paraId="05D9107F"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 xml:space="preserve">Ligji </w:t>
            </w:r>
            <w:r w:rsidRPr="00641640">
              <w:rPr>
                <w:rFonts w:ascii="Times New Roman" w:hAnsi="Times New Roman"/>
                <w:noProof/>
                <w:sz w:val="24"/>
                <w:szCs w:val="24"/>
                <w:lang w:val="sq-AL"/>
              </w:rPr>
              <w:t>për të drejtën e informimit</w:t>
            </w:r>
          </w:p>
        </w:tc>
      </w:tr>
      <w:tr w:rsidR="001A4B6E" w:rsidRPr="00641640" w14:paraId="0AF199C0" w14:textId="77777777" w:rsidTr="001E76D1">
        <w:tc>
          <w:tcPr>
            <w:tcW w:w="1170" w:type="dxa"/>
          </w:tcPr>
          <w:p w14:paraId="72C2022E" w14:textId="77777777" w:rsidR="001A4B6E" w:rsidRPr="00F70CF5" w:rsidRDefault="001A4B6E" w:rsidP="00B37B36">
            <w:pPr>
              <w:spacing w:line="276" w:lineRule="auto"/>
              <w:rPr>
                <w:rFonts w:ascii="Times New Roman" w:eastAsia="Times New Roman" w:hAnsi="Times New Roman"/>
                <w:noProof/>
                <w:sz w:val="24"/>
                <w:szCs w:val="24"/>
                <w:lang w:val="sq-AL"/>
              </w:rPr>
            </w:pPr>
            <w:r w:rsidRPr="00F70CF5">
              <w:rPr>
                <w:rFonts w:ascii="Times New Roman" w:eastAsia="Times New Roman" w:hAnsi="Times New Roman"/>
                <w:noProof/>
                <w:sz w:val="24"/>
                <w:szCs w:val="24"/>
                <w:lang w:val="sq-AL"/>
              </w:rPr>
              <w:t>MAPA</w:t>
            </w:r>
          </w:p>
        </w:tc>
        <w:tc>
          <w:tcPr>
            <w:tcW w:w="540" w:type="dxa"/>
          </w:tcPr>
          <w:p w14:paraId="17DA9314" w14:textId="77777777" w:rsidR="001A4B6E" w:rsidRPr="00F70CF5" w:rsidRDefault="001A4B6E" w:rsidP="00B37B36">
            <w:pPr>
              <w:spacing w:line="276" w:lineRule="auto"/>
              <w:jc w:val="center"/>
              <w:rPr>
                <w:rFonts w:ascii="Times New Roman" w:hAnsi="Times New Roman"/>
                <w:noProof/>
                <w:sz w:val="24"/>
                <w:szCs w:val="24"/>
                <w:lang w:val="sq-AL"/>
              </w:rPr>
            </w:pPr>
            <w:r>
              <w:rPr>
                <w:rFonts w:ascii="Times New Roman" w:hAnsi="Times New Roman"/>
                <w:noProof/>
                <w:sz w:val="24"/>
                <w:szCs w:val="24"/>
                <w:lang w:val="sq-AL"/>
              </w:rPr>
              <w:t>-</w:t>
            </w:r>
          </w:p>
        </w:tc>
        <w:tc>
          <w:tcPr>
            <w:tcW w:w="7831" w:type="dxa"/>
            <w:vAlign w:val="center"/>
          </w:tcPr>
          <w:p w14:paraId="37491D30" w14:textId="5472A66E" w:rsidR="001A4B6E" w:rsidRPr="00F70CF5" w:rsidRDefault="001A4B6E" w:rsidP="00B37B36">
            <w:pPr>
              <w:spacing w:line="276" w:lineRule="auto"/>
              <w:rPr>
                <w:rFonts w:ascii="Times New Roman" w:hAnsi="Times New Roman"/>
                <w:iCs/>
                <w:sz w:val="24"/>
                <w:szCs w:val="24"/>
              </w:rPr>
            </w:pPr>
            <w:r w:rsidRPr="00F70CF5">
              <w:rPr>
                <w:rFonts w:ascii="Times New Roman" w:hAnsi="Times New Roman"/>
                <w:iCs/>
                <w:sz w:val="24"/>
                <w:szCs w:val="24"/>
              </w:rPr>
              <w:t>Ministri p</w:t>
            </w:r>
            <w:r w:rsidR="0099658A">
              <w:rPr>
                <w:rFonts w:ascii="Times New Roman" w:hAnsi="Times New Roman"/>
                <w:iCs/>
                <w:sz w:val="24"/>
                <w:szCs w:val="24"/>
              </w:rPr>
              <w:t>ë</w:t>
            </w:r>
            <w:r w:rsidRPr="00F70CF5">
              <w:rPr>
                <w:rFonts w:ascii="Times New Roman" w:hAnsi="Times New Roman"/>
                <w:iCs/>
                <w:sz w:val="24"/>
                <w:szCs w:val="24"/>
              </w:rPr>
              <w:t>r Administrat</w:t>
            </w:r>
            <w:r w:rsidR="0099658A">
              <w:rPr>
                <w:rFonts w:ascii="Times New Roman" w:hAnsi="Times New Roman"/>
                <w:iCs/>
                <w:sz w:val="24"/>
                <w:szCs w:val="24"/>
              </w:rPr>
              <w:t>ë</w:t>
            </w:r>
            <w:r w:rsidRPr="00F70CF5">
              <w:rPr>
                <w:rFonts w:ascii="Times New Roman" w:hAnsi="Times New Roman"/>
                <w:iCs/>
                <w:sz w:val="24"/>
                <w:szCs w:val="24"/>
              </w:rPr>
              <w:t>n Publike dhe Antikorrupsionin</w:t>
            </w:r>
          </w:p>
        </w:tc>
      </w:tr>
      <w:tr w:rsidR="001A4B6E" w:rsidRPr="00641640" w14:paraId="7A7A1756" w14:textId="77777777" w:rsidTr="001E76D1">
        <w:tc>
          <w:tcPr>
            <w:tcW w:w="1170" w:type="dxa"/>
          </w:tcPr>
          <w:p w14:paraId="71A41005"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MBNJ</w:t>
            </w:r>
          </w:p>
        </w:tc>
        <w:tc>
          <w:tcPr>
            <w:tcW w:w="540" w:type="dxa"/>
          </w:tcPr>
          <w:p w14:paraId="3E0795A4"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tcPr>
          <w:p w14:paraId="440477F0"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Menaxhimi i Burimeve Njer</w:t>
            </w:r>
            <w:r w:rsidRPr="00641640">
              <w:rPr>
                <w:rFonts w:ascii="Times New Roman" w:hAnsi="Times New Roman"/>
                <w:noProof/>
                <w:sz w:val="24"/>
                <w:szCs w:val="24"/>
                <w:lang w:val="sq-AL"/>
              </w:rPr>
              <w:t>ë</w:t>
            </w:r>
            <w:r w:rsidRPr="00641640">
              <w:rPr>
                <w:rFonts w:ascii="Times New Roman" w:eastAsia="Times New Roman" w:hAnsi="Times New Roman"/>
                <w:noProof/>
                <w:sz w:val="24"/>
                <w:szCs w:val="24"/>
                <w:lang w:val="sq-AL"/>
              </w:rPr>
              <w:t>zore</w:t>
            </w:r>
          </w:p>
        </w:tc>
      </w:tr>
      <w:tr w:rsidR="001A4B6E" w:rsidRPr="00641640" w14:paraId="3C546406" w14:textId="77777777" w:rsidTr="001E76D1">
        <w:tc>
          <w:tcPr>
            <w:tcW w:w="1170" w:type="dxa"/>
          </w:tcPr>
          <w:p w14:paraId="38DE46B0"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MD</w:t>
            </w:r>
          </w:p>
        </w:tc>
        <w:tc>
          <w:tcPr>
            <w:tcW w:w="540" w:type="dxa"/>
          </w:tcPr>
          <w:p w14:paraId="424A9EEF" w14:textId="77777777" w:rsidR="001A4B6E" w:rsidRPr="00641640" w:rsidRDefault="001A4B6E" w:rsidP="00B37B36">
            <w:pPr>
              <w:spacing w:line="276" w:lineRule="auto"/>
              <w:jc w:val="center"/>
              <w:rPr>
                <w:rFonts w:ascii="Times New Roman" w:hAnsi="Times New Roman"/>
                <w:noProof/>
                <w:sz w:val="24"/>
                <w:szCs w:val="24"/>
                <w:lang w:val="sq-AL"/>
              </w:rPr>
            </w:pPr>
            <w:r w:rsidRPr="00641640">
              <w:rPr>
                <w:rFonts w:ascii="Times New Roman" w:hAnsi="Times New Roman"/>
                <w:noProof/>
                <w:sz w:val="24"/>
                <w:szCs w:val="24"/>
                <w:lang w:val="sq-AL"/>
              </w:rPr>
              <w:t>-</w:t>
            </w:r>
          </w:p>
        </w:tc>
        <w:tc>
          <w:tcPr>
            <w:tcW w:w="7831" w:type="dxa"/>
            <w:vAlign w:val="center"/>
          </w:tcPr>
          <w:p w14:paraId="43C01E3A"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hAnsi="Times New Roman"/>
                <w:noProof/>
                <w:sz w:val="24"/>
                <w:szCs w:val="24"/>
                <w:lang w:val="sq-AL"/>
              </w:rPr>
              <w:t>Ministria e Drejtësisë</w:t>
            </w:r>
          </w:p>
        </w:tc>
      </w:tr>
      <w:tr w:rsidR="001A4B6E" w:rsidRPr="001D7836" w14:paraId="50418874" w14:textId="77777777" w:rsidTr="001E76D1">
        <w:tc>
          <w:tcPr>
            <w:tcW w:w="1170" w:type="dxa"/>
          </w:tcPr>
          <w:p w14:paraId="0C8E0290" w14:textId="77777777" w:rsidR="001A4B6E" w:rsidRPr="00F70CF5" w:rsidRDefault="001A4B6E" w:rsidP="00B37B36">
            <w:pPr>
              <w:spacing w:line="276" w:lineRule="auto"/>
              <w:rPr>
                <w:rFonts w:ascii="Times New Roman" w:eastAsia="Times New Roman" w:hAnsi="Times New Roman"/>
                <w:noProof/>
                <w:sz w:val="24"/>
                <w:szCs w:val="24"/>
                <w:lang w:val="sq-AL"/>
              </w:rPr>
            </w:pPr>
            <w:r w:rsidRPr="00F70CF5">
              <w:rPr>
                <w:rFonts w:ascii="Times New Roman" w:eastAsia="Times New Roman" w:hAnsi="Times New Roman"/>
                <w:noProof/>
                <w:sz w:val="24"/>
                <w:szCs w:val="24"/>
                <w:lang w:val="sq-AL"/>
              </w:rPr>
              <w:t>MEKI</w:t>
            </w:r>
          </w:p>
        </w:tc>
        <w:tc>
          <w:tcPr>
            <w:tcW w:w="540" w:type="dxa"/>
          </w:tcPr>
          <w:p w14:paraId="3F05139F" w14:textId="77777777" w:rsidR="001A4B6E" w:rsidRPr="00F70CF5" w:rsidRDefault="001A4B6E" w:rsidP="00B37B36">
            <w:pPr>
              <w:spacing w:line="276" w:lineRule="auto"/>
              <w:jc w:val="center"/>
              <w:rPr>
                <w:rFonts w:ascii="Times New Roman" w:hAnsi="Times New Roman"/>
                <w:noProof/>
                <w:sz w:val="24"/>
                <w:szCs w:val="24"/>
                <w:lang w:val="sq-AL"/>
              </w:rPr>
            </w:pPr>
            <w:r>
              <w:rPr>
                <w:rFonts w:ascii="Times New Roman" w:hAnsi="Times New Roman"/>
                <w:noProof/>
                <w:sz w:val="24"/>
                <w:szCs w:val="24"/>
                <w:lang w:val="sq-AL"/>
              </w:rPr>
              <w:t>-</w:t>
            </w:r>
          </w:p>
        </w:tc>
        <w:tc>
          <w:tcPr>
            <w:tcW w:w="7831" w:type="dxa"/>
            <w:vAlign w:val="center"/>
          </w:tcPr>
          <w:p w14:paraId="40CE9546" w14:textId="0C05F7DC" w:rsidR="001A4B6E" w:rsidRPr="00F70CF5" w:rsidRDefault="001A4B6E" w:rsidP="00B37B36">
            <w:pPr>
              <w:spacing w:line="276" w:lineRule="auto"/>
              <w:rPr>
                <w:rFonts w:ascii="Times New Roman" w:hAnsi="Times New Roman"/>
                <w:noProof/>
                <w:sz w:val="24"/>
                <w:szCs w:val="24"/>
                <w:lang w:val="sq-AL"/>
              </w:rPr>
            </w:pPr>
            <w:r w:rsidRPr="00F70CF5">
              <w:rPr>
                <w:rFonts w:ascii="Times New Roman" w:hAnsi="Times New Roman"/>
                <w:noProof/>
                <w:sz w:val="24"/>
                <w:szCs w:val="24"/>
                <w:lang w:val="sq-AL"/>
              </w:rPr>
              <w:t>Ministria e Ekonomis</w:t>
            </w:r>
            <w:r w:rsidR="0099658A">
              <w:rPr>
                <w:rFonts w:ascii="Times New Roman" w:hAnsi="Times New Roman"/>
                <w:noProof/>
                <w:sz w:val="24"/>
                <w:szCs w:val="24"/>
                <w:lang w:val="sq-AL"/>
              </w:rPr>
              <w:t>ë</w:t>
            </w:r>
            <w:r w:rsidRPr="00F70CF5">
              <w:rPr>
                <w:rFonts w:ascii="Times New Roman" w:hAnsi="Times New Roman"/>
                <w:noProof/>
                <w:sz w:val="24"/>
                <w:szCs w:val="24"/>
                <w:lang w:val="sq-AL"/>
              </w:rPr>
              <w:t>, Kultur</w:t>
            </w:r>
            <w:r w:rsidR="0099658A">
              <w:rPr>
                <w:rFonts w:ascii="Times New Roman" w:hAnsi="Times New Roman"/>
                <w:noProof/>
                <w:sz w:val="24"/>
                <w:szCs w:val="24"/>
                <w:lang w:val="sq-AL"/>
              </w:rPr>
              <w:t>ë</w:t>
            </w:r>
            <w:r w:rsidRPr="00F70CF5">
              <w:rPr>
                <w:rFonts w:ascii="Times New Roman" w:hAnsi="Times New Roman"/>
                <w:noProof/>
                <w:sz w:val="24"/>
                <w:szCs w:val="24"/>
                <w:lang w:val="sq-AL"/>
              </w:rPr>
              <w:t>s dhe Inovacionit</w:t>
            </w:r>
          </w:p>
        </w:tc>
      </w:tr>
      <w:tr w:rsidR="001A4B6E" w:rsidRPr="00641640" w14:paraId="3803D99B" w14:textId="77777777" w:rsidTr="001E76D1">
        <w:tc>
          <w:tcPr>
            <w:tcW w:w="1170" w:type="dxa"/>
            <w:hideMark/>
          </w:tcPr>
          <w:p w14:paraId="7D1CA4CD"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MF</w:t>
            </w:r>
          </w:p>
        </w:tc>
        <w:tc>
          <w:tcPr>
            <w:tcW w:w="540" w:type="dxa"/>
          </w:tcPr>
          <w:p w14:paraId="4EEB446F"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hideMark/>
          </w:tcPr>
          <w:p w14:paraId="32AD28D2"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Ministria e Financave</w:t>
            </w:r>
          </w:p>
        </w:tc>
      </w:tr>
      <w:tr w:rsidR="001A4B6E" w:rsidRPr="00641640" w14:paraId="2676C70F" w14:textId="77777777" w:rsidTr="001E76D1">
        <w:tc>
          <w:tcPr>
            <w:tcW w:w="1170" w:type="dxa"/>
          </w:tcPr>
          <w:p w14:paraId="06BFD692" w14:textId="77777777" w:rsidR="001A4B6E" w:rsidRPr="00352119" w:rsidRDefault="001A4B6E" w:rsidP="00B37B36">
            <w:pPr>
              <w:spacing w:line="276" w:lineRule="auto"/>
              <w:rPr>
                <w:rFonts w:ascii="Times New Roman" w:eastAsia="Times New Roman" w:hAnsi="Times New Roman"/>
                <w:noProof/>
                <w:sz w:val="24"/>
                <w:szCs w:val="24"/>
                <w:lang w:val="sq-AL"/>
              </w:rPr>
            </w:pPr>
            <w:r w:rsidRPr="00352119">
              <w:rPr>
                <w:rFonts w:ascii="Times New Roman" w:eastAsia="Times New Roman" w:hAnsi="Times New Roman"/>
                <w:noProof/>
                <w:sz w:val="24"/>
                <w:szCs w:val="24"/>
                <w:lang w:val="sq-AL"/>
              </w:rPr>
              <w:t>MF</w:t>
            </w:r>
          </w:p>
        </w:tc>
        <w:tc>
          <w:tcPr>
            <w:tcW w:w="540" w:type="dxa"/>
          </w:tcPr>
          <w:p w14:paraId="0897488E" w14:textId="77777777" w:rsidR="001A4B6E" w:rsidRPr="00352119" w:rsidRDefault="001A4B6E" w:rsidP="00B37B36">
            <w:pPr>
              <w:spacing w:line="276" w:lineRule="auto"/>
              <w:jc w:val="center"/>
              <w:rPr>
                <w:rFonts w:ascii="Times New Roman" w:hAnsi="Times New Roman"/>
                <w:noProof/>
                <w:sz w:val="24"/>
                <w:szCs w:val="24"/>
                <w:lang w:val="sq-AL"/>
              </w:rPr>
            </w:pPr>
            <w:r>
              <w:rPr>
                <w:rFonts w:ascii="Times New Roman" w:hAnsi="Times New Roman"/>
                <w:noProof/>
                <w:sz w:val="24"/>
                <w:szCs w:val="24"/>
                <w:lang w:val="sq-AL"/>
              </w:rPr>
              <w:t>-</w:t>
            </w:r>
          </w:p>
        </w:tc>
        <w:tc>
          <w:tcPr>
            <w:tcW w:w="7831" w:type="dxa"/>
            <w:vAlign w:val="center"/>
          </w:tcPr>
          <w:p w14:paraId="2EC714D4" w14:textId="77777777" w:rsidR="001A4B6E" w:rsidRPr="00352119" w:rsidRDefault="001A4B6E" w:rsidP="00B37B36">
            <w:pPr>
              <w:spacing w:line="276" w:lineRule="auto"/>
              <w:rPr>
                <w:rFonts w:ascii="Times New Roman" w:hAnsi="Times New Roman"/>
                <w:iCs/>
                <w:sz w:val="24"/>
                <w:szCs w:val="24"/>
              </w:rPr>
            </w:pPr>
            <w:r w:rsidRPr="00352119">
              <w:rPr>
                <w:rFonts w:ascii="Times New Roman" w:hAnsi="Times New Roman"/>
                <w:iCs/>
                <w:sz w:val="24"/>
                <w:szCs w:val="24"/>
              </w:rPr>
              <w:t>Ministria e Financave</w:t>
            </w:r>
          </w:p>
        </w:tc>
      </w:tr>
      <w:tr w:rsidR="001A4B6E" w:rsidRPr="00641640" w14:paraId="12718299" w14:textId="77777777" w:rsidTr="001E76D1">
        <w:tc>
          <w:tcPr>
            <w:tcW w:w="1170" w:type="dxa"/>
          </w:tcPr>
          <w:p w14:paraId="35BF4D36" w14:textId="77777777" w:rsidR="001A4B6E" w:rsidRPr="00F70CF5" w:rsidRDefault="001A4B6E" w:rsidP="00B37B36">
            <w:pPr>
              <w:spacing w:line="276" w:lineRule="auto"/>
              <w:rPr>
                <w:rFonts w:ascii="Times New Roman" w:eastAsia="Times New Roman" w:hAnsi="Times New Roman"/>
                <w:noProof/>
                <w:sz w:val="24"/>
                <w:szCs w:val="24"/>
                <w:lang w:val="sq-AL"/>
              </w:rPr>
            </w:pPr>
            <w:r w:rsidRPr="00F70CF5">
              <w:rPr>
                <w:rFonts w:ascii="Times New Roman" w:eastAsia="Times New Roman" w:hAnsi="Times New Roman"/>
                <w:noProof/>
                <w:sz w:val="24"/>
                <w:szCs w:val="24"/>
                <w:lang w:val="sq-AL"/>
              </w:rPr>
              <w:t>MIE</w:t>
            </w:r>
          </w:p>
        </w:tc>
        <w:tc>
          <w:tcPr>
            <w:tcW w:w="540" w:type="dxa"/>
          </w:tcPr>
          <w:p w14:paraId="0701E464" w14:textId="77777777" w:rsidR="001A4B6E" w:rsidRPr="00F70CF5" w:rsidRDefault="001A4B6E" w:rsidP="00B37B36">
            <w:pPr>
              <w:spacing w:line="276" w:lineRule="auto"/>
              <w:jc w:val="center"/>
              <w:rPr>
                <w:rFonts w:ascii="Times New Roman" w:hAnsi="Times New Roman"/>
                <w:noProof/>
                <w:sz w:val="24"/>
                <w:szCs w:val="24"/>
                <w:lang w:val="sq-AL"/>
              </w:rPr>
            </w:pPr>
            <w:r>
              <w:rPr>
                <w:rFonts w:ascii="Times New Roman" w:hAnsi="Times New Roman"/>
                <w:noProof/>
                <w:sz w:val="24"/>
                <w:szCs w:val="24"/>
                <w:lang w:val="sq-AL"/>
              </w:rPr>
              <w:t>-</w:t>
            </w:r>
          </w:p>
        </w:tc>
        <w:tc>
          <w:tcPr>
            <w:tcW w:w="7831" w:type="dxa"/>
            <w:vAlign w:val="center"/>
          </w:tcPr>
          <w:p w14:paraId="6EA386A6" w14:textId="0087A79E" w:rsidR="001A4B6E" w:rsidRPr="00F70CF5" w:rsidRDefault="001A4B6E" w:rsidP="00B37B36">
            <w:pPr>
              <w:spacing w:line="276" w:lineRule="auto"/>
              <w:rPr>
                <w:rFonts w:ascii="Times New Roman" w:hAnsi="Times New Roman"/>
                <w:noProof/>
                <w:sz w:val="24"/>
                <w:szCs w:val="24"/>
                <w:lang w:val="sq-AL"/>
              </w:rPr>
            </w:pPr>
            <w:r w:rsidRPr="00F70CF5">
              <w:rPr>
                <w:rFonts w:ascii="Times New Roman" w:hAnsi="Times New Roman"/>
                <w:noProof/>
                <w:sz w:val="24"/>
                <w:szCs w:val="24"/>
                <w:lang w:val="sq-AL"/>
              </w:rPr>
              <w:t>Ministria e Infrastruktur</w:t>
            </w:r>
            <w:r w:rsidR="0099658A">
              <w:rPr>
                <w:rFonts w:ascii="Times New Roman" w:hAnsi="Times New Roman"/>
                <w:noProof/>
                <w:sz w:val="24"/>
                <w:szCs w:val="24"/>
                <w:lang w:val="sq-AL"/>
              </w:rPr>
              <w:t>ë</w:t>
            </w:r>
            <w:r w:rsidRPr="00F70CF5">
              <w:rPr>
                <w:rFonts w:ascii="Times New Roman" w:hAnsi="Times New Roman"/>
                <w:noProof/>
                <w:sz w:val="24"/>
                <w:szCs w:val="24"/>
                <w:lang w:val="sq-AL"/>
              </w:rPr>
              <w:t>s dhe Energjis</w:t>
            </w:r>
            <w:r w:rsidR="0099658A">
              <w:rPr>
                <w:rFonts w:ascii="Times New Roman" w:hAnsi="Times New Roman"/>
                <w:noProof/>
                <w:sz w:val="24"/>
                <w:szCs w:val="24"/>
                <w:lang w:val="sq-AL"/>
              </w:rPr>
              <w:t>ë</w:t>
            </w:r>
          </w:p>
        </w:tc>
      </w:tr>
      <w:tr w:rsidR="001A4B6E" w:rsidRPr="00641640" w14:paraId="02BA312A" w14:textId="77777777" w:rsidTr="001E76D1">
        <w:tc>
          <w:tcPr>
            <w:tcW w:w="1170" w:type="dxa"/>
            <w:hideMark/>
          </w:tcPr>
          <w:p w14:paraId="27ABD777"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ML</w:t>
            </w:r>
          </w:p>
        </w:tc>
        <w:tc>
          <w:tcPr>
            <w:tcW w:w="540" w:type="dxa"/>
          </w:tcPr>
          <w:p w14:paraId="0675A655"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hideMark/>
          </w:tcPr>
          <w:p w14:paraId="6A7AC3E6"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Ministri Linje</w:t>
            </w:r>
          </w:p>
        </w:tc>
      </w:tr>
      <w:tr w:rsidR="001A4B6E" w:rsidRPr="00641640" w14:paraId="02A4D2A1" w14:textId="77777777" w:rsidTr="001E76D1">
        <w:tc>
          <w:tcPr>
            <w:tcW w:w="1170" w:type="dxa"/>
          </w:tcPr>
          <w:p w14:paraId="3BFCCD3C"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MSA</w:t>
            </w:r>
          </w:p>
        </w:tc>
        <w:tc>
          <w:tcPr>
            <w:tcW w:w="540" w:type="dxa"/>
          </w:tcPr>
          <w:p w14:paraId="6C5A3A62" w14:textId="77777777" w:rsidR="001A4B6E" w:rsidRPr="00641640" w:rsidRDefault="001A4B6E" w:rsidP="00B37B36">
            <w:pPr>
              <w:spacing w:line="276" w:lineRule="auto"/>
              <w:jc w:val="center"/>
              <w:rPr>
                <w:rFonts w:ascii="Times New Roman" w:hAnsi="Times New Roman"/>
                <w:noProof/>
                <w:sz w:val="24"/>
                <w:szCs w:val="24"/>
                <w:lang w:val="sq-AL"/>
              </w:rPr>
            </w:pPr>
            <w:r w:rsidRPr="00641640">
              <w:rPr>
                <w:rFonts w:ascii="Times New Roman" w:hAnsi="Times New Roman"/>
                <w:noProof/>
                <w:sz w:val="24"/>
                <w:szCs w:val="24"/>
                <w:lang w:val="sq-AL"/>
              </w:rPr>
              <w:t>-</w:t>
            </w:r>
          </w:p>
        </w:tc>
        <w:tc>
          <w:tcPr>
            <w:tcW w:w="7831" w:type="dxa"/>
            <w:vAlign w:val="center"/>
          </w:tcPr>
          <w:p w14:paraId="5C7EAC4C"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hAnsi="Times New Roman"/>
                <w:noProof/>
                <w:sz w:val="24"/>
                <w:szCs w:val="24"/>
                <w:lang w:val="sq-AL"/>
              </w:rPr>
              <w:t>Marrëveshja e Stabilizim Asociimit</w:t>
            </w:r>
          </w:p>
        </w:tc>
      </w:tr>
      <w:tr w:rsidR="001A4B6E" w:rsidRPr="00641640" w14:paraId="75D9C2D9" w14:textId="77777777" w:rsidTr="001E76D1">
        <w:tc>
          <w:tcPr>
            <w:tcW w:w="1170" w:type="dxa"/>
          </w:tcPr>
          <w:p w14:paraId="08311700" w14:textId="35687101"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hAnsi="Times New Roman"/>
                <w:noProof/>
                <w:sz w:val="24"/>
                <w:szCs w:val="24"/>
                <w:lang w:val="sq-AL"/>
              </w:rPr>
              <w:t>M</w:t>
            </w:r>
            <w:r w:rsidR="00705927">
              <w:rPr>
                <w:rFonts w:ascii="Times New Roman" w:hAnsi="Times New Roman"/>
                <w:noProof/>
                <w:sz w:val="24"/>
                <w:szCs w:val="24"/>
                <w:lang w:val="sq-AL"/>
              </w:rPr>
              <w:t>i</w:t>
            </w:r>
            <w:r w:rsidRPr="00641640">
              <w:rPr>
                <w:rFonts w:ascii="Times New Roman" w:hAnsi="Times New Roman"/>
                <w:noProof/>
                <w:sz w:val="24"/>
                <w:szCs w:val="24"/>
                <w:lang w:val="sq-AL"/>
              </w:rPr>
              <w:t>S</w:t>
            </w:r>
            <w:r w:rsidR="006351A0">
              <w:rPr>
                <w:rFonts w:ascii="Times New Roman" w:hAnsi="Times New Roman"/>
                <w:noProof/>
                <w:sz w:val="24"/>
                <w:szCs w:val="24"/>
                <w:lang w:val="sq-AL"/>
              </w:rPr>
              <w:t>H</w:t>
            </w:r>
            <w:r w:rsidRPr="00641640">
              <w:rPr>
                <w:rFonts w:ascii="Times New Roman" w:hAnsi="Times New Roman"/>
                <w:noProof/>
                <w:sz w:val="24"/>
                <w:szCs w:val="24"/>
                <w:lang w:val="sq-AL"/>
              </w:rPr>
              <w:t>SKB</w:t>
            </w:r>
          </w:p>
        </w:tc>
        <w:tc>
          <w:tcPr>
            <w:tcW w:w="540" w:type="dxa"/>
          </w:tcPr>
          <w:p w14:paraId="5E4C0A6E" w14:textId="77777777" w:rsidR="001A4B6E" w:rsidRPr="00641640" w:rsidRDefault="001A4B6E" w:rsidP="00B37B36">
            <w:pPr>
              <w:spacing w:line="276" w:lineRule="auto"/>
              <w:jc w:val="center"/>
              <w:rPr>
                <w:rFonts w:ascii="Times New Roman" w:hAnsi="Times New Roman"/>
                <w:noProof/>
                <w:sz w:val="24"/>
                <w:szCs w:val="24"/>
                <w:lang w:val="sq-AL"/>
              </w:rPr>
            </w:pPr>
            <w:r w:rsidRPr="00641640">
              <w:rPr>
                <w:rFonts w:ascii="Times New Roman" w:hAnsi="Times New Roman"/>
                <w:noProof/>
                <w:sz w:val="24"/>
                <w:szCs w:val="24"/>
                <w:lang w:val="sq-AL"/>
              </w:rPr>
              <w:t>-</w:t>
            </w:r>
          </w:p>
        </w:tc>
        <w:tc>
          <w:tcPr>
            <w:tcW w:w="7831" w:type="dxa"/>
            <w:vAlign w:val="center"/>
          </w:tcPr>
          <w:p w14:paraId="26390DF9"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hAnsi="Times New Roman"/>
                <w:noProof/>
                <w:sz w:val="24"/>
                <w:szCs w:val="24"/>
                <w:lang w:val="sq-AL"/>
              </w:rPr>
              <w:t>Ministri i Shtetit për Sipërmarrjen dhe Klimën e Biznesit</w:t>
            </w:r>
          </w:p>
        </w:tc>
      </w:tr>
      <w:tr w:rsidR="001A4B6E" w:rsidRPr="00641640" w14:paraId="696496DC" w14:textId="77777777" w:rsidTr="001E76D1">
        <w:tc>
          <w:tcPr>
            <w:tcW w:w="1170" w:type="dxa"/>
          </w:tcPr>
          <w:p w14:paraId="3E150448" w14:textId="77777777" w:rsidR="001A4B6E" w:rsidRPr="00F70CF5" w:rsidRDefault="001A4B6E" w:rsidP="00B37B36">
            <w:pPr>
              <w:spacing w:line="276" w:lineRule="auto"/>
              <w:rPr>
                <w:rFonts w:ascii="Times New Roman" w:eastAsia="Times New Roman" w:hAnsi="Times New Roman"/>
                <w:noProof/>
                <w:sz w:val="24"/>
                <w:szCs w:val="24"/>
                <w:lang w:val="sq-AL"/>
              </w:rPr>
            </w:pPr>
            <w:r w:rsidRPr="00F70CF5">
              <w:rPr>
                <w:rFonts w:ascii="Times New Roman" w:eastAsia="Times New Roman" w:hAnsi="Times New Roman"/>
                <w:noProof/>
                <w:sz w:val="24"/>
                <w:szCs w:val="24"/>
                <w:lang w:val="sq-AL"/>
              </w:rPr>
              <w:lastRenderedPageBreak/>
              <w:t>MSHK</w:t>
            </w:r>
          </w:p>
        </w:tc>
        <w:tc>
          <w:tcPr>
            <w:tcW w:w="540" w:type="dxa"/>
          </w:tcPr>
          <w:p w14:paraId="475204F7" w14:textId="77777777" w:rsidR="001A4B6E" w:rsidRPr="00F70CF5" w:rsidRDefault="001A4B6E" w:rsidP="00B37B36">
            <w:pPr>
              <w:spacing w:line="276" w:lineRule="auto"/>
              <w:jc w:val="center"/>
              <w:rPr>
                <w:rFonts w:ascii="Times New Roman" w:hAnsi="Times New Roman"/>
                <w:noProof/>
                <w:sz w:val="24"/>
                <w:szCs w:val="24"/>
                <w:lang w:val="sq-AL"/>
              </w:rPr>
            </w:pPr>
            <w:r>
              <w:rPr>
                <w:rFonts w:ascii="Times New Roman" w:hAnsi="Times New Roman"/>
                <w:noProof/>
                <w:sz w:val="24"/>
                <w:szCs w:val="24"/>
                <w:lang w:val="sq-AL"/>
              </w:rPr>
              <w:t>-</w:t>
            </w:r>
          </w:p>
        </w:tc>
        <w:tc>
          <w:tcPr>
            <w:tcW w:w="7831" w:type="dxa"/>
            <w:vAlign w:val="center"/>
          </w:tcPr>
          <w:p w14:paraId="30954429" w14:textId="77777777" w:rsidR="001A4B6E" w:rsidRPr="00F70CF5" w:rsidRDefault="001A4B6E" w:rsidP="00B37B36">
            <w:pPr>
              <w:spacing w:line="276" w:lineRule="auto"/>
              <w:rPr>
                <w:rFonts w:ascii="Times New Roman" w:hAnsi="Times New Roman"/>
                <w:noProof/>
                <w:sz w:val="24"/>
                <w:szCs w:val="24"/>
                <w:lang w:val="sq-AL"/>
              </w:rPr>
            </w:pPr>
            <w:r w:rsidRPr="00F70CF5">
              <w:rPr>
                <w:rFonts w:ascii="Times New Roman" w:hAnsi="Times New Roman"/>
                <w:noProof/>
                <w:sz w:val="24"/>
                <w:szCs w:val="24"/>
                <w:lang w:val="sq-AL"/>
              </w:rPr>
              <w:t>Ministri i Shtetit dhe Kryenegociator</w:t>
            </w:r>
          </w:p>
        </w:tc>
      </w:tr>
      <w:tr w:rsidR="001A4B6E" w:rsidRPr="00641640" w14:paraId="633AE8EA" w14:textId="77777777" w:rsidTr="001E76D1">
        <w:tc>
          <w:tcPr>
            <w:tcW w:w="1170" w:type="dxa"/>
          </w:tcPr>
          <w:p w14:paraId="52FC5814" w14:textId="77777777" w:rsidR="001A4B6E" w:rsidRPr="00F70CF5" w:rsidRDefault="001A4B6E" w:rsidP="00B37B36">
            <w:pPr>
              <w:spacing w:line="276" w:lineRule="auto"/>
              <w:rPr>
                <w:rFonts w:ascii="Times New Roman" w:eastAsia="Times New Roman" w:hAnsi="Times New Roman"/>
                <w:noProof/>
                <w:sz w:val="24"/>
                <w:szCs w:val="24"/>
                <w:lang w:val="sq-AL"/>
              </w:rPr>
            </w:pPr>
            <w:r w:rsidRPr="00F70CF5">
              <w:rPr>
                <w:rFonts w:ascii="Times New Roman" w:eastAsia="Times New Roman" w:hAnsi="Times New Roman"/>
                <w:noProof/>
                <w:sz w:val="24"/>
                <w:szCs w:val="24"/>
                <w:lang w:val="sq-AL"/>
              </w:rPr>
              <w:t>MSHMP</w:t>
            </w:r>
          </w:p>
        </w:tc>
        <w:tc>
          <w:tcPr>
            <w:tcW w:w="540" w:type="dxa"/>
          </w:tcPr>
          <w:p w14:paraId="35CBCF28" w14:textId="77777777" w:rsidR="001A4B6E" w:rsidRPr="00F70CF5" w:rsidRDefault="001A4B6E" w:rsidP="00B37B36">
            <w:pPr>
              <w:spacing w:line="276" w:lineRule="auto"/>
              <w:jc w:val="center"/>
              <w:rPr>
                <w:rFonts w:ascii="Times New Roman" w:hAnsi="Times New Roman"/>
                <w:noProof/>
                <w:sz w:val="24"/>
                <w:szCs w:val="24"/>
                <w:lang w:val="sq-AL"/>
              </w:rPr>
            </w:pPr>
            <w:r>
              <w:rPr>
                <w:rFonts w:ascii="Times New Roman" w:hAnsi="Times New Roman"/>
                <w:noProof/>
                <w:sz w:val="24"/>
                <w:szCs w:val="24"/>
                <w:lang w:val="sq-AL"/>
              </w:rPr>
              <w:t>-</w:t>
            </w:r>
          </w:p>
        </w:tc>
        <w:tc>
          <w:tcPr>
            <w:tcW w:w="7831" w:type="dxa"/>
            <w:vAlign w:val="center"/>
          </w:tcPr>
          <w:p w14:paraId="66D70DD7" w14:textId="77777777" w:rsidR="001A4B6E" w:rsidRPr="00F70CF5" w:rsidRDefault="001A4B6E" w:rsidP="00B37B36">
            <w:pPr>
              <w:spacing w:line="276" w:lineRule="auto"/>
              <w:rPr>
                <w:rFonts w:ascii="Times New Roman" w:hAnsi="Times New Roman"/>
                <w:noProof/>
                <w:sz w:val="24"/>
                <w:szCs w:val="24"/>
                <w:lang w:val="sq-AL"/>
              </w:rPr>
            </w:pPr>
            <w:r w:rsidRPr="00F70CF5">
              <w:rPr>
                <w:rFonts w:ascii="Times New Roman" w:hAnsi="Times New Roman"/>
                <w:iCs/>
                <w:sz w:val="24"/>
                <w:szCs w:val="24"/>
              </w:rPr>
              <w:t>Ministrit të Shtetit për Marrëdhëniet me Parlamentin</w:t>
            </w:r>
          </w:p>
        </w:tc>
      </w:tr>
      <w:tr w:rsidR="001A4B6E" w:rsidRPr="00641640" w14:paraId="2D8BDFDE" w14:textId="77777777" w:rsidTr="001E76D1">
        <w:tc>
          <w:tcPr>
            <w:tcW w:w="1170" w:type="dxa"/>
          </w:tcPr>
          <w:p w14:paraId="660643DB" w14:textId="77777777" w:rsidR="001A4B6E" w:rsidRPr="00F70CF5" w:rsidRDefault="001A4B6E" w:rsidP="00B37B36">
            <w:pPr>
              <w:spacing w:line="276" w:lineRule="auto"/>
              <w:rPr>
                <w:rFonts w:ascii="Times New Roman" w:eastAsia="Times New Roman" w:hAnsi="Times New Roman"/>
                <w:noProof/>
                <w:sz w:val="24"/>
                <w:szCs w:val="24"/>
                <w:lang w:val="sq-AL"/>
              </w:rPr>
            </w:pPr>
            <w:r w:rsidRPr="00F70CF5">
              <w:rPr>
                <w:rFonts w:ascii="Times New Roman" w:eastAsia="Times New Roman" w:hAnsi="Times New Roman"/>
                <w:noProof/>
                <w:sz w:val="24"/>
                <w:szCs w:val="24"/>
                <w:lang w:val="sq-AL"/>
              </w:rPr>
              <w:t>MSHPV</w:t>
            </w:r>
          </w:p>
        </w:tc>
        <w:tc>
          <w:tcPr>
            <w:tcW w:w="540" w:type="dxa"/>
          </w:tcPr>
          <w:p w14:paraId="19660326" w14:textId="77777777" w:rsidR="001A4B6E" w:rsidRPr="00F70CF5" w:rsidRDefault="001A4B6E" w:rsidP="00B37B36">
            <w:pPr>
              <w:spacing w:line="276" w:lineRule="auto"/>
              <w:jc w:val="center"/>
              <w:rPr>
                <w:rFonts w:ascii="Times New Roman" w:hAnsi="Times New Roman"/>
                <w:noProof/>
                <w:sz w:val="24"/>
                <w:szCs w:val="24"/>
                <w:lang w:val="sq-AL"/>
              </w:rPr>
            </w:pPr>
            <w:r>
              <w:rPr>
                <w:rFonts w:ascii="Times New Roman" w:hAnsi="Times New Roman"/>
                <w:noProof/>
                <w:sz w:val="24"/>
                <w:szCs w:val="24"/>
                <w:lang w:val="sq-AL"/>
              </w:rPr>
              <w:t>-</w:t>
            </w:r>
          </w:p>
        </w:tc>
        <w:tc>
          <w:tcPr>
            <w:tcW w:w="7831" w:type="dxa"/>
            <w:vAlign w:val="center"/>
          </w:tcPr>
          <w:p w14:paraId="7993936E" w14:textId="77777777" w:rsidR="001A4B6E" w:rsidRPr="00F70CF5" w:rsidRDefault="001A4B6E" w:rsidP="00B37B36">
            <w:pPr>
              <w:spacing w:line="276" w:lineRule="auto"/>
              <w:rPr>
                <w:rFonts w:ascii="Times New Roman" w:hAnsi="Times New Roman"/>
                <w:iCs/>
                <w:sz w:val="24"/>
                <w:szCs w:val="24"/>
              </w:rPr>
            </w:pPr>
            <w:r w:rsidRPr="00F70CF5">
              <w:rPr>
                <w:rFonts w:ascii="Times New Roman" w:hAnsi="Times New Roman"/>
                <w:iCs/>
                <w:sz w:val="24"/>
                <w:szCs w:val="24"/>
              </w:rPr>
              <w:t>Ministrisë së Shtetit për Pushtetin Vendor</w:t>
            </w:r>
          </w:p>
        </w:tc>
      </w:tr>
      <w:tr w:rsidR="001A4B6E" w:rsidRPr="00641640" w14:paraId="61D5F5F4" w14:textId="77777777" w:rsidTr="001E76D1">
        <w:tc>
          <w:tcPr>
            <w:tcW w:w="1170" w:type="dxa"/>
          </w:tcPr>
          <w:p w14:paraId="6A1819B1" w14:textId="77777777" w:rsidR="001A4B6E" w:rsidRPr="00F70CF5" w:rsidRDefault="001A4B6E" w:rsidP="00B37B36">
            <w:pPr>
              <w:spacing w:line="276" w:lineRule="auto"/>
              <w:rPr>
                <w:rFonts w:ascii="Times New Roman" w:eastAsia="Times New Roman" w:hAnsi="Times New Roman"/>
                <w:noProof/>
                <w:sz w:val="24"/>
                <w:szCs w:val="24"/>
                <w:lang w:val="sq-AL"/>
              </w:rPr>
            </w:pPr>
            <w:r w:rsidRPr="00F70CF5">
              <w:rPr>
                <w:rFonts w:ascii="Times New Roman" w:eastAsia="Times New Roman" w:hAnsi="Times New Roman"/>
                <w:noProof/>
                <w:sz w:val="24"/>
                <w:szCs w:val="24"/>
                <w:lang w:val="sq-AL"/>
              </w:rPr>
              <w:t>MTM</w:t>
            </w:r>
          </w:p>
        </w:tc>
        <w:tc>
          <w:tcPr>
            <w:tcW w:w="540" w:type="dxa"/>
          </w:tcPr>
          <w:p w14:paraId="399E9788" w14:textId="77777777" w:rsidR="001A4B6E" w:rsidRPr="00F70CF5" w:rsidRDefault="001A4B6E" w:rsidP="00B37B36">
            <w:pPr>
              <w:spacing w:line="276" w:lineRule="auto"/>
              <w:jc w:val="center"/>
              <w:rPr>
                <w:rFonts w:ascii="Times New Roman" w:hAnsi="Times New Roman"/>
                <w:noProof/>
                <w:sz w:val="24"/>
                <w:szCs w:val="24"/>
                <w:lang w:val="sq-AL"/>
              </w:rPr>
            </w:pPr>
            <w:r>
              <w:rPr>
                <w:rFonts w:ascii="Times New Roman" w:hAnsi="Times New Roman"/>
                <w:noProof/>
                <w:sz w:val="24"/>
                <w:szCs w:val="24"/>
                <w:lang w:val="sq-AL"/>
              </w:rPr>
              <w:t>-</w:t>
            </w:r>
          </w:p>
        </w:tc>
        <w:tc>
          <w:tcPr>
            <w:tcW w:w="7831" w:type="dxa"/>
            <w:vAlign w:val="center"/>
          </w:tcPr>
          <w:p w14:paraId="14281C64" w14:textId="77777777" w:rsidR="001A4B6E" w:rsidRPr="00F70CF5" w:rsidRDefault="001A4B6E" w:rsidP="00B37B36">
            <w:pPr>
              <w:spacing w:line="276" w:lineRule="auto"/>
              <w:rPr>
                <w:rFonts w:ascii="Times New Roman" w:hAnsi="Times New Roman"/>
                <w:noProof/>
                <w:sz w:val="24"/>
                <w:szCs w:val="24"/>
                <w:lang w:val="sq-AL"/>
              </w:rPr>
            </w:pPr>
            <w:r w:rsidRPr="00F70CF5">
              <w:rPr>
                <w:rFonts w:ascii="Times New Roman" w:hAnsi="Times New Roman"/>
                <w:noProof/>
                <w:sz w:val="24"/>
                <w:szCs w:val="24"/>
                <w:lang w:val="sq-AL"/>
              </w:rPr>
              <w:t>Ministria e Turizmit dhe Mjedisit</w:t>
            </w:r>
          </w:p>
        </w:tc>
      </w:tr>
      <w:tr w:rsidR="001A4B6E" w:rsidRPr="00641640" w14:paraId="45623FA8" w14:textId="77777777" w:rsidTr="001E76D1">
        <w:tc>
          <w:tcPr>
            <w:tcW w:w="1170" w:type="dxa"/>
          </w:tcPr>
          <w:p w14:paraId="6849725F"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NC</w:t>
            </w:r>
          </w:p>
        </w:tc>
        <w:tc>
          <w:tcPr>
            <w:tcW w:w="540" w:type="dxa"/>
          </w:tcPr>
          <w:p w14:paraId="64B59375" w14:textId="77777777" w:rsidR="001A4B6E" w:rsidRPr="00641640" w:rsidRDefault="001A4B6E" w:rsidP="00B37B36">
            <w:pPr>
              <w:spacing w:line="276" w:lineRule="auto"/>
              <w:jc w:val="center"/>
              <w:rPr>
                <w:rFonts w:ascii="Times New Roman" w:hAnsi="Times New Roman"/>
                <w:noProof/>
                <w:sz w:val="24"/>
                <w:szCs w:val="24"/>
                <w:lang w:val="sq-AL"/>
              </w:rPr>
            </w:pPr>
            <w:r w:rsidRPr="00641640">
              <w:rPr>
                <w:rFonts w:ascii="Times New Roman" w:hAnsi="Times New Roman"/>
                <w:noProof/>
                <w:sz w:val="24"/>
                <w:szCs w:val="24"/>
                <w:lang w:val="sq-AL"/>
              </w:rPr>
              <w:t>-</w:t>
            </w:r>
          </w:p>
        </w:tc>
        <w:tc>
          <w:tcPr>
            <w:tcW w:w="7831" w:type="dxa"/>
            <w:vAlign w:val="center"/>
          </w:tcPr>
          <w:p w14:paraId="24E6CD64" w14:textId="77777777" w:rsidR="001A4B6E" w:rsidRPr="00641640" w:rsidRDefault="001A4B6E" w:rsidP="00B37B36">
            <w:pPr>
              <w:spacing w:line="276" w:lineRule="auto"/>
              <w:rPr>
                <w:rFonts w:ascii="Times New Roman" w:hAnsi="Times New Roman"/>
                <w:noProof/>
                <w:sz w:val="24"/>
                <w:szCs w:val="24"/>
                <w:lang w:val="sq-AL"/>
              </w:rPr>
            </w:pPr>
            <w:r w:rsidRPr="00641640">
              <w:rPr>
                <w:rFonts w:ascii="Times New Roman" w:hAnsi="Times New Roman"/>
                <w:noProof/>
                <w:sz w:val="24"/>
                <w:szCs w:val="24"/>
                <w:lang w:val="sq-AL"/>
              </w:rPr>
              <w:t>Nëpunës Civil</w:t>
            </w:r>
          </w:p>
        </w:tc>
      </w:tr>
      <w:tr w:rsidR="001A4B6E" w:rsidRPr="00641640" w14:paraId="7A43186B" w14:textId="77777777" w:rsidTr="001E76D1">
        <w:tc>
          <w:tcPr>
            <w:tcW w:w="1170" w:type="dxa"/>
            <w:hideMark/>
          </w:tcPr>
          <w:p w14:paraId="6530F110"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NJVQV</w:t>
            </w:r>
          </w:p>
        </w:tc>
        <w:tc>
          <w:tcPr>
            <w:tcW w:w="540" w:type="dxa"/>
          </w:tcPr>
          <w:p w14:paraId="219CD545"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hideMark/>
          </w:tcPr>
          <w:p w14:paraId="18AE8578"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Njësia e Vetëqeverisjes Vendore</w:t>
            </w:r>
          </w:p>
        </w:tc>
      </w:tr>
      <w:tr w:rsidR="001A4B6E" w:rsidRPr="00641640" w14:paraId="79C95013" w14:textId="77777777" w:rsidTr="001E76D1">
        <w:tc>
          <w:tcPr>
            <w:tcW w:w="1170" w:type="dxa"/>
            <w:hideMark/>
          </w:tcPr>
          <w:p w14:paraId="7B0CBA2D"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OECD</w:t>
            </w:r>
          </w:p>
        </w:tc>
        <w:tc>
          <w:tcPr>
            <w:tcW w:w="540" w:type="dxa"/>
          </w:tcPr>
          <w:p w14:paraId="324F538C"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hideMark/>
          </w:tcPr>
          <w:p w14:paraId="2844FDCC"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Organizata për Bashkëpunim dhe Zhvillim Ekonomik</w:t>
            </w:r>
          </w:p>
        </w:tc>
      </w:tr>
      <w:tr w:rsidR="001A4B6E" w:rsidRPr="00641640" w14:paraId="2E3028FE" w14:textId="77777777" w:rsidTr="001E76D1">
        <w:tc>
          <w:tcPr>
            <w:tcW w:w="1170" w:type="dxa"/>
            <w:hideMark/>
          </w:tcPr>
          <w:p w14:paraId="3B11E85B"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OSHC</w:t>
            </w:r>
          </w:p>
        </w:tc>
        <w:tc>
          <w:tcPr>
            <w:tcW w:w="540" w:type="dxa"/>
          </w:tcPr>
          <w:p w14:paraId="390BC3D9"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hideMark/>
          </w:tcPr>
          <w:p w14:paraId="13653F0A"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Organizata të Shoqërive Civile</w:t>
            </w:r>
          </w:p>
        </w:tc>
      </w:tr>
      <w:tr w:rsidR="001A4B6E" w:rsidRPr="00641640" w14:paraId="264FA08C" w14:textId="77777777" w:rsidTr="001E76D1">
        <w:tc>
          <w:tcPr>
            <w:tcW w:w="1170" w:type="dxa"/>
            <w:hideMark/>
          </w:tcPr>
          <w:p w14:paraId="08A16142"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OZHQ</w:t>
            </w:r>
          </w:p>
        </w:tc>
        <w:tc>
          <w:tcPr>
            <w:tcW w:w="540" w:type="dxa"/>
          </w:tcPr>
          <w:p w14:paraId="321CD14E"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hideMark/>
          </w:tcPr>
          <w:p w14:paraId="16967D3F"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Objektivat e Zhvillimit të Qendrueshëm</w:t>
            </w:r>
          </w:p>
        </w:tc>
      </w:tr>
      <w:tr w:rsidR="001A4B6E" w:rsidRPr="00641640" w14:paraId="1C1E8117" w14:textId="77777777" w:rsidTr="001E76D1">
        <w:tc>
          <w:tcPr>
            <w:tcW w:w="1170" w:type="dxa"/>
            <w:hideMark/>
          </w:tcPr>
          <w:p w14:paraId="57CED959"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PBA</w:t>
            </w:r>
          </w:p>
        </w:tc>
        <w:tc>
          <w:tcPr>
            <w:tcW w:w="540" w:type="dxa"/>
          </w:tcPr>
          <w:p w14:paraId="357517E7"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hideMark/>
          </w:tcPr>
          <w:p w14:paraId="6822DA53"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Programi Buxhetor Afatmesëm</w:t>
            </w:r>
          </w:p>
        </w:tc>
      </w:tr>
      <w:tr w:rsidR="001A4B6E" w:rsidRPr="00641640" w14:paraId="6A93F028" w14:textId="77777777" w:rsidTr="001E76D1">
        <w:tc>
          <w:tcPr>
            <w:tcW w:w="1170" w:type="dxa"/>
          </w:tcPr>
          <w:p w14:paraId="594B0826"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PKABE</w:t>
            </w:r>
          </w:p>
        </w:tc>
        <w:tc>
          <w:tcPr>
            <w:tcW w:w="540" w:type="dxa"/>
          </w:tcPr>
          <w:p w14:paraId="2E848DDF" w14:textId="77777777" w:rsidR="001A4B6E" w:rsidRPr="00641640" w:rsidRDefault="001A4B6E" w:rsidP="00B37B36">
            <w:pPr>
              <w:spacing w:line="276" w:lineRule="auto"/>
              <w:jc w:val="center"/>
              <w:rPr>
                <w:rFonts w:ascii="Times New Roman" w:eastAsiaTheme="minorHAnsi" w:hAnsi="Times New Roman"/>
                <w:noProof/>
                <w:sz w:val="24"/>
                <w:szCs w:val="24"/>
                <w:lang w:val="sq-AL"/>
              </w:rPr>
            </w:pPr>
            <w:r w:rsidRPr="00641640">
              <w:rPr>
                <w:rFonts w:ascii="Times New Roman" w:eastAsiaTheme="minorHAnsi" w:hAnsi="Times New Roman"/>
                <w:noProof/>
                <w:sz w:val="24"/>
                <w:szCs w:val="24"/>
                <w:lang w:val="sq-AL"/>
              </w:rPr>
              <w:t>-</w:t>
            </w:r>
          </w:p>
        </w:tc>
        <w:tc>
          <w:tcPr>
            <w:tcW w:w="7831" w:type="dxa"/>
            <w:vAlign w:val="center"/>
          </w:tcPr>
          <w:p w14:paraId="2E43655A"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heme="minorHAnsi" w:hAnsi="Times New Roman"/>
                <w:noProof/>
                <w:sz w:val="24"/>
                <w:szCs w:val="24"/>
                <w:lang w:val="sq-AL"/>
              </w:rPr>
              <w:t>Programi Kombëtar për Aderimin në Bashkimin Evropian</w:t>
            </w:r>
          </w:p>
        </w:tc>
      </w:tr>
      <w:tr w:rsidR="001A4B6E" w:rsidRPr="00641640" w14:paraId="2BD0196C" w14:textId="77777777" w:rsidTr="001E76D1">
        <w:tc>
          <w:tcPr>
            <w:tcW w:w="1170" w:type="dxa"/>
            <w:hideMark/>
          </w:tcPr>
          <w:p w14:paraId="48710CCA"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PKIE</w:t>
            </w:r>
          </w:p>
        </w:tc>
        <w:tc>
          <w:tcPr>
            <w:tcW w:w="540" w:type="dxa"/>
          </w:tcPr>
          <w:p w14:paraId="34048E8E"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hideMark/>
          </w:tcPr>
          <w:p w14:paraId="2DDDAA04"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Programi Kombëtar i Integrimit Evropian</w:t>
            </w:r>
          </w:p>
        </w:tc>
      </w:tr>
      <w:tr w:rsidR="001A4B6E" w:rsidRPr="00641640" w14:paraId="5FE808A9" w14:textId="77777777" w:rsidTr="001E76D1">
        <w:tc>
          <w:tcPr>
            <w:tcW w:w="1170" w:type="dxa"/>
          </w:tcPr>
          <w:p w14:paraId="696C0006"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PPAP</w:t>
            </w:r>
          </w:p>
        </w:tc>
        <w:tc>
          <w:tcPr>
            <w:tcW w:w="540" w:type="dxa"/>
          </w:tcPr>
          <w:p w14:paraId="6F49E46E"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tcPr>
          <w:p w14:paraId="00CD52A4"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Programi i Përgjithshëm Analitik i Projektakteve</w:t>
            </w:r>
          </w:p>
        </w:tc>
      </w:tr>
      <w:tr w:rsidR="001A4B6E" w:rsidRPr="00641640" w14:paraId="461DED12" w14:textId="77777777" w:rsidTr="001E76D1">
        <w:tc>
          <w:tcPr>
            <w:tcW w:w="1170" w:type="dxa"/>
          </w:tcPr>
          <w:p w14:paraId="63A1263E"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PRE</w:t>
            </w:r>
          </w:p>
        </w:tc>
        <w:tc>
          <w:tcPr>
            <w:tcW w:w="540" w:type="dxa"/>
          </w:tcPr>
          <w:p w14:paraId="3844FE94" w14:textId="77777777" w:rsidR="001A4B6E" w:rsidRPr="00641640" w:rsidRDefault="001A4B6E" w:rsidP="00B37B36">
            <w:pPr>
              <w:spacing w:line="276" w:lineRule="auto"/>
              <w:jc w:val="center"/>
              <w:rPr>
                <w:rStyle w:val="rynqvb"/>
                <w:rFonts w:ascii="Times New Roman" w:hAnsi="Times New Roman"/>
                <w:noProof/>
                <w:sz w:val="24"/>
                <w:szCs w:val="24"/>
                <w:lang w:val="sq-AL"/>
              </w:rPr>
            </w:pPr>
            <w:r w:rsidRPr="00641640">
              <w:rPr>
                <w:rStyle w:val="rynqvb"/>
                <w:rFonts w:ascii="Times New Roman" w:hAnsi="Times New Roman"/>
                <w:noProof/>
                <w:sz w:val="24"/>
                <w:szCs w:val="24"/>
                <w:lang w:val="sq-AL"/>
              </w:rPr>
              <w:t>-</w:t>
            </w:r>
          </w:p>
        </w:tc>
        <w:tc>
          <w:tcPr>
            <w:tcW w:w="7831" w:type="dxa"/>
            <w:vAlign w:val="center"/>
          </w:tcPr>
          <w:p w14:paraId="49E73660" w14:textId="77777777" w:rsidR="001A4B6E" w:rsidRPr="00641640" w:rsidRDefault="001A4B6E" w:rsidP="00B37B36">
            <w:pPr>
              <w:spacing w:line="276" w:lineRule="auto"/>
              <w:rPr>
                <w:rStyle w:val="rynqvb"/>
                <w:rFonts w:ascii="Times New Roman" w:hAnsi="Times New Roman"/>
                <w:noProof/>
                <w:sz w:val="24"/>
                <w:szCs w:val="24"/>
                <w:lang w:val="sq-AL"/>
              </w:rPr>
            </w:pPr>
            <w:r w:rsidRPr="00641640">
              <w:rPr>
                <w:rStyle w:val="rynqvb"/>
                <w:rFonts w:ascii="Times New Roman" w:hAnsi="Times New Roman"/>
                <w:noProof/>
                <w:sz w:val="24"/>
                <w:szCs w:val="24"/>
                <w:lang w:val="sq-AL"/>
              </w:rPr>
              <w:t>Programi i Reformës Ekonomike</w:t>
            </w:r>
          </w:p>
        </w:tc>
      </w:tr>
      <w:tr w:rsidR="001A4B6E" w:rsidRPr="00641640" w14:paraId="14019C82" w14:textId="77777777" w:rsidTr="001E76D1">
        <w:tc>
          <w:tcPr>
            <w:tcW w:w="1170" w:type="dxa"/>
          </w:tcPr>
          <w:p w14:paraId="051CB079"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PSZ</w:t>
            </w:r>
          </w:p>
        </w:tc>
        <w:tc>
          <w:tcPr>
            <w:tcW w:w="540" w:type="dxa"/>
          </w:tcPr>
          <w:p w14:paraId="38AAB8C5" w14:textId="77777777" w:rsidR="001A4B6E" w:rsidRPr="00641640" w:rsidRDefault="001A4B6E" w:rsidP="00B37B36">
            <w:pPr>
              <w:spacing w:line="276" w:lineRule="auto"/>
              <w:jc w:val="center"/>
              <w:rPr>
                <w:rStyle w:val="rynqvb"/>
                <w:rFonts w:ascii="Times New Roman" w:hAnsi="Times New Roman"/>
                <w:noProof/>
                <w:sz w:val="24"/>
                <w:szCs w:val="24"/>
                <w:lang w:val="sq-AL"/>
              </w:rPr>
            </w:pPr>
            <w:r w:rsidRPr="00641640">
              <w:rPr>
                <w:rStyle w:val="rynqvb"/>
                <w:rFonts w:ascii="Times New Roman" w:hAnsi="Times New Roman"/>
                <w:noProof/>
                <w:sz w:val="24"/>
                <w:szCs w:val="24"/>
                <w:lang w:val="sq-AL"/>
              </w:rPr>
              <w:t>-</w:t>
            </w:r>
          </w:p>
        </w:tc>
        <w:tc>
          <w:tcPr>
            <w:tcW w:w="7831" w:type="dxa"/>
            <w:vAlign w:val="center"/>
          </w:tcPr>
          <w:p w14:paraId="087F3ADB"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Style w:val="rynqvb"/>
                <w:rFonts w:ascii="Times New Roman" w:hAnsi="Times New Roman"/>
                <w:noProof/>
                <w:sz w:val="24"/>
                <w:szCs w:val="24"/>
                <w:lang w:val="sq-AL"/>
              </w:rPr>
              <w:t>Programi i Statistikave Zyrtare 2022–2026</w:t>
            </w:r>
          </w:p>
        </w:tc>
      </w:tr>
      <w:tr w:rsidR="001A4B6E" w:rsidRPr="00641640" w14:paraId="3AE2A5FC" w14:textId="77777777" w:rsidTr="001E76D1">
        <w:tc>
          <w:tcPr>
            <w:tcW w:w="1170" w:type="dxa"/>
          </w:tcPr>
          <w:p w14:paraId="1CDDDC81" w14:textId="77777777" w:rsidR="001A4B6E" w:rsidRPr="00F70CF5" w:rsidRDefault="001A4B6E" w:rsidP="00B37B36">
            <w:pPr>
              <w:spacing w:line="276" w:lineRule="auto"/>
              <w:rPr>
                <w:rFonts w:ascii="Times New Roman" w:eastAsia="Times New Roman" w:hAnsi="Times New Roman"/>
                <w:noProof/>
                <w:sz w:val="24"/>
                <w:szCs w:val="24"/>
                <w:lang w:val="sq-AL"/>
              </w:rPr>
            </w:pPr>
            <w:r w:rsidRPr="00F70CF5">
              <w:rPr>
                <w:rFonts w:ascii="Times New Roman" w:eastAsia="Times New Roman" w:hAnsi="Times New Roman"/>
                <w:noProof/>
                <w:sz w:val="24"/>
                <w:szCs w:val="24"/>
                <w:lang w:val="sq-AL"/>
              </w:rPr>
              <w:t>QBZ</w:t>
            </w:r>
          </w:p>
        </w:tc>
        <w:tc>
          <w:tcPr>
            <w:tcW w:w="540" w:type="dxa"/>
          </w:tcPr>
          <w:p w14:paraId="0660F9F6" w14:textId="77777777" w:rsidR="001A4B6E" w:rsidRPr="00F70CF5" w:rsidRDefault="001A4B6E" w:rsidP="00B37B36">
            <w:pPr>
              <w:spacing w:line="276" w:lineRule="auto"/>
              <w:jc w:val="center"/>
              <w:rPr>
                <w:rFonts w:ascii="Times New Roman" w:hAnsi="Times New Roman"/>
                <w:noProof/>
                <w:sz w:val="24"/>
                <w:szCs w:val="24"/>
                <w:lang w:val="sq-AL"/>
              </w:rPr>
            </w:pPr>
            <w:r>
              <w:rPr>
                <w:rFonts w:ascii="Times New Roman" w:hAnsi="Times New Roman"/>
                <w:noProof/>
                <w:sz w:val="24"/>
                <w:szCs w:val="24"/>
                <w:lang w:val="sq-AL"/>
              </w:rPr>
              <w:t>-</w:t>
            </w:r>
          </w:p>
        </w:tc>
        <w:tc>
          <w:tcPr>
            <w:tcW w:w="7831" w:type="dxa"/>
            <w:vAlign w:val="center"/>
          </w:tcPr>
          <w:p w14:paraId="51621594" w14:textId="77777777" w:rsidR="001A4B6E" w:rsidRPr="00F70CF5" w:rsidRDefault="001A4B6E" w:rsidP="00B37B36">
            <w:pPr>
              <w:spacing w:line="276" w:lineRule="auto"/>
              <w:rPr>
                <w:rFonts w:ascii="Times New Roman" w:hAnsi="Times New Roman"/>
                <w:noProof/>
                <w:sz w:val="24"/>
                <w:szCs w:val="24"/>
                <w:lang w:val="sq-AL"/>
              </w:rPr>
            </w:pPr>
            <w:r w:rsidRPr="00F70CF5">
              <w:rPr>
                <w:rFonts w:ascii="Times New Roman" w:hAnsi="Times New Roman"/>
                <w:noProof/>
                <w:sz w:val="24"/>
                <w:szCs w:val="24"/>
                <w:lang w:val="sq-AL"/>
              </w:rPr>
              <w:t>Qendra e Botimeve Zyrtare</w:t>
            </w:r>
          </w:p>
        </w:tc>
      </w:tr>
      <w:tr w:rsidR="001A4B6E" w:rsidRPr="00641640" w14:paraId="6618E053" w14:textId="77777777" w:rsidTr="001E76D1">
        <w:tc>
          <w:tcPr>
            <w:tcW w:w="1170" w:type="dxa"/>
            <w:hideMark/>
          </w:tcPr>
          <w:p w14:paraId="24067882"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QSH</w:t>
            </w:r>
          </w:p>
        </w:tc>
        <w:tc>
          <w:tcPr>
            <w:tcW w:w="540" w:type="dxa"/>
          </w:tcPr>
          <w:p w14:paraId="2749E367"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hideMark/>
          </w:tcPr>
          <w:p w14:paraId="58A5A788"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Qeveria e Shqipërisë</w:t>
            </w:r>
          </w:p>
        </w:tc>
      </w:tr>
      <w:tr w:rsidR="001A4B6E" w:rsidRPr="00641640" w14:paraId="43092AFB" w14:textId="77777777" w:rsidTr="001E76D1">
        <w:tc>
          <w:tcPr>
            <w:tcW w:w="1170" w:type="dxa"/>
            <w:hideMark/>
          </w:tcPr>
          <w:p w14:paraId="6362BAC6"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RAP</w:t>
            </w:r>
          </w:p>
        </w:tc>
        <w:tc>
          <w:tcPr>
            <w:tcW w:w="540" w:type="dxa"/>
          </w:tcPr>
          <w:p w14:paraId="5DA429FA"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hideMark/>
          </w:tcPr>
          <w:p w14:paraId="7DEB32CF"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Reforma e Administratës Publike</w:t>
            </w:r>
          </w:p>
        </w:tc>
      </w:tr>
      <w:tr w:rsidR="001A4B6E" w:rsidRPr="00641640" w14:paraId="4E34D004" w14:textId="77777777" w:rsidTr="001E76D1">
        <w:tc>
          <w:tcPr>
            <w:tcW w:w="1170" w:type="dxa"/>
          </w:tcPr>
          <w:p w14:paraId="51C2BBB8"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RIA</w:t>
            </w:r>
          </w:p>
        </w:tc>
        <w:tc>
          <w:tcPr>
            <w:tcW w:w="540" w:type="dxa"/>
          </w:tcPr>
          <w:p w14:paraId="36A86832" w14:textId="77777777" w:rsidR="001A4B6E" w:rsidRPr="00641640" w:rsidRDefault="001A4B6E" w:rsidP="00B37B36">
            <w:pPr>
              <w:spacing w:line="276" w:lineRule="auto"/>
              <w:jc w:val="center"/>
              <w:rPr>
                <w:rStyle w:val="normaltextrun"/>
                <w:rFonts w:ascii="Times New Roman" w:hAnsi="Times New Roman"/>
                <w:noProof/>
                <w:sz w:val="24"/>
                <w:szCs w:val="24"/>
                <w:lang w:val="sq-AL"/>
              </w:rPr>
            </w:pPr>
            <w:r w:rsidRPr="00641640">
              <w:rPr>
                <w:rStyle w:val="normaltextrun"/>
                <w:rFonts w:ascii="Times New Roman" w:hAnsi="Times New Roman"/>
                <w:noProof/>
                <w:sz w:val="24"/>
                <w:szCs w:val="24"/>
                <w:lang w:val="sq-AL"/>
              </w:rPr>
              <w:t>-</w:t>
            </w:r>
          </w:p>
        </w:tc>
        <w:tc>
          <w:tcPr>
            <w:tcW w:w="7831" w:type="dxa"/>
            <w:vAlign w:val="center"/>
          </w:tcPr>
          <w:p w14:paraId="75B224A5"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Style w:val="normaltextrun"/>
                <w:rFonts w:ascii="Times New Roman" w:hAnsi="Times New Roman"/>
                <w:noProof/>
                <w:sz w:val="24"/>
                <w:szCs w:val="24"/>
                <w:lang w:val="sq-AL"/>
              </w:rPr>
              <w:t>Vler</w:t>
            </w:r>
            <w:r w:rsidRPr="00641640">
              <w:rPr>
                <w:rStyle w:val="normaltextrun"/>
                <w:rFonts w:ascii="Times New Roman" w:hAnsi="Times New Roman"/>
                <w:noProof/>
                <w:color w:val="000000"/>
                <w:sz w:val="24"/>
                <w:szCs w:val="24"/>
                <w:lang w:val="sq-AL"/>
              </w:rPr>
              <w:t>ësimi</w:t>
            </w:r>
            <w:r w:rsidRPr="00641640">
              <w:rPr>
                <w:rStyle w:val="normaltextrun"/>
                <w:rFonts w:ascii="Times New Roman" w:hAnsi="Times New Roman"/>
                <w:noProof/>
                <w:sz w:val="24"/>
                <w:szCs w:val="24"/>
                <w:lang w:val="sq-AL"/>
              </w:rPr>
              <w:t xml:space="preserve"> i</w:t>
            </w:r>
            <w:r w:rsidRPr="00641640">
              <w:rPr>
                <w:rStyle w:val="normaltextrun"/>
                <w:rFonts w:ascii="Times New Roman" w:hAnsi="Times New Roman"/>
                <w:noProof/>
                <w:color w:val="000000"/>
                <w:sz w:val="24"/>
                <w:szCs w:val="24"/>
                <w:lang w:val="sq-AL"/>
              </w:rPr>
              <w:t xml:space="preserve"> N</w:t>
            </w:r>
            <w:r w:rsidRPr="00641640">
              <w:rPr>
                <w:rStyle w:val="normaltextrun"/>
                <w:rFonts w:ascii="Times New Roman" w:hAnsi="Times New Roman"/>
                <w:noProof/>
                <w:sz w:val="24"/>
                <w:szCs w:val="24"/>
                <w:lang w:val="sq-AL"/>
              </w:rPr>
              <w:t>dikimit Rregullator (VNR)</w:t>
            </w:r>
          </w:p>
        </w:tc>
      </w:tr>
      <w:tr w:rsidR="001A4B6E" w:rsidRPr="00641640" w14:paraId="2D368622" w14:textId="77777777" w:rsidTr="001E76D1">
        <w:tc>
          <w:tcPr>
            <w:tcW w:w="1170" w:type="dxa"/>
          </w:tcPr>
          <w:p w14:paraId="5B1D0FE1"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RQP</w:t>
            </w:r>
          </w:p>
        </w:tc>
        <w:tc>
          <w:tcPr>
            <w:tcW w:w="540" w:type="dxa"/>
          </w:tcPr>
          <w:p w14:paraId="04F71032" w14:textId="77777777" w:rsidR="001A4B6E" w:rsidRPr="00641640" w:rsidRDefault="001A4B6E" w:rsidP="00B37B36">
            <w:pPr>
              <w:spacing w:line="276" w:lineRule="auto"/>
              <w:jc w:val="center"/>
              <w:rPr>
                <w:rFonts w:ascii="Times New Roman" w:hAnsi="Times New Roman"/>
                <w:noProof/>
                <w:sz w:val="24"/>
                <w:szCs w:val="24"/>
                <w:lang w:val="sq-AL"/>
              </w:rPr>
            </w:pPr>
            <w:r w:rsidRPr="00641640">
              <w:rPr>
                <w:rFonts w:ascii="Times New Roman" w:hAnsi="Times New Roman"/>
                <w:noProof/>
                <w:sz w:val="24"/>
                <w:szCs w:val="24"/>
                <w:lang w:val="sq-AL"/>
              </w:rPr>
              <w:t>-</w:t>
            </w:r>
          </w:p>
        </w:tc>
        <w:tc>
          <w:tcPr>
            <w:tcW w:w="7831" w:type="dxa"/>
            <w:vAlign w:val="center"/>
          </w:tcPr>
          <w:p w14:paraId="1534FF65"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hAnsi="Times New Roman"/>
                <w:noProof/>
                <w:sz w:val="24"/>
                <w:szCs w:val="24"/>
                <w:lang w:val="sq-AL"/>
              </w:rPr>
              <w:t>Regjistri Qendror i Personelit</w:t>
            </w:r>
          </w:p>
        </w:tc>
      </w:tr>
      <w:tr w:rsidR="001A4B6E" w:rsidRPr="00641640" w14:paraId="321F12A4" w14:textId="77777777" w:rsidTr="001E76D1">
        <w:tc>
          <w:tcPr>
            <w:tcW w:w="1170" w:type="dxa"/>
            <w:hideMark/>
          </w:tcPr>
          <w:p w14:paraId="1FC481EC"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SASPAC</w:t>
            </w:r>
          </w:p>
        </w:tc>
        <w:tc>
          <w:tcPr>
            <w:tcW w:w="540" w:type="dxa"/>
          </w:tcPr>
          <w:p w14:paraId="50B8FDB8"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hideMark/>
          </w:tcPr>
          <w:p w14:paraId="63EA6484" w14:textId="77777777" w:rsidR="001A4B6E" w:rsidRPr="00641640" w:rsidRDefault="001A4B6E" w:rsidP="00B37B36">
            <w:pPr>
              <w:spacing w:line="276" w:lineRule="auto"/>
              <w:rPr>
                <w:rFonts w:ascii="Times New Roman" w:eastAsia="MingLiU-ExtB" w:hAnsi="Times New Roman"/>
                <w:noProof/>
                <w:sz w:val="24"/>
                <w:szCs w:val="24"/>
                <w:lang w:val="sq-AL"/>
              </w:rPr>
            </w:pPr>
            <w:r w:rsidRPr="00641640">
              <w:rPr>
                <w:rFonts w:ascii="Times New Roman" w:eastAsia="Times New Roman" w:hAnsi="Times New Roman"/>
                <w:noProof/>
                <w:sz w:val="24"/>
                <w:szCs w:val="24"/>
                <w:lang w:val="sq-AL"/>
              </w:rPr>
              <w:t>Agjencia Shtetërore e Programimit Strategjik dhe Koordinimit të Ndihmës</w:t>
            </w:r>
          </w:p>
        </w:tc>
      </w:tr>
      <w:tr w:rsidR="001A4B6E" w:rsidRPr="00641640" w14:paraId="1F494B3C" w14:textId="77777777" w:rsidTr="001E76D1">
        <w:tc>
          <w:tcPr>
            <w:tcW w:w="1170" w:type="dxa"/>
          </w:tcPr>
          <w:p w14:paraId="6D1AECA0"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SIMBNJ</w:t>
            </w:r>
          </w:p>
        </w:tc>
        <w:tc>
          <w:tcPr>
            <w:tcW w:w="540" w:type="dxa"/>
          </w:tcPr>
          <w:p w14:paraId="3CF4A82B"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tcPr>
          <w:p w14:paraId="10E43EC8"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Sistemi i Informativ i Menaxhimit të Burimeve Njerëzore</w:t>
            </w:r>
          </w:p>
        </w:tc>
      </w:tr>
      <w:tr w:rsidR="001A4B6E" w:rsidRPr="00641640" w14:paraId="4FFBBF12" w14:textId="77777777" w:rsidTr="001E76D1">
        <w:tc>
          <w:tcPr>
            <w:tcW w:w="1170" w:type="dxa"/>
            <w:hideMark/>
          </w:tcPr>
          <w:p w14:paraId="59D808B3"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SIMFSH</w:t>
            </w:r>
          </w:p>
        </w:tc>
        <w:tc>
          <w:tcPr>
            <w:tcW w:w="540" w:type="dxa"/>
          </w:tcPr>
          <w:p w14:paraId="4FD294F1"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hideMark/>
          </w:tcPr>
          <w:p w14:paraId="5CA8BA31"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Sistemi Informativ i Menaxhimit Financiar Shqiptar</w:t>
            </w:r>
          </w:p>
        </w:tc>
      </w:tr>
      <w:tr w:rsidR="001A4B6E" w:rsidRPr="00641640" w14:paraId="4AC2B214" w14:textId="77777777" w:rsidTr="001E76D1">
        <w:tc>
          <w:tcPr>
            <w:tcW w:w="1170" w:type="dxa"/>
            <w:hideMark/>
          </w:tcPr>
          <w:p w14:paraId="07DDE425"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SIPI/IPSIS</w:t>
            </w:r>
          </w:p>
        </w:tc>
        <w:tc>
          <w:tcPr>
            <w:tcW w:w="540" w:type="dxa"/>
          </w:tcPr>
          <w:p w14:paraId="6686014F"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hideMark/>
          </w:tcPr>
          <w:p w14:paraId="3DED116F" w14:textId="34D93B20"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Sistemi Informatik i Planifikimit të Integruar</w:t>
            </w:r>
          </w:p>
        </w:tc>
      </w:tr>
      <w:tr w:rsidR="001A4B6E" w:rsidRPr="00641640" w14:paraId="3A546CE6" w14:textId="77777777" w:rsidTr="001E76D1">
        <w:tc>
          <w:tcPr>
            <w:tcW w:w="1170" w:type="dxa"/>
            <w:hideMark/>
          </w:tcPr>
          <w:p w14:paraId="2A36928B"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SKZHIE</w:t>
            </w:r>
          </w:p>
        </w:tc>
        <w:tc>
          <w:tcPr>
            <w:tcW w:w="540" w:type="dxa"/>
          </w:tcPr>
          <w:p w14:paraId="0AA099D8"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hideMark/>
          </w:tcPr>
          <w:p w14:paraId="4E3AA18D"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Strategjia Kombëtare për Zhvillim dhe Integrim Evropian</w:t>
            </w:r>
          </w:p>
        </w:tc>
      </w:tr>
      <w:tr w:rsidR="001A4B6E" w:rsidRPr="00641640" w14:paraId="69FB69C7" w14:textId="77777777" w:rsidTr="001E76D1">
        <w:tc>
          <w:tcPr>
            <w:tcW w:w="1170" w:type="dxa"/>
          </w:tcPr>
          <w:p w14:paraId="53E282C1"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SNRAP</w:t>
            </w:r>
          </w:p>
        </w:tc>
        <w:tc>
          <w:tcPr>
            <w:tcW w:w="540" w:type="dxa"/>
          </w:tcPr>
          <w:p w14:paraId="33BEFFBB"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tcPr>
          <w:p w14:paraId="416565B3"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Strategjia Ndërsektoriale e Reformës në Administratën Publike</w:t>
            </w:r>
          </w:p>
        </w:tc>
      </w:tr>
      <w:tr w:rsidR="001A4B6E" w:rsidRPr="00641640" w14:paraId="61F606AF" w14:textId="77777777" w:rsidTr="001E76D1">
        <w:tc>
          <w:tcPr>
            <w:tcW w:w="1170" w:type="dxa"/>
            <w:hideMark/>
          </w:tcPr>
          <w:p w14:paraId="6D15EAC1"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SPI</w:t>
            </w:r>
          </w:p>
        </w:tc>
        <w:tc>
          <w:tcPr>
            <w:tcW w:w="540" w:type="dxa"/>
          </w:tcPr>
          <w:p w14:paraId="7CDBEACA"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hideMark/>
          </w:tcPr>
          <w:p w14:paraId="1BCB512E"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Sistemi i Planifikimit të Integruar</w:t>
            </w:r>
          </w:p>
        </w:tc>
      </w:tr>
      <w:tr w:rsidR="001A4B6E" w:rsidRPr="00641640" w14:paraId="58D5AE44" w14:textId="77777777" w:rsidTr="001E76D1">
        <w:tc>
          <w:tcPr>
            <w:tcW w:w="1170" w:type="dxa"/>
          </w:tcPr>
          <w:p w14:paraId="366B5186"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SQDNE</w:t>
            </w:r>
          </w:p>
        </w:tc>
        <w:tc>
          <w:tcPr>
            <w:tcW w:w="540" w:type="dxa"/>
          </w:tcPr>
          <w:p w14:paraId="4E235560" w14:textId="77777777" w:rsidR="001A4B6E" w:rsidRPr="00641640" w:rsidRDefault="001A4B6E" w:rsidP="00B37B36">
            <w:pPr>
              <w:spacing w:line="276" w:lineRule="auto"/>
              <w:jc w:val="center"/>
              <w:rPr>
                <w:rFonts w:ascii="Times New Roman" w:hAnsi="Times New Roman"/>
                <w:noProof/>
                <w:sz w:val="24"/>
                <w:szCs w:val="24"/>
                <w:lang w:val="sq-AL"/>
              </w:rPr>
            </w:pPr>
            <w:r w:rsidRPr="00641640">
              <w:rPr>
                <w:rFonts w:ascii="Times New Roman" w:hAnsi="Times New Roman"/>
                <w:noProof/>
                <w:sz w:val="24"/>
                <w:szCs w:val="24"/>
                <w:lang w:val="sq-AL"/>
              </w:rPr>
              <w:t>-</w:t>
            </w:r>
          </w:p>
        </w:tc>
        <w:tc>
          <w:tcPr>
            <w:tcW w:w="7831" w:type="dxa"/>
            <w:vAlign w:val="center"/>
          </w:tcPr>
          <w:p w14:paraId="3C8F1998"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hAnsi="Times New Roman"/>
                <w:noProof/>
                <w:sz w:val="24"/>
                <w:szCs w:val="24"/>
                <w:lang w:val="sq-AL"/>
              </w:rPr>
              <w:t>Sistemi i Qarkullimit të Dokumenteve me Nënshkrim Elektronik</w:t>
            </w:r>
          </w:p>
        </w:tc>
      </w:tr>
      <w:tr w:rsidR="001A4B6E" w:rsidRPr="00641640" w14:paraId="23167B92" w14:textId="77777777" w:rsidTr="001E76D1">
        <w:tc>
          <w:tcPr>
            <w:tcW w:w="1170" w:type="dxa"/>
            <w:hideMark/>
          </w:tcPr>
          <w:p w14:paraId="188B3C93"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TI</w:t>
            </w:r>
          </w:p>
        </w:tc>
        <w:tc>
          <w:tcPr>
            <w:tcW w:w="540" w:type="dxa"/>
          </w:tcPr>
          <w:p w14:paraId="309F8D06" w14:textId="77777777" w:rsidR="001A4B6E" w:rsidRPr="00641640" w:rsidRDefault="001A4B6E" w:rsidP="00B37B36">
            <w:pPr>
              <w:spacing w:line="276" w:lineRule="auto"/>
              <w:jc w:val="center"/>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w:t>
            </w:r>
          </w:p>
        </w:tc>
        <w:tc>
          <w:tcPr>
            <w:tcW w:w="7831" w:type="dxa"/>
            <w:vAlign w:val="center"/>
            <w:hideMark/>
          </w:tcPr>
          <w:p w14:paraId="73F1ECCD"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Teknologjia e Informacionit</w:t>
            </w:r>
          </w:p>
        </w:tc>
      </w:tr>
      <w:tr w:rsidR="001A4B6E" w:rsidRPr="00641640" w14:paraId="57D4E116" w14:textId="77777777" w:rsidTr="001E76D1">
        <w:tc>
          <w:tcPr>
            <w:tcW w:w="1170" w:type="dxa"/>
          </w:tcPr>
          <w:p w14:paraId="308F56B3"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TND</w:t>
            </w:r>
          </w:p>
        </w:tc>
        <w:tc>
          <w:tcPr>
            <w:tcW w:w="540" w:type="dxa"/>
          </w:tcPr>
          <w:p w14:paraId="05FDCF85" w14:textId="77777777" w:rsidR="001A4B6E" w:rsidRPr="00641640" w:rsidRDefault="001A4B6E" w:rsidP="00B37B36">
            <w:pPr>
              <w:spacing w:line="276" w:lineRule="auto"/>
              <w:jc w:val="center"/>
              <w:rPr>
                <w:rFonts w:ascii="Times New Roman" w:hAnsi="Times New Roman"/>
                <w:noProof/>
                <w:sz w:val="24"/>
                <w:szCs w:val="24"/>
                <w:lang w:val="sq-AL"/>
              </w:rPr>
            </w:pPr>
            <w:r w:rsidRPr="00641640">
              <w:rPr>
                <w:rFonts w:ascii="Times New Roman" w:hAnsi="Times New Roman"/>
                <w:noProof/>
                <w:sz w:val="24"/>
                <w:szCs w:val="24"/>
                <w:lang w:val="sq-AL"/>
              </w:rPr>
              <w:t>-</w:t>
            </w:r>
          </w:p>
        </w:tc>
        <w:tc>
          <w:tcPr>
            <w:tcW w:w="7831" w:type="dxa"/>
            <w:vAlign w:val="center"/>
          </w:tcPr>
          <w:p w14:paraId="750EE785"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hAnsi="Times New Roman"/>
                <w:noProof/>
                <w:sz w:val="24"/>
                <w:szCs w:val="24"/>
                <w:lang w:val="sq-AL"/>
              </w:rPr>
              <w:t>Trupa e Nivelit të Lartë Drejtues</w:t>
            </w:r>
          </w:p>
        </w:tc>
      </w:tr>
      <w:tr w:rsidR="001A4B6E" w:rsidRPr="00641640" w14:paraId="01335F8D" w14:textId="77777777" w:rsidTr="001E76D1">
        <w:tc>
          <w:tcPr>
            <w:tcW w:w="1170" w:type="dxa"/>
          </w:tcPr>
          <w:p w14:paraId="1CCBE7EE"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VNR</w:t>
            </w:r>
          </w:p>
        </w:tc>
        <w:tc>
          <w:tcPr>
            <w:tcW w:w="540" w:type="dxa"/>
          </w:tcPr>
          <w:p w14:paraId="558D4E41" w14:textId="77777777" w:rsidR="001A4B6E" w:rsidRPr="00641640" w:rsidRDefault="001A4B6E" w:rsidP="00B37B36">
            <w:pPr>
              <w:spacing w:line="276" w:lineRule="auto"/>
              <w:jc w:val="center"/>
              <w:rPr>
                <w:rStyle w:val="normaltextrun"/>
                <w:rFonts w:ascii="Times New Roman" w:hAnsi="Times New Roman"/>
                <w:noProof/>
                <w:sz w:val="24"/>
                <w:szCs w:val="24"/>
                <w:lang w:val="sq-AL"/>
              </w:rPr>
            </w:pPr>
            <w:r w:rsidRPr="00641640">
              <w:rPr>
                <w:rStyle w:val="normaltextrun"/>
                <w:rFonts w:ascii="Times New Roman" w:hAnsi="Times New Roman"/>
                <w:noProof/>
                <w:sz w:val="24"/>
                <w:szCs w:val="24"/>
                <w:lang w:val="sq-AL"/>
              </w:rPr>
              <w:t>-</w:t>
            </w:r>
          </w:p>
        </w:tc>
        <w:tc>
          <w:tcPr>
            <w:tcW w:w="7831" w:type="dxa"/>
            <w:vAlign w:val="center"/>
          </w:tcPr>
          <w:p w14:paraId="290007AE"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Style w:val="normaltextrun"/>
                <w:rFonts w:ascii="Times New Roman" w:hAnsi="Times New Roman"/>
                <w:noProof/>
                <w:sz w:val="24"/>
                <w:szCs w:val="24"/>
                <w:lang w:val="sq-AL"/>
              </w:rPr>
              <w:t>Vler</w:t>
            </w:r>
            <w:r w:rsidRPr="00641640">
              <w:rPr>
                <w:rStyle w:val="normaltextrun"/>
                <w:rFonts w:ascii="Times New Roman" w:hAnsi="Times New Roman"/>
                <w:noProof/>
                <w:color w:val="000000"/>
                <w:sz w:val="24"/>
                <w:szCs w:val="24"/>
                <w:lang w:val="sq-AL"/>
              </w:rPr>
              <w:t>ësimi</w:t>
            </w:r>
            <w:r w:rsidRPr="00641640">
              <w:rPr>
                <w:rStyle w:val="normaltextrun"/>
                <w:rFonts w:ascii="Times New Roman" w:hAnsi="Times New Roman"/>
                <w:noProof/>
                <w:sz w:val="24"/>
                <w:szCs w:val="24"/>
                <w:lang w:val="sq-AL"/>
              </w:rPr>
              <w:t xml:space="preserve"> i</w:t>
            </w:r>
            <w:r w:rsidRPr="00641640">
              <w:rPr>
                <w:rStyle w:val="normaltextrun"/>
                <w:rFonts w:ascii="Times New Roman" w:hAnsi="Times New Roman"/>
                <w:noProof/>
                <w:color w:val="000000"/>
                <w:sz w:val="24"/>
                <w:szCs w:val="24"/>
                <w:lang w:val="sq-AL"/>
              </w:rPr>
              <w:t xml:space="preserve"> N</w:t>
            </w:r>
            <w:r w:rsidRPr="00641640">
              <w:rPr>
                <w:rStyle w:val="normaltextrun"/>
                <w:rFonts w:ascii="Times New Roman" w:hAnsi="Times New Roman"/>
                <w:noProof/>
                <w:sz w:val="24"/>
                <w:szCs w:val="24"/>
                <w:lang w:val="sq-AL"/>
              </w:rPr>
              <w:t>dikimit Rregullator (RIA)</w:t>
            </w:r>
          </w:p>
        </w:tc>
      </w:tr>
      <w:tr w:rsidR="001A4B6E" w:rsidRPr="00641640" w14:paraId="1B0CAED7" w14:textId="77777777" w:rsidTr="001E76D1">
        <w:tc>
          <w:tcPr>
            <w:tcW w:w="1170" w:type="dxa"/>
          </w:tcPr>
          <w:p w14:paraId="2AE566B0" w14:textId="77777777" w:rsidR="001A4B6E" w:rsidRPr="00641640" w:rsidRDefault="001A4B6E" w:rsidP="00B37B36">
            <w:pPr>
              <w:spacing w:line="276" w:lineRule="auto"/>
              <w:rPr>
                <w:rFonts w:ascii="Times New Roman" w:eastAsia="Times New Roman" w:hAnsi="Times New Roman"/>
                <w:noProof/>
                <w:sz w:val="24"/>
                <w:szCs w:val="24"/>
                <w:lang w:val="sq-AL"/>
              </w:rPr>
            </w:pPr>
            <w:r w:rsidRPr="00641640">
              <w:rPr>
                <w:rFonts w:ascii="Times New Roman" w:eastAsia="Times New Roman" w:hAnsi="Times New Roman"/>
                <w:noProof/>
                <w:sz w:val="24"/>
                <w:szCs w:val="24"/>
                <w:lang w:val="sq-AL"/>
              </w:rPr>
              <w:t>VNT</w:t>
            </w:r>
          </w:p>
        </w:tc>
        <w:tc>
          <w:tcPr>
            <w:tcW w:w="540" w:type="dxa"/>
          </w:tcPr>
          <w:p w14:paraId="3DA125D6" w14:textId="77777777" w:rsidR="001A4B6E" w:rsidRPr="00641640" w:rsidRDefault="001A4B6E" w:rsidP="00B37B36">
            <w:pPr>
              <w:spacing w:line="276" w:lineRule="auto"/>
              <w:jc w:val="center"/>
              <w:rPr>
                <w:rFonts w:ascii="Times New Roman" w:hAnsi="Times New Roman"/>
                <w:noProof/>
                <w:sz w:val="24"/>
                <w:szCs w:val="24"/>
                <w:lang w:val="sq-AL"/>
              </w:rPr>
            </w:pPr>
            <w:r w:rsidRPr="00641640">
              <w:rPr>
                <w:rFonts w:ascii="Times New Roman" w:hAnsi="Times New Roman"/>
                <w:noProof/>
                <w:sz w:val="24"/>
                <w:szCs w:val="24"/>
                <w:lang w:val="sq-AL"/>
              </w:rPr>
              <w:t>-</w:t>
            </w:r>
          </w:p>
        </w:tc>
        <w:tc>
          <w:tcPr>
            <w:tcW w:w="7831" w:type="dxa"/>
            <w:vAlign w:val="center"/>
          </w:tcPr>
          <w:p w14:paraId="6A35550C" w14:textId="77777777" w:rsidR="001A4B6E" w:rsidRPr="00641640" w:rsidRDefault="001A4B6E" w:rsidP="00B37B36">
            <w:pPr>
              <w:spacing w:line="276" w:lineRule="auto"/>
              <w:rPr>
                <w:rStyle w:val="normaltextrun"/>
                <w:rFonts w:ascii="Times New Roman" w:hAnsi="Times New Roman"/>
                <w:noProof/>
                <w:sz w:val="24"/>
                <w:szCs w:val="24"/>
                <w:lang w:val="sq-AL"/>
              </w:rPr>
            </w:pPr>
            <w:r w:rsidRPr="00641640">
              <w:rPr>
                <w:rFonts w:ascii="Times New Roman" w:hAnsi="Times New Roman"/>
                <w:noProof/>
                <w:sz w:val="24"/>
                <w:szCs w:val="24"/>
                <w:lang w:val="sq-AL"/>
              </w:rPr>
              <w:t>Vlerësim i Nevojave për Trajnim</w:t>
            </w:r>
          </w:p>
        </w:tc>
      </w:tr>
    </w:tbl>
    <w:p w14:paraId="4660DC2C" w14:textId="77777777" w:rsidR="00E414F9" w:rsidRPr="00641640" w:rsidRDefault="00E414F9" w:rsidP="003A395D">
      <w:pPr>
        <w:spacing w:line="276" w:lineRule="auto"/>
        <w:rPr>
          <w:rFonts w:ascii="Times New Roman" w:eastAsia="Times New Roman" w:hAnsi="Times New Roman" w:cs="Times New Roman"/>
          <w:noProof/>
          <w:sz w:val="24"/>
          <w:szCs w:val="24"/>
          <w:lang w:val="sq-AL"/>
        </w:rPr>
        <w:sectPr w:rsidR="00E414F9" w:rsidRPr="00641640" w:rsidSect="00DB3F48">
          <w:pgSz w:w="12240" w:h="15840"/>
          <w:pgMar w:top="1440" w:right="1440" w:bottom="1440" w:left="1440" w:header="720" w:footer="720" w:gutter="0"/>
          <w:cols w:space="720"/>
          <w:docGrid w:linePitch="360"/>
        </w:sectPr>
      </w:pPr>
    </w:p>
    <w:p w14:paraId="190F61A2" w14:textId="77777777" w:rsidR="00596AF3" w:rsidRPr="00641640" w:rsidRDefault="00596AF3" w:rsidP="003A395D">
      <w:pPr>
        <w:pBdr>
          <w:bottom w:val="single" w:sz="24" w:space="1" w:color="F0CDA1"/>
        </w:pBdr>
        <w:spacing w:before="120" w:after="120" w:line="276" w:lineRule="auto"/>
        <w:rPr>
          <w:rFonts w:ascii="Times New Roman" w:eastAsia="Arial" w:hAnsi="Times New Roman" w:cs="Times New Roman"/>
          <w:b/>
          <w:noProof/>
          <w:color w:val="003300"/>
          <w:sz w:val="36"/>
          <w:szCs w:val="36"/>
          <w:lang w:val="sq-AL"/>
        </w:rPr>
      </w:pPr>
      <w:bookmarkStart w:id="3" w:name="_Toc189510611"/>
      <w:r w:rsidRPr="00641640">
        <w:rPr>
          <w:rFonts w:ascii="Times New Roman" w:eastAsia="Arial" w:hAnsi="Times New Roman" w:cs="Times New Roman"/>
          <w:b/>
          <w:noProof/>
          <w:color w:val="003300"/>
          <w:sz w:val="36"/>
          <w:szCs w:val="36"/>
          <w:lang w:val="sq-AL"/>
        </w:rPr>
        <w:lastRenderedPageBreak/>
        <w:t>PJESA I – KONTEKSTI STRATEGJIK</w:t>
      </w:r>
    </w:p>
    <w:p w14:paraId="7D01FD64" w14:textId="3768750C" w:rsidR="0004673B" w:rsidRPr="00641640" w:rsidRDefault="00E91E92" w:rsidP="003A395D">
      <w:pPr>
        <w:pStyle w:val="Heading1"/>
        <w:spacing w:after="240" w:line="276" w:lineRule="auto"/>
        <w:rPr>
          <w:rFonts w:ascii="Times New Roman" w:hAnsi="Times New Roman" w:cs="Times New Roman"/>
          <w:b/>
          <w:bCs/>
          <w:noProof/>
          <w:color w:val="auto"/>
          <w:sz w:val="28"/>
          <w:szCs w:val="28"/>
          <w:lang w:val="sq-AL"/>
        </w:rPr>
      </w:pPr>
      <w:r w:rsidRPr="00641640">
        <w:rPr>
          <w:rFonts w:ascii="Times New Roman" w:hAnsi="Times New Roman" w:cs="Times New Roman"/>
          <w:b/>
          <w:bCs/>
          <w:noProof/>
          <w:color w:val="auto"/>
          <w:sz w:val="28"/>
          <w:szCs w:val="28"/>
          <w:lang w:val="sq-AL"/>
        </w:rPr>
        <w:t>1. HYRJA DHE QËLLIMI I STRATEGJISË</w:t>
      </w:r>
      <w:bookmarkEnd w:id="3"/>
    </w:p>
    <w:p w14:paraId="3F1DC448" w14:textId="3D5F1956" w:rsidR="0004673B" w:rsidRPr="00641640" w:rsidRDefault="00021F28" w:rsidP="003A395D">
      <w:pPr>
        <w:pStyle w:val="Heading2"/>
        <w:spacing w:line="276" w:lineRule="auto"/>
        <w:rPr>
          <w:rFonts w:ascii="Times New Roman" w:hAnsi="Times New Roman" w:cs="Times New Roman"/>
          <w:b/>
          <w:bCs/>
          <w:noProof/>
          <w:color w:val="C45911" w:themeColor="accent2" w:themeShade="BF"/>
          <w:sz w:val="24"/>
          <w:szCs w:val="24"/>
          <w:lang w:val="sq-AL"/>
        </w:rPr>
      </w:pPr>
      <w:bookmarkStart w:id="4" w:name="_Toc178641199"/>
      <w:bookmarkStart w:id="5" w:name="_Toc178708469"/>
      <w:bookmarkStart w:id="6" w:name="_Toc178710920"/>
      <w:bookmarkStart w:id="7" w:name="_Toc178728615"/>
      <w:bookmarkStart w:id="8" w:name="_Toc178729104"/>
      <w:bookmarkStart w:id="9" w:name="_Toc178729246"/>
      <w:bookmarkStart w:id="10" w:name="_Toc161748801"/>
      <w:bookmarkStart w:id="11" w:name="_Toc189510612"/>
      <w:bookmarkEnd w:id="4"/>
      <w:bookmarkEnd w:id="5"/>
      <w:bookmarkEnd w:id="6"/>
      <w:bookmarkEnd w:id="7"/>
      <w:bookmarkEnd w:id="8"/>
      <w:bookmarkEnd w:id="9"/>
      <w:r w:rsidRPr="00641640">
        <w:rPr>
          <w:rFonts w:ascii="Times New Roman" w:hAnsi="Times New Roman" w:cs="Times New Roman"/>
          <w:b/>
          <w:bCs/>
          <w:noProof/>
          <w:color w:val="C45911" w:themeColor="accent2" w:themeShade="BF"/>
          <w:sz w:val="24"/>
          <w:szCs w:val="24"/>
          <w:lang w:val="sq-AL"/>
        </w:rPr>
        <w:t>1.1</w:t>
      </w:r>
      <w:r w:rsidR="002936C3" w:rsidRPr="00641640">
        <w:rPr>
          <w:rFonts w:ascii="Times New Roman" w:hAnsi="Times New Roman" w:cs="Times New Roman"/>
          <w:b/>
          <w:bCs/>
          <w:noProof/>
          <w:color w:val="C45911" w:themeColor="accent2" w:themeShade="BF"/>
          <w:sz w:val="24"/>
          <w:szCs w:val="24"/>
          <w:lang w:val="sq-AL"/>
        </w:rPr>
        <w:t xml:space="preserve">. </w:t>
      </w:r>
      <w:r w:rsidR="0004673B" w:rsidRPr="00641640">
        <w:rPr>
          <w:rFonts w:ascii="Times New Roman" w:hAnsi="Times New Roman" w:cs="Times New Roman"/>
          <w:b/>
          <w:bCs/>
          <w:noProof/>
          <w:color w:val="C45911" w:themeColor="accent2" w:themeShade="BF"/>
          <w:sz w:val="24"/>
          <w:szCs w:val="24"/>
          <w:lang w:val="sq-AL"/>
        </w:rPr>
        <w:t>Fusha dhe qëllimi</w:t>
      </w:r>
      <w:bookmarkEnd w:id="10"/>
      <w:r w:rsidR="00FD1BAC" w:rsidRPr="00641640">
        <w:rPr>
          <w:rFonts w:ascii="Times New Roman" w:hAnsi="Times New Roman" w:cs="Times New Roman"/>
          <w:b/>
          <w:bCs/>
          <w:noProof/>
          <w:color w:val="C45911" w:themeColor="accent2" w:themeShade="BF"/>
          <w:sz w:val="24"/>
          <w:szCs w:val="24"/>
          <w:lang w:val="sq-AL"/>
        </w:rPr>
        <w:t xml:space="preserve"> i Strategjisë</w:t>
      </w:r>
      <w:bookmarkEnd w:id="11"/>
    </w:p>
    <w:p w14:paraId="73FFD6DE" w14:textId="77777777" w:rsidR="0004673B" w:rsidRPr="00641640" w:rsidRDefault="0004673B" w:rsidP="003A395D">
      <w:pPr>
        <w:spacing w:after="0" w:line="276" w:lineRule="auto"/>
        <w:rPr>
          <w:rFonts w:ascii="Times New Roman" w:hAnsi="Times New Roman" w:cs="Times New Roman"/>
          <w:noProof/>
          <w:sz w:val="22"/>
          <w:szCs w:val="22"/>
          <w:lang w:val="sq-AL"/>
        </w:rPr>
      </w:pPr>
    </w:p>
    <w:p w14:paraId="6945B767" w14:textId="385A40A4" w:rsidR="00470F30" w:rsidRPr="00641640" w:rsidRDefault="00470F30" w:rsidP="003A395D">
      <w:pPr>
        <w:spacing w:line="276" w:lineRule="auto"/>
        <w:jc w:val="both"/>
        <w:rPr>
          <w:rFonts w:ascii="Times New Roman" w:hAnsi="Times New Roman" w:cs="Times New Roman"/>
          <w:noProof/>
          <w:color w:val="395542"/>
          <w:sz w:val="24"/>
          <w:szCs w:val="24"/>
          <w:lang w:val="sq-AL"/>
        </w:rPr>
      </w:pPr>
      <w:r w:rsidRPr="00641640">
        <w:rPr>
          <w:rFonts w:ascii="Times New Roman" w:hAnsi="Times New Roman" w:cs="Times New Roman"/>
          <w:noProof/>
          <w:sz w:val="24"/>
          <w:szCs w:val="24"/>
          <w:lang w:val="sq-AL"/>
        </w:rPr>
        <w:t xml:space="preserve">Reforma në </w:t>
      </w:r>
      <w:r w:rsidR="006136CB" w:rsidRPr="00641640">
        <w:rPr>
          <w:rFonts w:ascii="Times New Roman" w:hAnsi="Times New Roman" w:cs="Times New Roman"/>
          <w:noProof/>
          <w:sz w:val="24"/>
          <w:szCs w:val="24"/>
          <w:lang w:val="sq-AL"/>
        </w:rPr>
        <w:t>A</w:t>
      </w:r>
      <w:r w:rsidRPr="00641640">
        <w:rPr>
          <w:rFonts w:ascii="Times New Roman" w:hAnsi="Times New Roman" w:cs="Times New Roman"/>
          <w:noProof/>
          <w:sz w:val="24"/>
          <w:szCs w:val="24"/>
          <w:lang w:val="sq-AL"/>
        </w:rPr>
        <w:t xml:space="preserve">dministratën </w:t>
      </w:r>
      <w:r w:rsidR="006136CB" w:rsidRPr="00641640">
        <w:rPr>
          <w:rFonts w:ascii="Times New Roman" w:hAnsi="Times New Roman" w:cs="Times New Roman"/>
          <w:noProof/>
          <w:sz w:val="24"/>
          <w:szCs w:val="24"/>
          <w:lang w:val="sq-AL"/>
        </w:rPr>
        <w:t>P</w:t>
      </w:r>
      <w:r w:rsidRPr="00641640">
        <w:rPr>
          <w:rFonts w:ascii="Times New Roman" w:hAnsi="Times New Roman" w:cs="Times New Roman"/>
          <w:noProof/>
          <w:sz w:val="24"/>
          <w:szCs w:val="24"/>
          <w:lang w:val="sq-AL"/>
        </w:rPr>
        <w:t xml:space="preserve">ublike </w:t>
      </w:r>
      <w:r w:rsidR="006136CB" w:rsidRPr="00641640">
        <w:rPr>
          <w:rFonts w:ascii="Times New Roman" w:hAnsi="Times New Roman" w:cs="Times New Roman"/>
          <w:noProof/>
          <w:sz w:val="24"/>
          <w:szCs w:val="24"/>
          <w:lang w:val="sq-AL"/>
        </w:rPr>
        <w:t xml:space="preserve">(RAP) </w:t>
      </w:r>
      <w:r w:rsidRPr="00641640">
        <w:rPr>
          <w:rFonts w:ascii="Times New Roman" w:hAnsi="Times New Roman" w:cs="Times New Roman"/>
          <w:noProof/>
          <w:sz w:val="24"/>
          <w:szCs w:val="24"/>
          <w:lang w:val="sq-AL"/>
        </w:rPr>
        <w:t>është një ndër prioritet kryesore të Qeverisë Shqiptare për jetë</w:t>
      </w:r>
      <w:r w:rsidR="008704A7">
        <w:rPr>
          <w:rFonts w:ascii="Times New Roman" w:hAnsi="Times New Roman" w:cs="Times New Roman"/>
          <w:noProof/>
          <w:sz w:val="24"/>
          <w:szCs w:val="24"/>
          <w:lang w:val="sq-AL"/>
        </w:rPr>
        <w:t>s</w:t>
      </w:r>
      <w:r w:rsidRPr="00641640">
        <w:rPr>
          <w:rFonts w:ascii="Times New Roman" w:hAnsi="Times New Roman" w:cs="Times New Roman"/>
          <w:noProof/>
          <w:sz w:val="24"/>
          <w:szCs w:val="24"/>
          <w:lang w:val="sq-AL"/>
        </w:rPr>
        <w:t>imin e vizionit të Shqipërisë 2030 si anëtare e Bashkimit Evropian, përmes forcimit të mëtejshëm të të gjith</w:t>
      </w:r>
      <w:r w:rsidR="0049350C" w:rsidRPr="00641640">
        <w:rPr>
          <w:rFonts w:ascii="Times New Roman" w:hAnsi="Times New Roman" w:cs="Times New Roman"/>
          <w:noProof/>
          <w:sz w:val="24"/>
          <w:szCs w:val="24"/>
          <w:lang w:val="sq-AL"/>
        </w:rPr>
        <w:t xml:space="preserve">ë mekanizmave </w:t>
      </w:r>
      <w:r w:rsidRPr="00641640">
        <w:rPr>
          <w:rFonts w:ascii="Times New Roman" w:hAnsi="Times New Roman" w:cs="Times New Roman"/>
          <w:noProof/>
          <w:sz w:val="24"/>
          <w:szCs w:val="24"/>
          <w:lang w:val="sq-AL"/>
        </w:rPr>
        <w:t>për një administratë publike efi</w:t>
      </w:r>
      <w:r w:rsidR="006136CB" w:rsidRPr="00641640">
        <w:rPr>
          <w:rFonts w:ascii="Times New Roman" w:hAnsi="Times New Roman" w:cs="Times New Roman"/>
          <w:noProof/>
          <w:sz w:val="24"/>
          <w:szCs w:val="24"/>
          <w:lang w:val="sq-AL"/>
        </w:rPr>
        <w:t>c</w:t>
      </w:r>
      <w:r w:rsidRPr="00641640">
        <w:rPr>
          <w:rFonts w:ascii="Times New Roman" w:hAnsi="Times New Roman" w:cs="Times New Roman"/>
          <w:noProof/>
          <w:sz w:val="24"/>
          <w:szCs w:val="24"/>
          <w:lang w:val="sq-AL"/>
        </w:rPr>
        <w:t>ente</w:t>
      </w:r>
      <w:r w:rsidR="006136CB" w:rsidRPr="00641640">
        <w:rPr>
          <w:rFonts w:ascii="Times New Roman" w:hAnsi="Times New Roman" w:cs="Times New Roman"/>
          <w:noProof/>
          <w:sz w:val="24"/>
          <w:szCs w:val="24"/>
          <w:lang w:val="sq-AL"/>
        </w:rPr>
        <w:t xml:space="preserve"> q</w:t>
      </w:r>
      <w:r w:rsidR="00064AC5" w:rsidRPr="00641640">
        <w:rPr>
          <w:rFonts w:ascii="Times New Roman" w:hAnsi="Times New Roman" w:cs="Times New Roman"/>
          <w:noProof/>
          <w:sz w:val="24"/>
          <w:szCs w:val="24"/>
          <w:lang w:val="sq-AL"/>
        </w:rPr>
        <w:t>ë</w:t>
      </w:r>
      <w:r w:rsidR="006136CB" w:rsidRPr="00641640">
        <w:rPr>
          <w:rFonts w:ascii="Times New Roman" w:hAnsi="Times New Roman" w:cs="Times New Roman"/>
          <w:noProof/>
          <w:sz w:val="24"/>
          <w:szCs w:val="24"/>
          <w:lang w:val="sq-AL"/>
        </w:rPr>
        <w:t xml:space="preserve"> vepron me profesionaliz</w:t>
      </w:r>
      <w:r w:rsidR="00064AC5" w:rsidRPr="00641640">
        <w:rPr>
          <w:rFonts w:ascii="Times New Roman" w:hAnsi="Times New Roman" w:cs="Times New Roman"/>
          <w:noProof/>
          <w:sz w:val="24"/>
          <w:szCs w:val="24"/>
          <w:lang w:val="sq-AL"/>
        </w:rPr>
        <w:t>ë</w:t>
      </w:r>
      <w:r w:rsidR="006136CB" w:rsidRPr="00641640">
        <w:rPr>
          <w:rFonts w:ascii="Times New Roman" w:hAnsi="Times New Roman" w:cs="Times New Roman"/>
          <w:noProof/>
          <w:sz w:val="24"/>
          <w:szCs w:val="24"/>
          <w:lang w:val="sq-AL"/>
        </w:rPr>
        <w:t>m dhe transparenc</w:t>
      </w:r>
      <w:r w:rsidR="00064AC5" w:rsidRPr="00641640">
        <w:rPr>
          <w:rFonts w:ascii="Times New Roman" w:hAnsi="Times New Roman" w:cs="Times New Roman"/>
          <w:noProof/>
          <w:sz w:val="24"/>
          <w:szCs w:val="24"/>
          <w:lang w:val="sq-AL"/>
        </w:rPr>
        <w:t>ë</w:t>
      </w:r>
      <w:r w:rsidR="006136CB" w:rsidRPr="00641640">
        <w:rPr>
          <w:rFonts w:ascii="Times New Roman" w:hAnsi="Times New Roman" w:cs="Times New Roman"/>
          <w:noProof/>
          <w:sz w:val="24"/>
          <w:szCs w:val="24"/>
          <w:lang w:val="sq-AL"/>
        </w:rPr>
        <w:t xml:space="preserve">. </w:t>
      </w:r>
    </w:p>
    <w:p w14:paraId="33FB2F12" w14:textId="0BAB0F12" w:rsidR="008C2343" w:rsidRPr="00641640" w:rsidRDefault="006136CB"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rgjat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viteve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fundit, </w:t>
      </w:r>
      <w:r w:rsidR="008C2343" w:rsidRPr="00641640">
        <w:rPr>
          <w:rFonts w:ascii="Times New Roman" w:hAnsi="Times New Roman" w:cs="Times New Roman"/>
          <w:noProof/>
          <w:sz w:val="24"/>
          <w:szCs w:val="24"/>
          <w:lang w:val="sq-AL"/>
        </w:rPr>
        <w:t>Shqipëria ka</w:t>
      </w:r>
      <w:r w:rsidR="001E0376" w:rsidRPr="00641640">
        <w:rPr>
          <w:rFonts w:ascii="Times New Roman" w:hAnsi="Times New Roman" w:cs="Times New Roman"/>
          <w:noProof/>
          <w:sz w:val="24"/>
          <w:szCs w:val="24"/>
          <w:lang w:val="sq-AL"/>
        </w:rPr>
        <w:t xml:space="preserve"> nd</w:t>
      </w:r>
      <w:r w:rsidR="00064AC5" w:rsidRPr="00641640">
        <w:rPr>
          <w:rFonts w:ascii="Times New Roman" w:hAnsi="Times New Roman" w:cs="Times New Roman"/>
          <w:noProof/>
          <w:sz w:val="24"/>
          <w:szCs w:val="24"/>
          <w:lang w:val="sq-AL"/>
        </w:rPr>
        <w:t>ë</w:t>
      </w:r>
      <w:r w:rsidR="001E0376" w:rsidRPr="00641640">
        <w:rPr>
          <w:rFonts w:ascii="Times New Roman" w:hAnsi="Times New Roman" w:cs="Times New Roman"/>
          <w:noProof/>
          <w:sz w:val="24"/>
          <w:szCs w:val="24"/>
          <w:lang w:val="sq-AL"/>
        </w:rPr>
        <w:t>rmarr</w:t>
      </w:r>
      <w:r w:rsidR="00064AC5" w:rsidRPr="00641640">
        <w:rPr>
          <w:rFonts w:ascii="Times New Roman" w:hAnsi="Times New Roman" w:cs="Times New Roman"/>
          <w:noProof/>
          <w:sz w:val="24"/>
          <w:szCs w:val="24"/>
          <w:lang w:val="sq-AL"/>
        </w:rPr>
        <w:t>ë</w:t>
      </w:r>
      <w:r w:rsidR="008C2343" w:rsidRPr="00641640">
        <w:rPr>
          <w:rFonts w:ascii="Times New Roman" w:hAnsi="Times New Roman" w:cs="Times New Roman"/>
          <w:noProof/>
          <w:sz w:val="24"/>
          <w:szCs w:val="24"/>
          <w:lang w:val="sq-AL"/>
        </w:rPr>
        <w:t xml:space="preserve"> disa reforma të </w:t>
      </w:r>
      <w:r w:rsidR="001E0376" w:rsidRPr="00641640">
        <w:rPr>
          <w:rFonts w:ascii="Times New Roman" w:hAnsi="Times New Roman" w:cs="Times New Roman"/>
          <w:noProof/>
          <w:sz w:val="24"/>
          <w:szCs w:val="24"/>
          <w:lang w:val="sq-AL"/>
        </w:rPr>
        <w:t>thella</w:t>
      </w:r>
      <w:r w:rsidR="008C2343" w:rsidRPr="00641640">
        <w:rPr>
          <w:rFonts w:ascii="Times New Roman" w:hAnsi="Times New Roman" w:cs="Times New Roman"/>
          <w:noProof/>
          <w:sz w:val="24"/>
          <w:szCs w:val="24"/>
          <w:lang w:val="sq-AL"/>
        </w:rPr>
        <w:t xml:space="preserve"> në fush</w:t>
      </w:r>
      <w:r w:rsidR="00064AC5" w:rsidRPr="00641640">
        <w:rPr>
          <w:rFonts w:ascii="Times New Roman" w:hAnsi="Times New Roman" w:cs="Times New Roman"/>
          <w:noProof/>
          <w:sz w:val="24"/>
          <w:szCs w:val="24"/>
          <w:lang w:val="sq-AL"/>
        </w:rPr>
        <w:t>ë</w:t>
      </w:r>
      <w:r w:rsidR="001E0376" w:rsidRPr="00641640">
        <w:rPr>
          <w:rFonts w:ascii="Times New Roman" w:hAnsi="Times New Roman" w:cs="Times New Roman"/>
          <w:noProof/>
          <w:sz w:val="24"/>
          <w:szCs w:val="24"/>
          <w:lang w:val="sq-AL"/>
        </w:rPr>
        <w:t>n e</w:t>
      </w:r>
      <w:r w:rsidR="000151AE" w:rsidRPr="00641640">
        <w:rPr>
          <w:rFonts w:ascii="Times New Roman" w:hAnsi="Times New Roman" w:cs="Times New Roman"/>
          <w:noProof/>
          <w:sz w:val="24"/>
          <w:szCs w:val="24"/>
          <w:lang w:val="sq-AL"/>
        </w:rPr>
        <w:t xml:space="preserve"> administratës publike, </w:t>
      </w:r>
      <w:r w:rsidR="008C2343" w:rsidRPr="00641640">
        <w:rPr>
          <w:rFonts w:ascii="Times New Roman" w:hAnsi="Times New Roman" w:cs="Times New Roman"/>
          <w:noProof/>
          <w:sz w:val="24"/>
          <w:szCs w:val="24"/>
          <w:lang w:val="sq-AL"/>
        </w:rPr>
        <w:t xml:space="preserve">të </w:t>
      </w:r>
      <w:r w:rsidR="001E0376" w:rsidRPr="00641640">
        <w:rPr>
          <w:rFonts w:ascii="Times New Roman" w:hAnsi="Times New Roman" w:cs="Times New Roman"/>
          <w:noProof/>
          <w:sz w:val="24"/>
          <w:szCs w:val="24"/>
          <w:lang w:val="sq-AL"/>
        </w:rPr>
        <w:t>cilat jan</w:t>
      </w:r>
      <w:r w:rsidR="00064AC5" w:rsidRPr="00641640">
        <w:rPr>
          <w:rFonts w:ascii="Times New Roman" w:hAnsi="Times New Roman" w:cs="Times New Roman"/>
          <w:noProof/>
          <w:sz w:val="24"/>
          <w:szCs w:val="24"/>
          <w:lang w:val="sq-AL"/>
        </w:rPr>
        <w:t>ë</w:t>
      </w:r>
      <w:r w:rsidR="001E0376" w:rsidRPr="00641640">
        <w:rPr>
          <w:rFonts w:ascii="Times New Roman" w:hAnsi="Times New Roman" w:cs="Times New Roman"/>
          <w:noProof/>
          <w:sz w:val="24"/>
          <w:szCs w:val="24"/>
          <w:lang w:val="sq-AL"/>
        </w:rPr>
        <w:t xml:space="preserve"> </w:t>
      </w:r>
      <w:r w:rsidR="008C2343" w:rsidRPr="00641640">
        <w:rPr>
          <w:rFonts w:ascii="Times New Roman" w:hAnsi="Times New Roman" w:cs="Times New Roman"/>
          <w:noProof/>
          <w:sz w:val="24"/>
          <w:szCs w:val="24"/>
          <w:lang w:val="sq-AL"/>
        </w:rPr>
        <w:t xml:space="preserve">planifikuar dhe monitoruar përmes </w:t>
      </w:r>
      <w:r w:rsidRPr="00641640">
        <w:rPr>
          <w:rFonts w:ascii="Times New Roman" w:hAnsi="Times New Roman" w:cs="Times New Roman"/>
          <w:noProof/>
          <w:sz w:val="24"/>
          <w:szCs w:val="24"/>
          <w:lang w:val="sq-AL"/>
        </w:rPr>
        <w:t>S</w:t>
      </w:r>
      <w:r w:rsidR="008C2343" w:rsidRPr="00641640">
        <w:rPr>
          <w:rFonts w:ascii="Times New Roman" w:hAnsi="Times New Roman" w:cs="Times New Roman"/>
          <w:noProof/>
          <w:sz w:val="24"/>
          <w:szCs w:val="24"/>
          <w:lang w:val="sq-AL"/>
        </w:rPr>
        <w:t xml:space="preserve">trategjisë </w:t>
      </w:r>
      <w:r w:rsidRPr="00641640">
        <w:rPr>
          <w:rFonts w:ascii="Times New Roman" w:hAnsi="Times New Roman" w:cs="Times New Roman"/>
          <w:noProof/>
          <w:sz w:val="24"/>
          <w:szCs w:val="24"/>
          <w:lang w:val="sq-AL"/>
        </w:rPr>
        <w:t>N</w:t>
      </w:r>
      <w:r w:rsidR="008C2343" w:rsidRPr="00641640">
        <w:rPr>
          <w:rFonts w:ascii="Times New Roman" w:hAnsi="Times New Roman" w:cs="Times New Roman"/>
          <w:noProof/>
          <w:sz w:val="24"/>
          <w:szCs w:val="24"/>
          <w:lang w:val="sq-AL"/>
        </w:rPr>
        <w:t>d</w:t>
      </w:r>
      <w:r w:rsidRPr="00641640">
        <w:rPr>
          <w:rFonts w:ascii="Times New Roman" w:hAnsi="Times New Roman" w:cs="Times New Roman"/>
          <w:noProof/>
          <w:sz w:val="24"/>
          <w:szCs w:val="24"/>
          <w:lang w:val="sq-AL"/>
        </w:rPr>
        <w:t>ë</w:t>
      </w:r>
      <w:r w:rsidR="008C2343" w:rsidRPr="00641640">
        <w:rPr>
          <w:rFonts w:ascii="Times New Roman" w:hAnsi="Times New Roman" w:cs="Times New Roman"/>
          <w:noProof/>
          <w:sz w:val="24"/>
          <w:szCs w:val="24"/>
          <w:lang w:val="sq-AL"/>
        </w:rPr>
        <w:t xml:space="preserve">rsektoriale të </w:t>
      </w:r>
      <w:r w:rsidRPr="00641640">
        <w:rPr>
          <w:rFonts w:ascii="Times New Roman" w:hAnsi="Times New Roman" w:cs="Times New Roman"/>
          <w:noProof/>
          <w:sz w:val="24"/>
          <w:szCs w:val="24"/>
          <w:lang w:val="sq-AL"/>
        </w:rPr>
        <w:t>R</w:t>
      </w:r>
      <w:r w:rsidR="008C2343" w:rsidRPr="00641640">
        <w:rPr>
          <w:rFonts w:ascii="Times New Roman" w:hAnsi="Times New Roman" w:cs="Times New Roman"/>
          <w:noProof/>
          <w:sz w:val="24"/>
          <w:szCs w:val="24"/>
          <w:lang w:val="sq-AL"/>
        </w:rPr>
        <w:t xml:space="preserve">eformës në </w:t>
      </w:r>
      <w:r w:rsidRPr="00641640">
        <w:rPr>
          <w:rFonts w:ascii="Times New Roman" w:hAnsi="Times New Roman" w:cs="Times New Roman"/>
          <w:noProof/>
          <w:sz w:val="24"/>
          <w:szCs w:val="24"/>
          <w:lang w:val="sq-AL"/>
        </w:rPr>
        <w:t>A</w:t>
      </w:r>
      <w:r w:rsidR="008C2343" w:rsidRPr="00641640">
        <w:rPr>
          <w:rFonts w:ascii="Times New Roman" w:hAnsi="Times New Roman" w:cs="Times New Roman"/>
          <w:noProof/>
          <w:sz w:val="24"/>
          <w:szCs w:val="24"/>
          <w:lang w:val="sq-AL"/>
        </w:rPr>
        <w:t xml:space="preserve">dministratën </w:t>
      </w:r>
      <w:r w:rsidRPr="00641640">
        <w:rPr>
          <w:rFonts w:ascii="Times New Roman" w:hAnsi="Times New Roman" w:cs="Times New Roman"/>
          <w:noProof/>
          <w:sz w:val="24"/>
          <w:szCs w:val="24"/>
          <w:lang w:val="sq-AL"/>
        </w:rPr>
        <w:t>P</w:t>
      </w:r>
      <w:r w:rsidR="008C2343" w:rsidRPr="00641640">
        <w:rPr>
          <w:rFonts w:ascii="Times New Roman" w:hAnsi="Times New Roman" w:cs="Times New Roman"/>
          <w:noProof/>
          <w:sz w:val="24"/>
          <w:szCs w:val="24"/>
          <w:lang w:val="sq-AL"/>
        </w:rPr>
        <w:t xml:space="preserve">ublike. </w:t>
      </w:r>
      <w:r w:rsidR="001E0376" w:rsidRPr="00641640">
        <w:rPr>
          <w:rFonts w:ascii="Times New Roman" w:hAnsi="Times New Roman" w:cs="Times New Roman"/>
          <w:noProof/>
          <w:sz w:val="24"/>
          <w:szCs w:val="24"/>
          <w:lang w:val="sq-AL"/>
        </w:rPr>
        <w:t>N</w:t>
      </w:r>
      <w:r w:rsidR="00064AC5" w:rsidRPr="00641640">
        <w:rPr>
          <w:rFonts w:ascii="Times New Roman" w:hAnsi="Times New Roman" w:cs="Times New Roman"/>
          <w:noProof/>
          <w:sz w:val="24"/>
          <w:szCs w:val="24"/>
          <w:lang w:val="sq-AL"/>
        </w:rPr>
        <w:t>ë</w:t>
      </w:r>
      <w:r w:rsidR="001E0376" w:rsidRPr="00641640">
        <w:rPr>
          <w:rFonts w:ascii="Times New Roman" w:hAnsi="Times New Roman" w:cs="Times New Roman"/>
          <w:noProof/>
          <w:sz w:val="24"/>
          <w:szCs w:val="24"/>
          <w:lang w:val="sq-AL"/>
        </w:rPr>
        <w:t xml:space="preserve"> nj</w:t>
      </w:r>
      <w:r w:rsidR="00064AC5" w:rsidRPr="00641640">
        <w:rPr>
          <w:rFonts w:ascii="Times New Roman" w:hAnsi="Times New Roman" w:cs="Times New Roman"/>
          <w:noProof/>
          <w:sz w:val="24"/>
          <w:szCs w:val="24"/>
          <w:lang w:val="sq-AL"/>
        </w:rPr>
        <w:t>ë</w:t>
      </w:r>
      <w:r w:rsidR="001E0376" w:rsidRPr="00641640">
        <w:rPr>
          <w:rFonts w:ascii="Times New Roman" w:hAnsi="Times New Roman" w:cs="Times New Roman"/>
          <w:noProof/>
          <w:sz w:val="24"/>
          <w:szCs w:val="24"/>
          <w:lang w:val="sq-AL"/>
        </w:rPr>
        <w:t xml:space="preserve"> k</w:t>
      </w:r>
      <w:r w:rsidR="00064AC5" w:rsidRPr="00641640">
        <w:rPr>
          <w:rFonts w:ascii="Times New Roman" w:hAnsi="Times New Roman" w:cs="Times New Roman"/>
          <w:noProof/>
          <w:sz w:val="24"/>
          <w:szCs w:val="24"/>
          <w:lang w:val="sq-AL"/>
        </w:rPr>
        <w:t>ë</w:t>
      </w:r>
      <w:r w:rsidR="001E0376" w:rsidRPr="00641640">
        <w:rPr>
          <w:rFonts w:ascii="Times New Roman" w:hAnsi="Times New Roman" w:cs="Times New Roman"/>
          <w:noProof/>
          <w:sz w:val="24"/>
          <w:szCs w:val="24"/>
          <w:lang w:val="sq-AL"/>
        </w:rPr>
        <w:t>ndv</w:t>
      </w:r>
      <w:r w:rsidR="00064AC5" w:rsidRPr="00641640">
        <w:rPr>
          <w:rFonts w:ascii="Times New Roman" w:hAnsi="Times New Roman" w:cs="Times New Roman"/>
          <w:noProof/>
          <w:sz w:val="24"/>
          <w:szCs w:val="24"/>
          <w:lang w:val="sq-AL"/>
        </w:rPr>
        <w:t>ë</w:t>
      </w:r>
      <w:r w:rsidR="001E0376" w:rsidRPr="00641640">
        <w:rPr>
          <w:rFonts w:ascii="Times New Roman" w:hAnsi="Times New Roman" w:cs="Times New Roman"/>
          <w:noProof/>
          <w:sz w:val="24"/>
          <w:szCs w:val="24"/>
          <w:lang w:val="sq-AL"/>
        </w:rPr>
        <w:t>shtrim rajonal, p</w:t>
      </w:r>
      <w:r w:rsidR="008C2343" w:rsidRPr="00641640">
        <w:rPr>
          <w:rFonts w:ascii="Times New Roman" w:hAnsi="Times New Roman" w:cs="Times New Roman"/>
          <w:noProof/>
          <w:sz w:val="24"/>
          <w:szCs w:val="24"/>
          <w:lang w:val="sq-AL"/>
        </w:rPr>
        <w:t xml:space="preserve">erformanca e përgjithshme e Shqipërisë në </w:t>
      </w:r>
      <w:r w:rsidR="001E0376" w:rsidRPr="00641640">
        <w:rPr>
          <w:rFonts w:ascii="Times New Roman" w:hAnsi="Times New Roman" w:cs="Times New Roman"/>
          <w:noProof/>
          <w:sz w:val="24"/>
          <w:szCs w:val="24"/>
          <w:lang w:val="sq-AL"/>
        </w:rPr>
        <w:t>k</w:t>
      </w:r>
      <w:r w:rsidR="00064AC5" w:rsidRPr="00641640">
        <w:rPr>
          <w:rFonts w:ascii="Times New Roman" w:hAnsi="Times New Roman" w:cs="Times New Roman"/>
          <w:noProof/>
          <w:sz w:val="24"/>
          <w:szCs w:val="24"/>
          <w:lang w:val="sq-AL"/>
        </w:rPr>
        <w:t>ë</w:t>
      </w:r>
      <w:r w:rsidR="001E0376" w:rsidRPr="00641640">
        <w:rPr>
          <w:rFonts w:ascii="Times New Roman" w:hAnsi="Times New Roman" w:cs="Times New Roman"/>
          <w:noProof/>
          <w:sz w:val="24"/>
          <w:szCs w:val="24"/>
          <w:lang w:val="sq-AL"/>
        </w:rPr>
        <w:t xml:space="preserve">to </w:t>
      </w:r>
      <w:r w:rsidR="008C2343" w:rsidRPr="00641640">
        <w:rPr>
          <w:rFonts w:ascii="Times New Roman" w:hAnsi="Times New Roman" w:cs="Times New Roman"/>
          <w:noProof/>
          <w:sz w:val="24"/>
          <w:szCs w:val="24"/>
          <w:lang w:val="sq-AL"/>
        </w:rPr>
        <w:t xml:space="preserve">reforma është </w:t>
      </w:r>
      <w:r w:rsidR="001E0376" w:rsidRPr="00641640">
        <w:rPr>
          <w:rFonts w:ascii="Times New Roman" w:hAnsi="Times New Roman" w:cs="Times New Roman"/>
          <w:noProof/>
          <w:sz w:val="24"/>
          <w:szCs w:val="24"/>
          <w:lang w:val="sq-AL"/>
        </w:rPr>
        <w:t>vler</w:t>
      </w:r>
      <w:r w:rsidR="00064AC5" w:rsidRPr="00641640">
        <w:rPr>
          <w:rFonts w:ascii="Times New Roman" w:hAnsi="Times New Roman" w:cs="Times New Roman"/>
          <w:noProof/>
          <w:sz w:val="24"/>
          <w:szCs w:val="24"/>
          <w:lang w:val="sq-AL"/>
        </w:rPr>
        <w:t>ë</w:t>
      </w:r>
      <w:r w:rsidR="001E0376" w:rsidRPr="00641640">
        <w:rPr>
          <w:rFonts w:ascii="Times New Roman" w:hAnsi="Times New Roman" w:cs="Times New Roman"/>
          <w:noProof/>
          <w:sz w:val="24"/>
          <w:szCs w:val="24"/>
          <w:lang w:val="sq-AL"/>
        </w:rPr>
        <w:t xml:space="preserve">suar </w:t>
      </w:r>
      <w:r w:rsidR="00537685" w:rsidRPr="00641640">
        <w:rPr>
          <w:rFonts w:ascii="Times New Roman" w:hAnsi="Times New Roman" w:cs="Times New Roman"/>
          <w:noProof/>
          <w:sz w:val="24"/>
          <w:szCs w:val="24"/>
          <w:lang w:val="sq-AL"/>
        </w:rPr>
        <w:t xml:space="preserve">si </w:t>
      </w:r>
      <w:r w:rsidR="001E0376" w:rsidRPr="00641640">
        <w:rPr>
          <w:rFonts w:ascii="Times New Roman" w:hAnsi="Times New Roman" w:cs="Times New Roman"/>
          <w:noProof/>
          <w:sz w:val="24"/>
          <w:szCs w:val="24"/>
          <w:lang w:val="sq-AL"/>
        </w:rPr>
        <w:t>shum</w:t>
      </w:r>
      <w:r w:rsidR="00064AC5" w:rsidRPr="00641640">
        <w:rPr>
          <w:rFonts w:ascii="Times New Roman" w:hAnsi="Times New Roman" w:cs="Times New Roman"/>
          <w:noProof/>
          <w:sz w:val="24"/>
          <w:szCs w:val="24"/>
          <w:lang w:val="sq-AL"/>
        </w:rPr>
        <w:t>ë</w:t>
      </w:r>
      <w:r w:rsidR="001E0376" w:rsidRPr="00641640">
        <w:rPr>
          <w:rFonts w:ascii="Times New Roman" w:hAnsi="Times New Roman" w:cs="Times New Roman"/>
          <w:noProof/>
          <w:sz w:val="24"/>
          <w:szCs w:val="24"/>
          <w:lang w:val="sq-AL"/>
        </w:rPr>
        <w:t xml:space="preserve"> pozitive </w:t>
      </w:r>
      <w:r w:rsidR="008C2343" w:rsidRPr="00641640">
        <w:rPr>
          <w:rFonts w:ascii="Times New Roman" w:hAnsi="Times New Roman" w:cs="Times New Roman"/>
          <w:noProof/>
          <w:sz w:val="24"/>
          <w:szCs w:val="24"/>
          <w:lang w:val="sq-AL"/>
        </w:rPr>
        <w:t xml:space="preserve">në krahasim </w:t>
      </w:r>
      <w:r w:rsidR="002606C7" w:rsidRPr="00641640">
        <w:rPr>
          <w:rFonts w:ascii="Times New Roman" w:hAnsi="Times New Roman" w:cs="Times New Roman"/>
          <w:noProof/>
          <w:sz w:val="24"/>
          <w:szCs w:val="24"/>
          <w:lang w:val="sq-AL"/>
        </w:rPr>
        <w:t>me vendet e tjera të rajonit</w:t>
      </w:r>
      <w:r w:rsidR="008C2343" w:rsidRPr="00641640">
        <w:rPr>
          <w:rFonts w:ascii="Times New Roman" w:hAnsi="Times New Roman" w:cs="Times New Roman"/>
          <w:noProof/>
          <w:sz w:val="24"/>
          <w:szCs w:val="24"/>
          <w:lang w:val="sq-AL"/>
        </w:rPr>
        <w:t xml:space="preserve">, sikurse </w:t>
      </w:r>
      <w:r w:rsidR="001E0376" w:rsidRPr="00641640">
        <w:rPr>
          <w:rFonts w:ascii="Times New Roman" w:hAnsi="Times New Roman" w:cs="Times New Roman"/>
          <w:noProof/>
          <w:sz w:val="24"/>
          <w:szCs w:val="24"/>
          <w:lang w:val="sq-AL"/>
        </w:rPr>
        <w:t>konfirmohet</w:t>
      </w:r>
      <w:r w:rsidR="008C2343" w:rsidRPr="00641640">
        <w:rPr>
          <w:rFonts w:ascii="Times New Roman" w:hAnsi="Times New Roman" w:cs="Times New Roman"/>
          <w:noProof/>
          <w:sz w:val="24"/>
          <w:szCs w:val="24"/>
          <w:lang w:val="sq-AL"/>
        </w:rPr>
        <w:t xml:space="preserve"> n</w:t>
      </w:r>
      <w:r w:rsidR="00064AC5" w:rsidRPr="00641640">
        <w:rPr>
          <w:rFonts w:ascii="Times New Roman" w:hAnsi="Times New Roman" w:cs="Times New Roman"/>
          <w:noProof/>
          <w:sz w:val="24"/>
          <w:szCs w:val="24"/>
          <w:lang w:val="sq-AL"/>
        </w:rPr>
        <w:t>ë</w:t>
      </w:r>
      <w:r w:rsidR="008C2343" w:rsidRPr="00641640">
        <w:rPr>
          <w:rFonts w:ascii="Times New Roman" w:hAnsi="Times New Roman" w:cs="Times New Roman"/>
          <w:noProof/>
          <w:sz w:val="24"/>
          <w:szCs w:val="24"/>
          <w:lang w:val="sq-AL"/>
        </w:rPr>
        <w:t xml:space="preserve"> raportet e</w:t>
      </w:r>
      <w:r w:rsidR="001E0376" w:rsidRPr="00641640">
        <w:rPr>
          <w:rFonts w:ascii="Times New Roman" w:hAnsi="Times New Roman" w:cs="Times New Roman"/>
          <w:noProof/>
          <w:sz w:val="24"/>
          <w:szCs w:val="24"/>
          <w:lang w:val="sq-AL"/>
        </w:rPr>
        <w:t xml:space="preserve"> fundit </w:t>
      </w:r>
      <w:r w:rsidR="00B31BAF" w:rsidRPr="00641640">
        <w:rPr>
          <w:rFonts w:ascii="Times New Roman" w:hAnsi="Times New Roman" w:cs="Times New Roman"/>
          <w:noProof/>
          <w:sz w:val="24"/>
          <w:szCs w:val="24"/>
          <w:lang w:val="sq-AL"/>
        </w:rPr>
        <w:t xml:space="preserve">të monitorimit </w:t>
      </w:r>
      <w:r w:rsidR="001E0376"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8C2343" w:rsidRPr="00641640">
        <w:rPr>
          <w:rFonts w:ascii="Times New Roman" w:hAnsi="Times New Roman" w:cs="Times New Roman"/>
          <w:noProof/>
          <w:sz w:val="24"/>
          <w:szCs w:val="24"/>
          <w:lang w:val="sq-AL"/>
        </w:rPr>
        <w:t xml:space="preserve"> </w:t>
      </w:r>
      <w:r w:rsidR="002606C7" w:rsidRPr="00641640">
        <w:rPr>
          <w:rFonts w:ascii="Times New Roman" w:hAnsi="Times New Roman" w:cs="Times New Roman"/>
          <w:noProof/>
          <w:sz w:val="24"/>
          <w:szCs w:val="24"/>
          <w:lang w:val="sq-AL"/>
        </w:rPr>
        <w:t>OECD/SIGMA</w:t>
      </w:r>
      <w:r w:rsidR="001E0376"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001E0376" w:rsidRPr="00641640">
        <w:rPr>
          <w:rFonts w:ascii="Times New Roman" w:hAnsi="Times New Roman" w:cs="Times New Roman"/>
          <w:noProof/>
          <w:sz w:val="24"/>
          <w:szCs w:val="24"/>
          <w:lang w:val="sq-AL"/>
        </w:rPr>
        <w:t xml:space="preserve"> viteve 2021 dhe 2024</w:t>
      </w:r>
      <w:r w:rsidR="005306DA" w:rsidRPr="00641640">
        <w:rPr>
          <w:rFonts w:ascii="Times New Roman" w:hAnsi="Times New Roman" w:cs="Times New Roman"/>
          <w:noProof/>
          <w:sz w:val="24"/>
          <w:szCs w:val="24"/>
          <w:lang w:val="sq-AL"/>
        </w:rPr>
        <w:t>, ku Shqip</w:t>
      </w:r>
      <w:r w:rsidR="00CE42FB" w:rsidRPr="00641640">
        <w:rPr>
          <w:rFonts w:ascii="Times New Roman" w:hAnsi="Times New Roman" w:cs="Times New Roman"/>
          <w:noProof/>
          <w:sz w:val="24"/>
          <w:szCs w:val="24"/>
          <w:lang w:val="sq-AL"/>
        </w:rPr>
        <w:t>ë</w:t>
      </w:r>
      <w:r w:rsidR="005306DA" w:rsidRPr="00641640">
        <w:rPr>
          <w:rFonts w:ascii="Times New Roman" w:hAnsi="Times New Roman" w:cs="Times New Roman"/>
          <w:noProof/>
          <w:sz w:val="24"/>
          <w:szCs w:val="24"/>
          <w:lang w:val="sq-AL"/>
        </w:rPr>
        <w:t>ria konfirmohet si lider n</w:t>
      </w:r>
      <w:r w:rsidR="00CE42FB" w:rsidRPr="00641640">
        <w:rPr>
          <w:rFonts w:ascii="Times New Roman" w:hAnsi="Times New Roman" w:cs="Times New Roman"/>
          <w:noProof/>
          <w:sz w:val="24"/>
          <w:szCs w:val="24"/>
          <w:lang w:val="sq-AL"/>
        </w:rPr>
        <w:t>ë</w:t>
      </w:r>
      <w:r w:rsidR="005306DA" w:rsidRPr="00641640">
        <w:rPr>
          <w:rFonts w:ascii="Times New Roman" w:hAnsi="Times New Roman" w:cs="Times New Roman"/>
          <w:noProof/>
          <w:sz w:val="24"/>
          <w:szCs w:val="24"/>
          <w:lang w:val="sq-AL"/>
        </w:rPr>
        <w:t xml:space="preserve"> rajon n</w:t>
      </w:r>
      <w:r w:rsidR="00CE42FB" w:rsidRPr="00641640">
        <w:rPr>
          <w:rFonts w:ascii="Times New Roman" w:hAnsi="Times New Roman" w:cs="Times New Roman"/>
          <w:noProof/>
          <w:sz w:val="24"/>
          <w:szCs w:val="24"/>
          <w:lang w:val="sq-AL"/>
        </w:rPr>
        <w:t>ë</w:t>
      </w:r>
      <w:r w:rsidR="000151AE" w:rsidRPr="00641640">
        <w:rPr>
          <w:rFonts w:ascii="Times New Roman" w:hAnsi="Times New Roman" w:cs="Times New Roman"/>
          <w:noProof/>
          <w:sz w:val="24"/>
          <w:szCs w:val="24"/>
          <w:lang w:val="sq-AL"/>
        </w:rPr>
        <w:t xml:space="preserve"> </w:t>
      </w:r>
      <w:r w:rsidR="00B242AE" w:rsidRPr="00641640">
        <w:rPr>
          <w:rFonts w:ascii="Times New Roman" w:hAnsi="Times New Roman" w:cs="Times New Roman"/>
          <w:noProof/>
          <w:sz w:val="24"/>
          <w:szCs w:val="24"/>
          <w:lang w:val="sq-AL"/>
        </w:rPr>
        <w:t>3</w:t>
      </w:r>
      <w:r w:rsidR="006D6B3F" w:rsidRPr="00641640">
        <w:rPr>
          <w:rFonts w:ascii="Times New Roman" w:hAnsi="Times New Roman" w:cs="Times New Roman"/>
          <w:noProof/>
          <w:sz w:val="24"/>
          <w:szCs w:val="24"/>
          <w:lang w:val="sq-AL"/>
        </w:rPr>
        <w:t>2 indikator</w:t>
      </w:r>
      <w:r w:rsidR="00F90D8B" w:rsidRPr="00641640">
        <w:rPr>
          <w:rFonts w:ascii="Times New Roman" w:hAnsi="Times New Roman" w:cs="Times New Roman"/>
          <w:noProof/>
          <w:sz w:val="24"/>
          <w:szCs w:val="24"/>
          <w:lang w:val="sq-AL"/>
        </w:rPr>
        <w:t>ë</w:t>
      </w:r>
      <w:r w:rsidR="000151AE" w:rsidRPr="00641640">
        <w:rPr>
          <w:rFonts w:ascii="Times New Roman" w:hAnsi="Times New Roman" w:cs="Times New Roman"/>
          <w:noProof/>
          <w:sz w:val="24"/>
          <w:szCs w:val="24"/>
          <w:lang w:val="sq-AL"/>
        </w:rPr>
        <w:t>.</w:t>
      </w:r>
    </w:p>
    <w:p w14:paraId="307C3D01" w14:textId="6DEFD223" w:rsidR="00470F30" w:rsidRPr="00641640" w:rsidRDefault="002606C7"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Strategjia Ndërsektoriale e Reformës në Administratën Publike </w:t>
      </w:r>
      <w:r w:rsidR="003121DF" w:rsidRPr="00641640">
        <w:rPr>
          <w:rFonts w:ascii="Times New Roman" w:hAnsi="Times New Roman" w:cs="Times New Roman"/>
          <w:noProof/>
          <w:sz w:val="24"/>
          <w:szCs w:val="24"/>
          <w:lang w:val="sq-AL"/>
        </w:rPr>
        <w:t>202</w:t>
      </w:r>
      <w:r w:rsidR="004D533C">
        <w:rPr>
          <w:rFonts w:ascii="Times New Roman" w:hAnsi="Times New Roman" w:cs="Times New Roman"/>
          <w:noProof/>
          <w:sz w:val="24"/>
          <w:szCs w:val="24"/>
          <w:lang w:val="sq-AL"/>
        </w:rPr>
        <w:t>5</w:t>
      </w:r>
      <w:r w:rsidR="003121DF"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2030 </w:t>
      </w:r>
      <w:r w:rsidR="002B4DE1" w:rsidRPr="00641640">
        <w:rPr>
          <w:rFonts w:ascii="Times New Roman" w:hAnsi="Times New Roman" w:cs="Times New Roman"/>
          <w:noProof/>
          <w:sz w:val="24"/>
          <w:szCs w:val="24"/>
          <w:lang w:val="sq-AL"/>
        </w:rPr>
        <w:t xml:space="preserve">(SNRAP) </w:t>
      </w:r>
      <w:r w:rsidRPr="00641640">
        <w:rPr>
          <w:rFonts w:ascii="Times New Roman" w:hAnsi="Times New Roman" w:cs="Times New Roman"/>
          <w:noProof/>
          <w:sz w:val="24"/>
          <w:szCs w:val="24"/>
          <w:lang w:val="sq-AL"/>
        </w:rPr>
        <w:t>shërben si korniz</w:t>
      </w:r>
      <w:r w:rsidR="001E0376" w:rsidRPr="00641640">
        <w:rPr>
          <w:rFonts w:ascii="Times New Roman" w:hAnsi="Times New Roman" w:cs="Times New Roman"/>
          <w:noProof/>
          <w:sz w:val="24"/>
          <w:szCs w:val="24"/>
          <w:lang w:val="sq-AL"/>
        </w:rPr>
        <w:t>a strategjike</w:t>
      </w:r>
      <w:r w:rsidRPr="00641640">
        <w:rPr>
          <w:rFonts w:ascii="Times New Roman" w:hAnsi="Times New Roman" w:cs="Times New Roman"/>
          <w:noProof/>
          <w:sz w:val="24"/>
          <w:szCs w:val="24"/>
          <w:lang w:val="sq-AL"/>
        </w:rPr>
        <w:t xml:space="preserve"> që do të udhëheqë zbatimin e reformave të Qeverisë </w:t>
      </w:r>
      <w:r w:rsidR="001E0376" w:rsidRPr="00641640">
        <w:rPr>
          <w:rFonts w:ascii="Times New Roman" w:hAnsi="Times New Roman" w:cs="Times New Roman"/>
          <w:noProof/>
          <w:sz w:val="24"/>
          <w:szCs w:val="24"/>
          <w:lang w:val="sq-AL"/>
        </w:rPr>
        <w:t xml:space="preserve">Shqiptare </w:t>
      </w:r>
      <w:r w:rsidR="000151AE" w:rsidRPr="00641640">
        <w:rPr>
          <w:rFonts w:ascii="Times New Roman" w:hAnsi="Times New Roman" w:cs="Times New Roman"/>
          <w:noProof/>
          <w:sz w:val="24"/>
          <w:szCs w:val="24"/>
          <w:lang w:val="sq-AL"/>
        </w:rPr>
        <w:t>dhe t</w:t>
      </w:r>
      <w:r w:rsidR="00EE7B1D" w:rsidRPr="00641640">
        <w:rPr>
          <w:rFonts w:ascii="Times New Roman" w:hAnsi="Times New Roman" w:cs="Times New Roman"/>
          <w:noProof/>
          <w:sz w:val="24"/>
          <w:szCs w:val="24"/>
          <w:lang w:val="sq-AL"/>
        </w:rPr>
        <w:t>ë</w:t>
      </w:r>
      <w:r w:rsidR="000151AE" w:rsidRPr="00641640">
        <w:rPr>
          <w:rFonts w:ascii="Times New Roman" w:hAnsi="Times New Roman" w:cs="Times New Roman"/>
          <w:noProof/>
          <w:sz w:val="24"/>
          <w:szCs w:val="24"/>
          <w:lang w:val="sq-AL"/>
        </w:rPr>
        <w:t xml:space="preserve"> gjith</w:t>
      </w:r>
      <w:r w:rsidR="00EE7B1D" w:rsidRPr="00641640">
        <w:rPr>
          <w:rFonts w:ascii="Times New Roman" w:hAnsi="Times New Roman" w:cs="Times New Roman"/>
          <w:noProof/>
          <w:sz w:val="24"/>
          <w:szCs w:val="24"/>
          <w:lang w:val="sq-AL"/>
        </w:rPr>
        <w:t>ë</w:t>
      </w:r>
      <w:r w:rsidR="000151AE" w:rsidRPr="00641640">
        <w:rPr>
          <w:rFonts w:ascii="Times New Roman" w:hAnsi="Times New Roman" w:cs="Times New Roman"/>
          <w:noProof/>
          <w:sz w:val="24"/>
          <w:szCs w:val="24"/>
          <w:lang w:val="sq-AL"/>
        </w:rPr>
        <w:t xml:space="preserve"> institucioneve t</w:t>
      </w:r>
      <w:r w:rsidR="00EE7B1D" w:rsidRPr="00641640">
        <w:rPr>
          <w:rFonts w:ascii="Times New Roman" w:hAnsi="Times New Roman" w:cs="Times New Roman"/>
          <w:noProof/>
          <w:sz w:val="24"/>
          <w:szCs w:val="24"/>
          <w:lang w:val="sq-AL"/>
        </w:rPr>
        <w:t>ë</w:t>
      </w:r>
      <w:r w:rsidR="000151AE" w:rsidRPr="00641640">
        <w:rPr>
          <w:rFonts w:ascii="Times New Roman" w:hAnsi="Times New Roman" w:cs="Times New Roman"/>
          <w:noProof/>
          <w:sz w:val="24"/>
          <w:szCs w:val="24"/>
          <w:lang w:val="sq-AL"/>
        </w:rPr>
        <w:t xml:space="preserve"> tjera t</w:t>
      </w:r>
      <w:r w:rsidR="00EE7B1D" w:rsidRPr="00641640">
        <w:rPr>
          <w:rFonts w:ascii="Times New Roman" w:hAnsi="Times New Roman" w:cs="Times New Roman"/>
          <w:noProof/>
          <w:sz w:val="24"/>
          <w:szCs w:val="24"/>
          <w:lang w:val="sq-AL"/>
        </w:rPr>
        <w:t>ë</w:t>
      </w:r>
      <w:r w:rsidR="000151AE" w:rsidRPr="00641640">
        <w:rPr>
          <w:rFonts w:ascii="Times New Roman" w:hAnsi="Times New Roman" w:cs="Times New Roman"/>
          <w:noProof/>
          <w:sz w:val="24"/>
          <w:szCs w:val="24"/>
          <w:lang w:val="sq-AL"/>
        </w:rPr>
        <w:t xml:space="preserve"> p</w:t>
      </w:r>
      <w:r w:rsidR="00EE7B1D" w:rsidRPr="00641640">
        <w:rPr>
          <w:rFonts w:ascii="Times New Roman" w:hAnsi="Times New Roman" w:cs="Times New Roman"/>
          <w:noProof/>
          <w:sz w:val="24"/>
          <w:szCs w:val="24"/>
          <w:lang w:val="sq-AL"/>
        </w:rPr>
        <w:t>ë</w:t>
      </w:r>
      <w:r w:rsidR="000151AE" w:rsidRPr="00641640">
        <w:rPr>
          <w:rFonts w:ascii="Times New Roman" w:hAnsi="Times New Roman" w:cs="Times New Roman"/>
          <w:noProof/>
          <w:sz w:val="24"/>
          <w:szCs w:val="24"/>
          <w:lang w:val="sq-AL"/>
        </w:rPr>
        <w:t xml:space="preserve">rfshira </w:t>
      </w:r>
      <w:r w:rsidRPr="00641640">
        <w:rPr>
          <w:rFonts w:ascii="Times New Roman" w:hAnsi="Times New Roman" w:cs="Times New Roman"/>
          <w:noProof/>
          <w:sz w:val="24"/>
          <w:szCs w:val="24"/>
          <w:lang w:val="sq-AL"/>
        </w:rPr>
        <w:t xml:space="preserve">për RAP deri në fund të vitit 2030. </w:t>
      </w:r>
      <w:r w:rsidR="001E0376" w:rsidRPr="00641640">
        <w:rPr>
          <w:rFonts w:ascii="Times New Roman" w:hAnsi="Times New Roman" w:cs="Times New Roman"/>
          <w:noProof/>
          <w:sz w:val="24"/>
          <w:szCs w:val="24"/>
          <w:lang w:val="sq-AL"/>
        </w:rPr>
        <w:t>Kjo reform</w:t>
      </w:r>
      <w:r w:rsidR="00064AC5" w:rsidRPr="00641640">
        <w:rPr>
          <w:rFonts w:ascii="Times New Roman" w:hAnsi="Times New Roman" w:cs="Times New Roman"/>
          <w:noProof/>
          <w:sz w:val="24"/>
          <w:szCs w:val="24"/>
          <w:lang w:val="sq-AL"/>
        </w:rPr>
        <w:t>ë</w:t>
      </w:r>
      <w:r w:rsidR="001E0376" w:rsidRPr="00641640">
        <w:rPr>
          <w:rFonts w:ascii="Times New Roman" w:hAnsi="Times New Roman" w:cs="Times New Roman"/>
          <w:noProof/>
          <w:sz w:val="24"/>
          <w:szCs w:val="24"/>
          <w:lang w:val="sq-AL"/>
        </w:rPr>
        <w:t xml:space="preserve"> </w:t>
      </w:r>
      <w:r w:rsidR="00064AC5" w:rsidRPr="00641640">
        <w:rPr>
          <w:rFonts w:ascii="Times New Roman" w:hAnsi="Times New Roman" w:cs="Times New Roman"/>
          <w:noProof/>
          <w:sz w:val="24"/>
          <w:szCs w:val="24"/>
          <w:lang w:val="sq-AL"/>
        </w:rPr>
        <w:t>ë</w:t>
      </w:r>
      <w:r w:rsidR="001E0376" w:rsidRPr="00641640">
        <w:rPr>
          <w:rFonts w:ascii="Times New Roman" w:hAnsi="Times New Roman" w:cs="Times New Roman"/>
          <w:noProof/>
          <w:sz w:val="24"/>
          <w:szCs w:val="24"/>
          <w:lang w:val="sq-AL"/>
        </w:rPr>
        <w:t>sht</w:t>
      </w:r>
      <w:r w:rsidR="00064AC5" w:rsidRPr="00641640">
        <w:rPr>
          <w:rFonts w:ascii="Times New Roman" w:hAnsi="Times New Roman" w:cs="Times New Roman"/>
          <w:noProof/>
          <w:sz w:val="24"/>
          <w:szCs w:val="24"/>
          <w:lang w:val="sq-AL"/>
        </w:rPr>
        <w:t>ë</w:t>
      </w:r>
      <w:r w:rsidR="001E0376" w:rsidRPr="00641640">
        <w:rPr>
          <w:rFonts w:ascii="Times New Roman" w:hAnsi="Times New Roman" w:cs="Times New Roman"/>
          <w:noProof/>
          <w:sz w:val="24"/>
          <w:szCs w:val="24"/>
          <w:lang w:val="sq-AL"/>
        </w:rPr>
        <w:t xml:space="preserve"> prioritet </w:t>
      </w:r>
      <w:r w:rsidR="00621735" w:rsidRPr="00641640">
        <w:rPr>
          <w:rFonts w:ascii="Times New Roman" w:hAnsi="Times New Roman" w:cs="Times New Roman"/>
          <w:noProof/>
          <w:sz w:val="24"/>
          <w:szCs w:val="24"/>
          <w:lang w:val="sq-AL"/>
        </w:rPr>
        <w:t>i qart</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komb</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tar</w:t>
      </w:r>
      <w:r w:rsidRPr="00641640">
        <w:rPr>
          <w:rFonts w:ascii="Times New Roman" w:hAnsi="Times New Roman" w:cs="Times New Roman"/>
          <w:noProof/>
          <w:sz w:val="24"/>
          <w:szCs w:val="24"/>
          <w:lang w:val="sq-AL"/>
        </w:rPr>
        <w:t xml:space="preserve">, në përputhje me qasjen e </w:t>
      </w:r>
      <w:r w:rsidR="00621735" w:rsidRPr="00641640">
        <w:rPr>
          <w:rFonts w:ascii="Times New Roman" w:hAnsi="Times New Roman" w:cs="Times New Roman"/>
          <w:noProof/>
          <w:sz w:val="24"/>
          <w:szCs w:val="24"/>
          <w:lang w:val="sq-AL"/>
        </w:rPr>
        <w:t>rivitalizuar t</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K</w:t>
      </w:r>
      <w:r w:rsidR="00621735" w:rsidRPr="00641640">
        <w:rPr>
          <w:rFonts w:ascii="Times New Roman" w:hAnsi="Times New Roman" w:cs="Times New Roman"/>
          <w:noProof/>
          <w:sz w:val="24"/>
          <w:szCs w:val="24"/>
          <w:lang w:val="sq-AL"/>
        </w:rPr>
        <w:t xml:space="preserve">omisionit Evropian </w:t>
      </w:r>
      <w:r w:rsidRPr="00641640">
        <w:rPr>
          <w:rFonts w:ascii="Times New Roman" w:hAnsi="Times New Roman" w:cs="Times New Roman"/>
          <w:noProof/>
          <w:sz w:val="24"/>
          <w:szCs w:val="24"/>
          <w:lang w:val="sq-AL"/>
        </w:rPr>
        <w:t xml:space="preserve">ndaj politikës së zgjerimit. </w:t>
      </w:r>
      <w:r w:rsidR="00470F30" w:rsidRPr="00641640">
        <w:rPr>
          <w:rFonts w:ascii="Times New Roman" w:hAnsi="Times New Roman" w:cs="Times New Roman"/>
          <w:noProof/>
          <w:sz w:val="24"/>
          <w:szCs w:val="24"/>
          <w:lang w:val="sq-AL"/>
        </w:rPr>
        <w:t xml:space="preserve">Me </w:t>
      </w:r>
      <w:r w:rsidRPr="00641640">
        <w:rPr>
          <w:rFonts w:ascii="Times New Roman" w:hAnsi="Times New Roman" w:cs="Times New Roman"/>
          <w:noProof/>
          <w:sz w:val="24"/>
          <w:szCs w:val="24"/>
          <w:lang w:val="sq-AL"/>
        </w:rPr>
        <w:t>m</w:t>
      </w:r>
      <w:r w:rsidR="00470F30" w:rsidRPr="00641640">
        <w:rPr>
          <w:rFonts w:ascii="Times New Roman" w:hAnsi="Times New Roman" w:cs="Times New Roman"/>
          <w:noProof/>
          <w:sz w:val="24"/>
          <w:szCs w:val="24"/>
          <w:lang w:val="sq-AL"/>
        </w:rPr>
        <w:t>etodologjinë e re të zgjerimit, Reforma në Administratën Publike</w:t>
      </w:r>
      <w:r w:rsidRPr="00641640">
        <w:rPr>
          <w:rFonts w:ascii="Times New Roman" w:hAnsi="Times New Roman" w:cs="Times New Roman"/>
          <w:noProof/>
          <w:sz w:val="24"/>
          <w:szCs w:val="24"/>
          <w:lang w:val="sq-AL"/>
        </w:rPr>
        <w:t xml:space="preserve">, pjesë e </w:t>
      </w:r>
      <w:r w:rsidR="00621735" w:rsidRPr="00641640">
        <w:rPr>
          <w:rFonts w:ascii="Times New Roman" w:hAnsi="Times New Roman" w:cs="Times New Roman"/>
          <w:noProof/>
          <w:sz w:val="24"/>
          <w:szCs w:val="24"/>
          <w:lang w:val="sq-AL"/>
        </w:rPr>
        <w:t>G</w:t>
      </w:r>
      <w:r w:rsidRPr="00641640">
        <w:rPr>
          <w:rFonts w:ascii="Times New Roman" w:hAnsi="Times New Roman" w:cs="Times New Roman"/>
          <w:noProof/>
          <w:sz w:val="24"/>
          <w:szCs w:val="24"/>
          <w:lang w:val="sq-AL"/>
        </w:rPr>
        <w:t xml:space="preserve">rupkapitujve “Themeloret”, mbart rëndësi kritike në </w:t>
      </w:r>
      <w:r w:rsidR="00621735"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rparimin</w:t>
      </w:r>
      <w:r w:rsidRPr="00641640">
        <w:rPr>
          <w:rFonts w:ascii="Times New Roman" w:hAnsi="Times New Roman" w:cs="Times New Roman"/>
          <w:noProof/>
          <w:sz w:val="24"/>
          <w:szCs w:val="24"/>
          <w:lang w:val="sq-AL"/>
        </w:rPr>
        <w:t xml:space="preserve"> e procesit të negociatave, si shtyllë th</w:t>
      </w:r>
      <w:r w:rsidR="00621735" w:rsidRPr="00641640">
        <w:rPr>
          <w:rFonts w:ascii="Times New Roman" w:hAnsi="Times New Roman" w:cs="Times New Roman"/>
          <w:noProof/>
          <w:sz w:val="24"/>
          <w:szCs w:val="24"/>
          <w:lang w:val="sq-AL"/>
        </w:rPr>
        <w:t>elb</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sore p</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r</w:t>
      </w:r>
      <w:r w:rsidRPr="00641640">
        <w:rPr>
          <w:rFonts w:ascii="Times New Roman" w:hAnsi="Times New Roman" w:cs="Times New Roman"/>
          <w:noProof/>
          <w:sz w:val="24"/>
          <w:szCs w:val="24"/>
          <w:lang w:val="sq-AL"/>
        </w:rPr>
        <w:t xml:space="preserve"> </w:t>
      </w:r>
      <w:r w:rsidR="00621735" w:rsidRPr="00641640">
        <w:rPr>
          <w:rFonts w:ascii="Times New Roman" w:hAnsi="Times New Roman" w:cs="Times New Roman"/>
          <w:noProof/>
          <w:sz w:val="24"/>
          <w:szCs w:val="24"/>
          <w:lang w:val="sq-AL"/>
        </w:rPr>
        <w:t>mir</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funksionimi</w:t>
      </w:r>
      <w:r w:rsidR="00621735" w:rsidRPr="00641640">
        <w:rPr>
          <w:rFonts w:ascii="Times New Roman" w:hAnsi="Times New Roman" w:cs="Times New Roman"/>
          <w:noProof/>
          <w:sz w:val="24"/>
          <w:szCs w:val="24"/>
          <w:lang w:val="sq-AL"/>
        </w:rPr>
        <w:t>n e</w:t>
      </w:r>
      <w:r w:rsidRPr="00641640">
        <w:rPr>
          <w:rFonts w:ascii="Times New Roman" w:hAnsi="Times New Roman" w:cs="Times New Roman"/>
          <w:noProof/>
          <w:sz w:val="24"/>
          <w:szCs w:val="24"/>
          <w:lang w:val="sq-AL"/>
        </w:rPr>
        <w:t xml:space="preserve"> shtetit dhe si parakusht për avancimin e agjendës evropiane</w:t>
      </w:r>
      <w:r w:rsidR="00470F30" w:rsidRPr="00641640">
        <w:rPr>
          <w:rFonts w:ascii="Times New Roman" w:hAnsi="Times New Roman" w:cs="Times New Roman"/>
          <w:noProof/>
          <w:sz w:val="24"/>
          <w:szCs w:val="24"/>
          <w:lang w:val="sq-AL"/>
        </w:rPr>
        <w:t xml:space="preserve">. </w:t>
      </w:r>
    </w:p>
    <w:p w14:paraId="2AD96D98" w14:textId="43B3259E" w:rsidR="00470F30" w:rsidRPr="00641640" w:rsidRDefault="00207CB3"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k</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q</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llim</w:t>
      </w:r>
      <w:r w:rsidR="001751FD" w:rsidRPr="00641640">
        <w:rPr>
          <w:rFonts w:ascii="Times New Roman" w:hAnsi="Times New Roman" w:cs="Times New Roman"/>
          <w:noProof/>
          <w:sz w:val="24"/>
          <w:szCs w:val="24"/>
          <w:lang w:val="sq-AL"/>
        </w:rPr>
        <w:t xml:space="preserve"> parashikimet e</w:t>
      </w:r>
      <w:r w:rsidRPr="00641640">
        <w:rPr>
          <w:rFonts w:ascii="Times New Roman" w:hAnsi="Times New Roman" w:cs="Times New Roman"/>
          <w:noProof/>
          <w:sz w:val="24"/>
          <w:szCs w:val="24"/>
          <w:lang w:val="sq-AL"/>
        </w:rPr>
        <w:t xml:space="preserve"> </w:t>
      </w:r>
      <w:r w:rsidR="000A012C" w:rsidRPr="00641640">
        <w:rPr>
          <w:rFonts w:ascii="Times New Roman" w:hAnsi="Times New Roman" w:cs="Times New Roman"/>
          <w:noProof/>
          <w:sz w:val="24"/>
          <w:szCs w:val="24"/>
          <w:lang w:val="sq-AL"/>
        </w:rPr>
        <w:t>Strategji</w:t>
      </w:r>
      <w:r w:rsidR="001751FD" w:rsidRPr="00641640">
        <w:rPr>
          <w:rFonts w:ascii="Times New Roman" w:hAnsi="Times New Roman" w:cs="Times New Roman"/>
          <w:noProof/>
          <w:sz w:val="24"/>
          <w:szCs w:val="24"/>
          <w:lang w:val="sq-AL"/>
        </w:rPr>
        <w:t>s</w:t>
      </w:r>
      <w:r w:rsidR="00064AC5" w:rsidRPr="00641640">
        <w:rPr>
          <w:rFonts w:ascii="Times New Roman" w:hAnsi="Times New Roman" w:cs="Times New Roman"/>
          <w:noProof/>
          <w:sz w:val="24"/>
          <w:szCs w:val="24"/>
          <w:lang w:val="sq-AL"/>
        </w:rPr>
        <w:t>ë</w:t>
      </w:r>
      <w:r w:rsidR="000A012C" w:rsidRPr="00641640">
        <w:rPr>
          <w:rFonts w:ascii="Times New Roman" w:hAnsi="Times New Roman" w:cs="Times New Roman"/>
          <w:noProof/>
          <w:sz w:val="24"/>
          <w:szCs w:val="24"/>
          <w:lang w:val="sq-AL"/>
        </w:rPr>
        <w:t xml:space="preserve"> Nd</w:t>
      </w:r>
      <w:r w:rsidR="00064AC5" w:rsidRPr="00641640">
        <w:rPr>
          <w:rFonts w:ascii="Times New Roman" w:hAnsi="Times New Roman" w:cs="Times New Roman"/>
          <w:noProof/>
          <w:sz w:val="24"/>
          <w:szCs w:val="24"/>
          <w:lang w:val="sq-AL"/>
        </w:rPr>
        <w:t>ë</w:t>
      </w:r>
      <w:r w:rsidR="00C40010" w:rsidRPr="00641640">
        <w:rPr>
          <w:rFonts w:ascii="Times New Roman" w:hAnsi="Times New Roman" w:cs="Times New Roman"/>
          <w:noProof/>
          <w:sz w:val="24"/>
          <w:szCs w:val="24"/>
          <w:lang w:val="sq-AL"/>
        </w:rPr>
        <w:t xml:space="preserve">rsektoriale </w:t>
      </w:r>
      <w:r w:rsidR="001751FD"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C40010" w:rsidRPr="00641640">
        <w:rPr>
          <w:rFonts w:ascii="Times New Roman" w:hAnsi="Times New Roman" w:cs="Times New Roman"/>
          <w:noProof/>
          <w:sz w:val="24"/>
          <w:szCs w:val="24"/>
          <w:lang w:val="sq-AL"/>
        </w:rPr>
        <w:t xml:space="preserve"> RAP </w:t>
      </w:r>
      <w:r w:rsidR="001751FD" w:rsidRPr="00641640">
        <w:rPr>
          <w:rFonts w:ascii="Times New Roman" w:hAnsi="Times New Roman" w:cs="Times New Roman"/>
          <w:noProof/>
          <w:sz w:val="24"/>
          <w:szCs w:val="24"/>
          <w:lang w:val="sq-AL"/>
        </w:rPr>
        <w:t>jan</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 xml:space="preserve"> linj</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zuar plot</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sisht me vizionin e agjend</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s komb</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tare t</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 xml:space="preserve"> integrimit dhe n</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 xml:space="preserve"> m</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nyr</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 xml:space="preserve"> veçant</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 me zotimet e parashtruara n</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 xml:space="preserve"> Udh</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rr</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fyesin p</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r Reform</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n n</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 xml:space="preserve"> Administrat</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n Publike 2023-2030. Ky i fundit u miratua nga Qeveria Shqiptare n</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 xml:space="preserve"> dhjetor 2023, m</w:t>
      </w:r>
      <w:r w:rsidR="00470F30" w:rsidRPr="00641640">
        <w:rPr>
          <w:rFonts w:ascii="Times New Roman" w:hAnsi="Times New Roman" w:cs="Times New Roman"/>
          <w:noProof/>
          <w:sz w:val="24"/>
          <w:szCs w:val="24"/>
          <w:lang w:val="sq-AL"/>
        </w:rPr>
        <w:t>e qëllim orientimin në drejtimin e duhur të të gjitha politikave që kushtëzojnë integrimin në BE</w:t>
      </w:r>
      <w:r w:rsidR="00621735" w:rsidRPr="00641640">
        <w:rPr>
          <w:rFonts w:ascii="Times New Roman" w:hAnsi="Times New Roman" w:cs="Times New Roman"/>
          <w:noProof/>
          <w:sz w:val="24"/>
          <w:szCs w:val="24"/>
          <w:lang w:val="sq-AL"/>
        </w:rPr>
        <w:t xml:space="preserve"> dhe p</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r t</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nxitur zhvillimin e qendruesh</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m t</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vendit</w:t>
      </w:r>
      <w:r w:rsidR="001751FD" w:rsidRPr="00641640">
        <w:rPr>
          <w:rFonts w:ascii="Times New Roman" w:hAnsi="Times New Roman" w:cs="Times New Roman"/>
          <w:noProof/>
          <w:sz w:val="24"/>
          <w:szCs w:val="24"/>
          <w:lang w:val="sq-AL"/>
        </w:rPr>
        <w:t xml:space="preserve"> dhe sh</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rben si një gur themeli në përmirësimin e performancës së administratës publike, garantimin e shërbimeve publike të standardizuara, dhe forcimin e llogaridhënies institucionale.</w:t>
      </w:r>
      <w:r w:rsidR="008C2343" w:rsidRPr="00641640">
        <w:rPr>
          <w:rStyle w:val="FootnoteReference"/>
          <w:rFonts w:ascii="Times New Roman" w:hAnsi="Times New Roman" w:cs="Times New Roman"/>
          <w:noProof/>
          <w:sz w:val="24"/>
          <w:szCs w:val="24"/>
          <w:lang w:val="sq-AL"/>
        </w:rPr>
        <w:footnoteReference w:id="2"/>
      </w:r>
      <w:r w:rsidR="00470F30" w:rsidRPr="00641640">
        <w:rPr>
          <w:rFonts w:ascii="Times New Roman" w:hAnsi="Times New Roman" w:cs="Times New Roman"/>
          <w:noProof/>
          <w:sz w:val="24"/>
          <w:szCs w:val="24"/>
          <w:lang w:val="sq-AL"/>
        </w:rPr>
        <w:t xml:space="preserve"> </w:t>
      </w:r>
    </w:p>
    <w:p w14:paraId="595C04EA" w14:textId="7D581FE7" w:rsidR="00470F30" w:rsidRPr="00641640" w:rsidRDefault="00AF08A6"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K</w:t>
      </w:r>
      <w:r w:rsidR="005A4CC5" w:rsidRPr="00641640">
        <w:rPr>
          <w:rFonts w:ascii="Times New Roman" w:hAnsi="Times New Roman" w:cs="Times New Roman"/>
          <w:noProof/>
          <w:sz w:val="24"/>
          <w:szCs w:val="24"/>
          <w:lang w:val="sq-AL"/>
        </w:rPr>
        <w:t>jo s</w:t>
      </w:r>
      <w:r w:rsidR="0004673B" w:rsidRPr="00641640">
        <w:rPr>
          <w:rFonts w:ascii="Times New Roman" w:hAnsi="Times New Roman" w:cs="Times New Roman"/>
          <w:noProof/>
          <w:sz w:val="24"/>
          <w:szCs w:val="24"/>
          <w:lang w:val="sq-AL"/>
        </w:rPr>
        <w:t xml:space="preserve">trategji është </w:t>
      </w:r>
      <w:r w:rsidR="001751FD" w:rsidRPr="00641640">
        <w:rPr>
          <w:rFonts w:ascii="Times New Roman" w:hAnsi="Times New Roman" w:cs="Times New Roman"/>
          <w:noProof/>
          <w:sz w:val="24"/>
          <w:szCs w:val="24"/>
          <w:lang w:val="sq-AL"/>
        </w:rPr>
        <w:t xml:space="preserve">gjithashtu </w:t>
      </w:r>
      <w:r w:rsidR="0004673B" w:rsidRPr="00641640">
        <w:rPr>
          <w:rFonts w:ascii="Times New Roman" w:hAnsi="Times New Roman" w:cs="Times New Roman"/>
          <w:noProof/>
          <w:sz w:val="24"/>
          <w:szCs w:val="24"/>
          <w:lang w:val="sq-AL"/>
        </w:rPr>
        <w:t xml:space="preserve">plotësisht e harmonizuar me Strategjinë Kombëtare për Zhvillim dhe Integrim Evropian dhe </w:t>
      </w:r>
      <w:r w:rsidR="00621735" w:rsidRPr="00641640">
        <w:rPr>
          <w:rFonts w:ascii="Times New Roman" w:hAnsi="Times New Roman" w:cs="Times New Roman"/>
          <w:noProof/>
          <w:sz w:val="24"/>
          <w:szCs w:val="24"/>
          <w:lang w:val="sq-AL"/>
        </w:rPr>
        <w:t xml:space="preserve">me </w:t>
      </w:r>
      <w:r w:rsidR="00470F30" w:rsidRPr="00641640">
        <w:rPr>
          <w:rFonts w:ascii="Times New Roman" w:hAnsi="Times New Roman" w:cs="Times New Roman"/>
          <w:noProof/>
          <w:sz w:val="24"/>
          <w:szCs w:val="24"/>
          <w:lang w:val="sq-AL"/>
        </w:rPr>
        <w:t>strategji</w:t>
      </w:r>
      <w:r w:rsidR="00621735"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e</w:t>
      </w:r>
      <w:r w:rsidR="0004673B" w:rsidRPr="00641640">
        <w:rPr>
          <w:rFonts w:ascii="Times New Roman" w:hAnsi="Times New Roman" w:cs="Times New Roman"/>
          <w:noProof/>
          <w:sz w:val="24"/>
          <w:szCs w:val="24"/>
          <w:lang w:val="sq-AL"/>
        </w:rPr>
        <w:t xml:space="preserve"> tjera </w:t>
      </w:r>
      <w:r w:rsidR="00470F30" w:rsidRPr="00641640">
        <w:rPr>
          <w:rFonts w:ascii="Times New Roman" w:hAnsi="Times New Roman" w:cs="Times New Roman"/>
          <w:noProof/>
          <w:sz w:val="24"/>
          <w:szCs w:val="24"/>
          <w:lang w:val="sq-AL"/>
        </w:rPr>
        <w:t>brenda</w:t>
      </w:r>
      <w:r w:rsidR="0004673B" w:rsidRPr="00641640">
        <w:rPr>
          <w:rFonts w:ascii="Times New Roman" w:hAnsi="Times New Roman" w:cs="Times New Roman"/>
          <w:noProof/>
          <w:sz w:val="24"/>
          <w:szCs w:val="24"/>
          <w:lang w:val="sq-AL"/>
        </w:rPr>
        <w:t xml:space="preserve"> </w:t>
      </w:r>
      <w:r w:rsidR="005F7283" w:rsidRPr="00641640">
        <w:rPr>
          <w:rFonts w:ascii="Times New Roman" w:hAnsi="Times New Roman" w:cs="Times New Roman"/>
          <w:noProof/>
          <w:sz w:val="24"/>
          <w:szCs w:val="24"/>
          <w:lang w:val="sq-AL"/>
        </w:rPr>
        <w:t>kornizë</w:t>
      </w:r>
      <w:r w:rsidR="00470F30" w:rsidRPr="00641640">
        <w:rPr>
          <w:rFonts w:ascii="Times New Roman" w:hAnsi="Times New Roman" w:cs="Times New Roman"/>
          <w:noProof/>
          <w:sz w:val="24"/>
          <w:szCs w:val="24"/>
          <w:lang w:val="sq-AL"/>
        </w:rPr>
        <w:t>s</w:t>
      </w:r>
      <w:r w:rsidR="005F7283" w:rsidRPr="00641640">
        <w:rPr>
          <w:rFonts w:ascii="Times New Roman" w:hAnsi="Times New Roman" w:cs="Times New Roman"/>
          <w:noProof/>
          <w:sz w:val="24"/>
          <w:szCs w:val="24"/>
          <w:lang w:val="sq-AL"/>
        </w:rPr>
        <w:t xml:space="preserve"> </w:t>
      </w:r>
      <w:r w:rsidR="00470F30" w:rsidRPr="00641640">
        <w:rPr>
          <w:rFonts w:ascii="Times New Roman" w:hAnsi="Times New Roman" w:cs="Times New Roman"/>
          <w:noProof/>
          <w:sz w:val="24"/>
          <w:szCs w:val="24"/>
          <w:lang w:val="sq-AL"/>
        </w:rPr>
        <w:t>së</w:t>
      </w:r>
      <w:r w:rsidR="0004673B" w:rsidRPr="00641640">
        <w:rPr>
          <w:rFonts w:ascii="Times New Roman" w:hAnsi="Times New Roman" w:cs="Times New Roman"/>
          <w:noProof/>
          <w:sz w:val="24"/>
          <w:szCs w:val="24"/>
          <w:lang w:val="sq-AL"/>
        </w:rPr>
        <w:t xml:space="preserve"> qeverisjes së mirë.</w:t>
      </w:r>
      <w:r w:rsidR="00470F30" w:rsidRPr="00641640">
        <w:rPr>
          <w:rFonts w:ascii="Times New Roman" w:hAnsi="Times New Roman" w:cs="Times New Roman"/>
          <w:noProof/>
          <w:sz w:val="24"/>
          <w:szCs w:val="24"/>
          <w:lang w:val="sq-AL"/>
        </w:rPr>
        <w:t xml:space="preserve"> </w:t>
      </w:r>
      <w:r w:rsidR="0004673B" w:rsidRPr="00641640">
        <w:rPr>
          <w:rFonts w:ascii="Times New Roman" w:hAnsi="Times New Roman" w:cs="Times New Roman"/>
          <w:noProof/>
          <w:sz w:val="24"/>
          <w:szCs w:val="24"/>
          <w:lang w:val="sq-AL"/>
        </w:rPr>
        <w:t>Në përputhje me SKZHIE 2022</w:t>
      </w:r>
      <w:r w:rsidR="005A4CC5" w:rsidRPr="00641640">
        <w:rPr>
          <w:rFonts w:ascii="Times New Roman" w:hAnsi="Times New Roman" w:cs="Times New Roman"/>
          <w:noProof/>
          <w:sz w:val="24"/>
          <w:szCs w:val="24"/>
          <w:lang w:val="sq-AL"/>
        </w:rPr>
        <w:t xml:space="preserve"> </w:t>
      </w:r>
      <w:r w:rsidR="0004673B" w:rsidRPr="00641640">
        <w:rPr>
          <w:rFonts w:ascii="Times New Roman" w:hAnsi="Times New Roman" w:cs="Times New Roman"/>
          <w:noProof/>
          <w:sz w:val="24"/>
          <w:szCs w:val="24"/>
          <w:lang w:val="sq-AL"/>
        </w:rPr>
        <w:t>-</w:t>
      </w:r>
      <w:r w:rsidR="005A4CC5" w:rsidRPr="00641640">
        <w:rPr>
          <w:rFonts w:ascii="Times New Roman" w:hAnsi="Times New Roman" w:cs="Times New Roman"/>
          <w:noProof/>
          <w:sz w:val="24"/>
          <w:szCs w:val="24"/>
          <w:lang w:val="sq-AL"/>
        </w:rPr>
        <w:t xml:space="preserve"> </w:t>
      </w:r>
      <w:r w:rsidR="0004673B" w:rsidRPr="00641640">
        <w:rPr>
          <w:rFonts w:ascii="Times New Roman" w:hAnsi="Times New Roman" w:cs="Times New Roman"/>
          <w:noProof/>
          <w:sz w:val="24"/>
          <w:szCs w:val="24"/>
          <w:lang w:val="sq-AL"/>
        </w:rPr>
        <w:t xml:space="preserve">2030, qëllimi </w:t>
      </w:r>
      <w:r w:rsidR="00621735" w:rsidRPr="00641640">
        <w:rPr>
          <w:rFonts w:ascii="Times New Roman" w:hAnsi="Times New Roman" w:cs="Times New Roman"/>
          <w:noProof/>
          <w:sz w:val="24"/>
          <w:szCs w:val="24"/>
          <w:lang w:val="sq-AL"/>
        </w:rPr>
        <w:t xml:space="preserve">kryesor </w:t>
      </w:r>
      <w:r w:rsidR="0004673B" w:rsidRPr="00641640">
        <w:rPr>
          <w:rFonts w:ascii="Times New Roman" w:hAnsi="Times New Roman" w:cs="Times New Roman"/>
          <w:noProof/>
          <w:sz w:val="24"/>
          <w:szCs w:val="24"/>
          <w:lang w:val="sq-AL"/>
        </w:rPr>
        <w:t xml:space="preserve">i </w:t>
      </w:r>
      <w:r w:rsidR="005A4CC5" w:rsidRPr="00641640">
        <w:rPr>
          <w:rFonts w:ascii="Times New Roman" w:hAnsi="Times New Roman" w:cs="Times New Roman"/>
          <w:noProof/>
          <w:sz w:val="24"/>
          <w:szCs w:val="24"/>
          <w:lang w:val="sq-AL"/>
        </w:rPr>
        <w:t>Qeveri</w:t>
      </w:r>
      <w:r w:rsidR="00621735" w:rsidRPr="00641640">
        <w:rPr>
          <w:rFonts w:ascii="Times New Roman" w:hAnsi="Times New Roman" w:cs="Times New Roman"/>
          <w:noProof/>
          <w:sz w:val="24"/>
          <w:szCs w:val="24"/>
          <w:lang w:val="sq-AL"/>
        </w:rPr>
        <w:t>s</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Shqiptare</w:t>
      </w:r>
      <w:r w:rsidR="005A4CC5" w:rsidRPr="00641640">
        <w:rPr>
          <w:rFonts w:ascii="Times New Roman" w:hAnsi="Times New Roman" w:cs="Times New Roman"/>
          <w:noProof/>
          <w:sz w:val="24"/>
          <w:szCs w:val="24"/>
          <w:lang w:val="sq-AL"/>
        </w:rPr>
        <w:t xml:space="preserve"> </w:t>
      </w:r>
      <w:r w:rsidR="0004673B" w:rsidRPr="00641640">
        <w:rPr>
          <w:rFonts w:ascii="Times New Roman" w:hAnsi="Times New Roman" w:cs="Times New Roman"/>
          <w:noProof/>
          <w:sz w:val="24"/>
          <w:szCs w:val="24"/>
          <w:lang w:val="sq-AL"/>
        </w:rPr>
        <w:t>për Reformën në Administratën Publike</w:t>
      </w:r>
      <w:r w:rsidR="005A4CC5" w:rsidRPr="00641640">
        <w:rPr>
          <w:rFonts w:ascii="Times New Roman" w:hAnsi="Times New Roman" w:cs="Times New Roman"/>
          <w:noProof/>
          <w:sz w:val="24"/>
          <w:szCs w:val="24"/>
          <w:lang w:val="sq-AL"/>
        </w:rPr>
        <w:t xml:space="preserve"> </w:t>
      </w:r>
      <w:r w:rsidR="00667CC0" w:rsidRPr="00641640">
        <w:rPr>
          <w:rFonts w:ascii="Times New Roman" w:hAnsi="Times New Roman" w:cs="Times New Roman"/>
          <w:noProof/>
          <w:sz w:val="24"/>
          <w:szCs w:val="24"/>
          <w:lang w:val="sq-AL"/>
        </w:rPr>
        <w:t xml:space="preserve">është </w:t>
      </w:r>
      <w:r w:rsidR="00470F30" w:rsidRPr="00641640">
        <w:rPr>
          <w:rFonts w:ascii="Times New Roman" w:hAnsi="Times New Roman" w:cs="Times New Roman"/>
          <w:noProof/>
          <w:sz w:val="24"/>
          <w:szCs w:val="24"/>
          <w:lang w:val="sq-AL"/>
        </w:rPr>
        <w:t>adresimi</w:t>
      </w:r>
      <w:r w:rsidR="001C6295" w:rsidRPr="00641640">
        <w:rPr>
          <w:rFonts w:ascii="Times New Roman" w:hAnsi="Times New Roman" w:cs="Times New Roman"/>
          <w:noProof/>
          <w:sz w:val="24"/>
          <w:szCs w:val="24"/>
          <w:lang w:val="sq-AL"/>
        </w:rPr>
        <w:t xml:space="preserve"> i</w:t>
      </w:r>
      <w:r w:rsidR="0004673B" w:rsidRPr="00641640">
        <w:rPr>
          <w:rFonts w:ascii="Times New Roman" w:hAnsi="Times New Roman" w:cs="Times New Roman"/>
          <w:noProof/>
          <w:sz w:val="24"/>
          <w:szCs w:val="24"/>
          <w:lang w:val="sq-AL"/>
        </w:rPr>
        <w:t xml:space="preserve"> nevoja</w:t>
      </w:r>
      <w:r w:rsidR="00470F30" w:rsidRPr="00641640">
        <w:rPr>
          <w:rFonts w:ascii="Times New Roman" w:hAnsi="Times New Roman" w:cs="Times New Roman"/>
          <w:noProof/>
          <w:sz w:val="24"/>
          <w:szCs w:val="24"/>
          <w:lang w:val="sq-AL"/>
        </w:rPr>
        <w:t>ve</w:t>
      </w:r>
      <w:r w:rsidR="0004673B" w:rsidRPr="00641640">
        <w:rPr>
          <w:rFonts w:ascii="Times New Roman" w:hAnsi="Times New Roman" w:cs="Times New Roman"/>
          <w:noProof/>
          <w:sz w:val="24"/>
          <w:szCs w:val="24"/>
          <w:lang w:val="sq-AL"/>
        </w:rPr>
        <w:t xml:space="preserve"> </w:t>
      </w:r>
      <w:r w:rsidR="00470F30" w:rsidRPr="00641640">
        <w:rPr>
          <w:rFonts w:ascii="Times New Roman" w:hAnsi="Times New Roman" w:cs="Times New Roman"/>
          <w:noProof/>
          <w:sz w:val="24"/>
          <w:szCs w:val="24"/>
          <w:lang w:val="sq-AL"/>
        </w:rPr>
        <w:t xml:space="preserve">të </w:t>
      </w:r>
      <w:r w:rsidR="0004673B" w:rsidRPr="00641640">
        <w:rPr>
          <w:rFonts w:ascii="Times New Roman" w:hAnsi="Times New Roman" w:cs="Times New Roman"/>
          <w:noProof/>
          <w:sz w:val="24"/>
          <w:szCs w:val="24"/>
          <w:lang w:val="sq-AL"/>
        </w:rPr>
        <w:t xml:space="preserve">qytetarëve dhe të biznesit, </w:t>
      </w:r>
      <w:r w:rsidR="00621735" w:rsidRPr="00641640">
        <w:rPr>
          <w:rFonts w:ascii="Times New Roman" w:hAnsi="Times New Roman" w:cs="Times New Roman"/>
          <w:noProof/>
          <w:sz w:val="24"/>
          <w:szCs w:val="24"/>
          <w:lang w:val="sq-AL"/>
        </w:rPr>
        <w:t>duke nd</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rtuar dhe konsoliduar nj</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w:t>
      </w:r>
      <w:r w:rsidR="00621735" w:rsidRPr="00641640">
        <w:rPr>
          <w:rFonts w:ascii="Times New Roman" w:hAnsi="Times New Roman" w:cs="Times New Roman"/>
          <w:noProof/>
          <w:sz w:val="24"/>
          <w:szCs w:val="24"/>
          <w:lang w:val="sq-AL"/>
        </w:rPr>
        <w:lastRenderedPageBreak/>
        <w:t>administrat</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publike t</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w:t>
      </w:r>
      <w:r w:rsidR="0004673B" w:rsidRPr="00641640">
        <w:rPr>
          <w:rFonts w:ascii="Times New Roman" w:hAnsi="Times New Roman" w:cs="Times New Roman"/>
          <w:noProof/>
          <w:sz w:val="24"/>
          <w:szCs w:val="24"/>
          <w:lang w:val="sq-AL"/>
        </w:rPr>
        <w:t>përgjegjshme</w:t>
      </w:r>
      <w:r w:rsidR="000A012C" w:rsidRPr="00641640">
        <w:rPr>
          <w:rFonts w:ascii="Times New Roman" w:hAnsi="Times New Roman" w:cs="Times New Roman"/>
          <w:noProof/>
          <w:sz w:val="24"/>
          <w:szCs w:val="24"/>
          <w:lang w:val="sq-AL"/>
        </w:rPr>
        <w:t xml:space="preserve"> dhe</w:t>
      </w:r>
      <w:r w:rsidR="0004673B" w:rsidRPr="00641640">
        <w:rPr>
          <w:rFonts w:ascii="Times New Roman" w:hAnsi="Times New Roman" w:cs="Times New Roman"/>
          <w:noProof/>
          <w:sz w:val="24"/>
          <w:szCs w:val="24"/>
          <w:lang w:val="sq-AL"/>
        </w:rPr>
        <w:t xml:space="preserve"> transparente, që </w:t>
      </w:r>
      <w:r w:rsidR="005A4CC5" w:rsidRPr="00641640">
        <w:rPr>
          <w:rFonts w:ascii="Times New Roman" w:hAnsi="Times New Roman" w:cs="Times New Roman"/>
          <w:noProof/>
          <w:sz w:val="24"/>
          <w:szCs w:val="24"/>
          <w:lang w:val="sq-AL"/>
        </w:rPr>
        <w:t>shërben</w:t>
      </w:r>
      <w:r w:rsidR="0004673B" w:rsidRPr="00641640">
        <w:rPr>
          <w:rFonts w:ascii="Times New Roman" w:hAnsi="Times New Roman" w:cs="Times New Roman"/>
          <w:noProof/>
          <w:sz w:val="24"/>
          <w:szCs w:val="24"/>
          <w:lang w:val="sq-AL"/>
        </w:rPr>
        <w:t xml:space="preserve"> me </w:t>
      </w:r>
      <w:r w:rsidR="000A012C" w:rsidRPr="00641640">
        <w:rPr>
          <w:rFonts w:ascii="Times New Roman" w:hAnsi="Times New Roman" w:cs="Times New Roman"/>
          <w:noProof/>
          <w:sz w:val="24"/>
          <w:szCs w:val="24"/>
          <w:lang w:val="sq-AL"/>
        </w:rPr>
        <w:t>profesionaliz</w:t>
      </w:r>
      <w:r w:rsidR="00064AC5" w:rsidRPr="00641640">
        <w:rPr>
          <w:rFonts w:ascii="Times New Roman" w:hAnsi="Times New Roman" w:cs="Times New Roman"/>
          <w:noProof/>
          <w:sz w:val="24"/>
          <w:szCs w:val="24"/>
          <w:lang w:val="sq-AL"/>
        </w:rPr>
        <w:t>ë</w:t>
      </w:r>
      <w:r w:rsidR="000A012C" w:rsidRPr="00641640">
        <w:rPr>
          <w:rFonts w:ascii="Times New Roman" w:hAnsi="Times New Roman" w:cs="Times New Roman"/>
          <w:noProof/>
          <w:sz w:val="24"/>
          <w:szCs w:val="24"/>
          <w:lang w:val="sq-AL"/>
        </w:rPr>
        <w:t>m dhe efikasitet</w:t>
      </w:r>
      <w:r w:rsidR="00621735" w:rsidRPr="00641640">
        <w:rPr>
          <w:rFonts w:ascii="Times New Roman" w:hAnsi="Times New Roman" w:cs="Times New Roman"/>
          <w:noProof/>
          <w:sz w:val="24"/>
          <w:szCs w:val="24"/>
          <w:lang w:val="sq-AL"/>
        </w:rPr>
        <w:t>,</w:t>
      </w:r>
      <w:r w:rsidR="0004673B" w:rsidRPr="00641640">
        <w:rPr>
          <w:rFonts w:ascii="Times New Roman" w:hAnsi="Times New Roman" w:cs="Times New Roman"/>
          <w:noProof/>
          <w:sz w:val="24"/>
          <w:szCs w:val="24"/>
          <w:lang w:val="sq-AL"/>
        </w:rPr>
        <w:t xml:space="preserve"> </w:t>
      </w:r>
      <w:r w:rsidR="005A4CC5" w:rsidRPr="00641640">
        <w:rPr>
          <w:rFonts w:ascii="Times New Roman" w:hAnsi="Times New Roman" w:cs="Times New Roman"/>
          <w:noProof/>
          <w:sz w:val="24"/>
          <w:szCs w:val="24"/>
          <w:lang w:val="sq-AL"/>
        </w:rPr>
        <w:t>ndërsa</w:t>
      </w:r>
      <w:r w:rsidR="0004673B" w:rsidRPr="00641640">
        <w:rPr>
          <w:rFonts w:ascii="Times New Roman" w:hAnsi="Times New Roman" w:cs="Times New Roman"/>
          <w:noProof/>
          <w:sz w:val="24"/>
          <w:szCs w:val="24"/>
          <w:lang w:val="sq-AL"/>
        </w:rPr>
        <w:t xml:space="preserve"> vendi </w:t>
      </w:r>
      <w:r w:rsidR="005A4CC5" w:rsidRPr="00641640">
        <w:rPr>
          <w:rFonts w:ascii="Times New Roman" w:hAnsi="Times New Roman" w:cs="Times New Roman"/>
          <w:noProof/>
          <w:sz w:val="24"/>
          <w:szCs w:val="24"/>
          <w:lang w:val="sq-AL"/>
        </w:rPr>
        <w:t xml:space="preserve">përparon </w:t>
      </w:r>
      <w:r w:rsidR="0004673B" w:rsidRPr="00641640">
        <w:rPr>
          <w:rFonts w:ascii="Times New Roman" w:hAnsi="Times New Roman" w:cs="Times New Roman"/>
          <w:noProof/>
          <w:sz w:val="24"/>
          <w:szCs w:val="24"/>
          <w:lang w:val="sq-AL"/>
        </w:rPr>
        <w:t xml:space="preserve">në </w:t>
      </w:r>
      <w:r w:rsidR="005A4CC5" w:rsidRPr="00641640">
        <w:rPr>
          <w:rFonts w:ascii="Times New Roman" w:hAnsi="Times New Roman" w:cs="Times New Roman"/>
          <w:noProof/>
          <w:sz w:val="24"/>
          <w:szCs w:val="24"/>
          <w:lang w:val="sq-AL"/>
        </w:rPr>
        <w:t xml:space="preserve">rrugën drejt </w:t>
      </w:r>
      <w:r w:rsidR="0004673B" w:rsidRPr="00641640">
        <w:rPr>
          <w:rFonts w:ascii="Times New Roman" w:hAnsi="Times New Roman" w:cs="Times New Roman"/>
          <w:noProof/>
          <w:sz w:val="24"/>
          <w:szCs w:val="24"/>
          <w:lang w:val="sq-AL"/>
        </w:rPr>
        <w:t>Bashkimi</w:t>
      </w:r>
      <w:r w:rsidR="005A4CC5" w:rsidRPr="00641640">
        <w:rPr>
          <w:rFonts w:ascii="Times New Roman" w:hAnsi="Times New Roman" w:cs="Times New Roman"/>
          <w:noProof/>
          <w:sz w:val="24"/>
          <w:szCs w:val="24"/>
          <w:lang w:val="sq-AL"/>
        </w:rPr>
        <w:t>t</w:t>
      </w:r>
      <w:r w:rsidR="0004673B" w:rsidRPr="00641640">
        <w:rPr>
          <w:rFonts w:ascii="Times New Roman" w:hAnsi="Times New Roman" w:cs="Times New Roman"/>
          <w:noProof/>
          <w:sz w:val="24"/>
          <w:szCs w:val="24"/>
          <w:lang w:val="sq-AL"/>
        </w:rPr>
        <w:t xml:space="preserve"> Evropian</w:t>
      </w:r>
      <w:r w:rsidR="00F91291" w:rsidRPr="00641640">
        <w:rPr>
          <w:rFonts w:ascii="Times New Roman" w:hAnsi="Times New Roman" w:cs="Times New Roman"/>
          <w:noProof/>
          <w:sz w:val="24"/>
          <w:szCs w:val="24"/>
          <w:lang w:val="sq-AL"/>
        </w:rPr>
        <w:t>.</w:t>
      </w:r>
    </w:p>
    <w:p w14:paraId="7CFBA6B5" w14:textId="20EF16B4" w:rsidR="007D4B8B" w:rsidRPr="00641640" w:rsidRDefault="006C527F"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Strategjia Ndërsektoriale e Reformës në Administratën Publike </w:t>
      </w:r>
      <w:r w:rsidR="002D647C" w:rsidRPr="00641640">
        <w:rPr>
          <w:rFonts w:ascii="Times New Roman" w:hAnsi="Times New Roman" w:cs="Times New Roman"/>
          <w:noProof/>
          <w:sz w:val="24"/>
          <w:szCs w:val="24"/>
          <w:lang w:val="sq-AL"/>
        </w:rPr>
        <w:t>202</w:t>
      </w:r>
      <w:r w:rsidR="00951B42" w:rsidRPr="00641640">
        <w:rPr>
          <w:rFonts w:ascii="Times New Roman" w:hAnsi="Times New Roman" w:cs="Times New Roman"/>
          <w:noProof/>
          <w:sz w:val="24"/>
          <w:szCs w:val="24"/>
          <w:lang w:val="sq-AL"/>
        </w:rPr>
        <w:t>5</w:t>
      </w:r>
      <w:r w:rsidR="002D647C"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2030</w:t>
      </w:r>
      <w:r w:rsidR="005A4CC5" w:rsidRPr="00641640">
        <w:rPr>
          <w:rFonts w:ascii="Times New Roman" w:hAnsi="Times New Roman" w:cs="Times New Roman"/>
          <w:noProof/>
          <w:sz w:val="24"/>
          <w:szCs w:val="24"/>
          <w:lang w:val="sq-AL"/>
        </w:rPr>
        <w:t xml:space="preserve"> </w:t>
      </w:r>
      <w:r w:rsidR="007D4B8B" w:rsidRPr="00641640">
        <w:rPr>
          <w:rFonts w:ascii="Times New Roman" w:hAnsi="Times New Roman" w:cs="Times New Roman"/>
          <w:noProof/>
          <w:sz w:val="24"/>
          <w:szCs w:val="24"/>
          <w:lang w:val="sq-AL"/>
        </w:rPr>
        <w:t xml:space="preserve">është </w:t>
      </w:r>
      <w:r w:rsidR="00995BBC" w:rsidRPr="00641640">
        <w:rPr>
          <w:rFonts w:ascii="Times New Roman" w:hAnsi="Times New Roman" w:cs="Times New Roman"/>
          <w:noProof/>
          <w:sz w:val="24"/>
          <w:szCs w:val="24"/>
          <w:lang w:val="sq-AL"/>
        </w:rPr>
        <w:t xml:space="preserve">gjithashtu </w:t>
      </w:r>
      <w:r w:rsidR="007D4B8B" w:rsidRPr="00641640">
        <w:rPr>
          <w:rFonts w:ascii="Times New Roman" w:hAnsi="Times New Roman" w:cs="Times New Roman"/>
          <w:noProof/>
          <w:sz w:val="24"/>
          <w:szCs w:val="24"/>
          <w:lang w:val="sq-AL"/>
        </w:rPr>
        <w:t>e harmonizuar me Agjendën 2030 dhe Objektivat e Zhvillimit të Q</w:t>
      </w:r>
      <w:r w:rsidR="00FC0FCA" w:rsidRPr="00641640">
        <w:rPr>
          <w:rFonts w:ascii="Times New Roman" w:hAnsi="Times New Roman" w:cs="Times New Roman"/>
          <w:noProof/>
          <w:sz w:val="24"/>
          <w:szCs w:val="24"/>
          <w:lang w:val="sq-AL"/>
        </w:rPr>
        <w:t>e</w:t>
      </w:r>
      <w:r w:rsidR="007D4B8B" w:rsidRPr="00641640">
        <w:rPr>
          <w:rFonts w:ascii="Times New Roman" w:hAnsi="Times New Roman" w:cs="Times New Roman"/>
          <w:noProof/>
          <w:sz w:val="24"/>
          <w:szCs w:val="24"/>
          <w:lang w:val="sq-AL"/>
        </w:rPr>
        <w:t>ndrueshëm (OZhQ)</w:t>
      </w:r>
      <w:r w:rsidR="00635DD4" w:rsidRPr="00641640">
        <w:rPr>
          <w:rFonts w:ascii="Times New Roman" w:hAnsi="Times New Roman" w:cs="Times New Roman"/>
          <w:noProof/>
          <w:sz w:val="24"/>
          <w:szCs w:val="24"/>
          <w:lang w:val="sq-AL"/>
        </w:rPr>
        <w:t>.</w:t>
      </w:r>
      <w:r w:rsidR="007D4B8B" w:rsidRPr="00641640">
        <w:rPr>
          <w:rFonts w:ascii="Times New Roman" w:hAnsi="Times New Roman" w:cs="Times New Roman"/>
          <w:noProof/>
          <w:sz w:val="24"/>
          <w:szCs w:val="24"/>
          <w:lang w:val="sq-AL"/>
        </w:rPr>
        <w:t xml:space="preserve"> </w:t>
      </w:r>
      <w:r w:rsidR="00621735" w:rsidRPr="00641640">
        <w:rPr>
          <w:rFonts w:ascii="Times New Roman" w:hAnsi="Times New Roman" w:cs="Times New Roman"/>
          <w:noProof/>
          <w:sz w:val="24"/>
          <w:szCs w:val="24"/>
          <w:lang w:val="sq-AL"/>
        </w:rPr>
        <w:t>Zbatimi i angazhimeve dhe masave specifike t</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planifikuara n</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w:t>
      </w:r>
      <w:r w:rsidR="000A0BAB" w:rsidRPr="00641640">
        <w:rPr>
          <w:rFonts w:ascii="Times New Roman" w:hAnsi="Times New Roman" w:cs="Times New Roman"/>
          <w:noProof/>
          <w:sz w:val="24"/>
          <w:szCs w:val="24"/>
          <w:lang w:val="sq-AL"/>
        </w:rPr>
        <w:t>Strategji</w:t>
      </w:r>
      <w:r w:rsidR="00621735" w:rsidRPr="00641640">
        <w:rPr>
          <w:rFonts w:ascii="Times New Roman" w:hAnsi="Times New Roman" w:cs="Times New Roman"/>
          <w:noProof/>
          <w:sz w:val="24"/>
          <w:szCs w:val="24"/>
          <w:lang w:val="sq-AL"/>
        </w:rPr>
        <w:t>n</w:t>
      </w:r>
      <w:r w:rsidR="000A0BAB" w:rsidRPr="00641640">
        <w:rPr>
          <w:rFonts w:ascii="Times New Roman" w:hAnsi="Times New Roman" w:cs="Times New Roman"/>
          <w:noProof/>
          <w:sz w:val="24"/>
          <w:szCs w:val="24"/>
          <w:lang w:val="sq-AL"/>
        </w:rPr>
        <w:t xml:space="preserve">ë </w:t>
      </w:r>
      <w:r w:rsidR="00621735" w:rsidRPr="00641640">
        <w:rPr>
          <w:rFonts w:ascii="Times New Roman" w:hAnsi="Times New Roman" w:cs="Times New Roman"/>
          <w:noProof/>
          <w:sz w:val="24"/>
          <w:szCs w:val="24"/>
          <w:lang w:val="sq-AL"/>
        </w:rPr>
        <w:t>e</w:t>
      </w:r>
      <w:r w:rsidR="000A0BAB" w:rsidRPr="00641640">
        <w:rPr>
          <w:rFonts w:ascii="Times New Roman" w:hAnsi="Times New Roman" w:cs="Times New Roman"/>
          <w:noProof/>
          <w:sz w:val="24"/>
          <w:szCs w:val="24"/>
          <w:lang w:val="sq-AL"/>
        </w:rPr>
        <w:t xml:space="preserve"> RAP </w:t>
      </w:r>
      <w:r w:rsidR="00621735" w:rsidRPr="00641640">
        <w:rPr>
          <w:rFonts w:ascii="Times New Roman" w:hAnsi="Times New Roman" w:cs="Times New Roman"/>
          <w:noProof/>
          <w:sz w:val="24"/>
          <w:szCs w:val="24"/>
          <w:lang w:val="sq-AL"/>
        </w:rPr>
        <w:t>202</w:t>
      </w:r>
      <w:r w:rsidR="00951B42" w:rsidRPr="00641640">
        <w:rPr>
          <w:rFonts w:ascii="Times New Roman" w:hAnsi="Times New Roman" w:cs="Times New Roman"/>
          <w:noProof/>
          <w:sz w:val="24"/>
          <w:szCs w:val="24"/>
          <w:lang w:val="sq-AL"/>
        </w:rPr>
        <w:t>5</w:t>
      </w:r>
      <w:r w:rsidR="00621735" w:rsidRPr="00641640">
        <w:rPr>
          <w:rFonts w:ascii="Times New Roman" w:hAnsi="Times New Roman" w:cs="Times New Roman"/>
          <w:noProof/>
          <w:sz w:val="24"/>
          <w:szCs w:val="24"/>
          <w:lang w:val="sq-AL"/>
        </w:rPr>
        <w:t xml:space="preserve">-2030 ndikon </w:t>
      </w:r>
      <w:r w:rsidR="000A0BAB" w:rsidRPr="00641640">
        <w:rPr>
          <w:rFonts w:ascii="Times New Roman" w:hAnsi="Times New Roman" w:cs="Times New Roman"/>
          <w:noProof/>
          <w:sz w:val="24"/>
          <w:szCs w:val="24"/>
          <w:lang w:val="sq-AL"/>
        </w:rPr>
        <w:t>drejtpërdrej</w:t>
      </w:r>
      <w:r w:rsidR="00621735" w:rsidRPr="00641640">
        <w:rPr>
          <w:rFonts w:ascii="Times New Roman" w:hAnsi="Times New Roman" w:cs="Times New Roman"/>
          <w:noProof/>
          <w:sz w:val="24"/>
          <w:szCs w:val="24"/>
          <w:lang w:val="sq-AL"/>
        </w:rPr>
        <w:t>t</w:t>
      </w:r>
      <w:r w:rsidR="000A0BAB" w:rsidRPr="00641640">
        <w:rPr>
          <w:rFonts w:ascii="Times New Roman" w:hAnsi="Times New Roman" w:cs="Times New Roman"/>
          <w:noProof/>
          <w:sz w:val="24"/>
          <w:szCs w:val="24"/>
          <w:lang w:val="sq-AL"/>
        </w:rPr>
        <w:t xml:space="preserve"> në arritjen e qëllimeve të përcaktuara në Strategjinë e Zhvillimit të Q</w:t>
      </w:r>
      <w:r w:rsidR="00C04DAB" w:rsidRPr="00641640">
        <w:rPr>
          <w:rFonts w:ascii="Times New Roman" w:hAnsi="Times New Roman" w:cs="Times New Roman"/>
          <w:noProof/>
          <w:sz w:val="24"/>
          <w:szCs w:val="24"/>
          <w:lang w:val="sq-AL"/>
        </w:rPr>
        <w:t>e</w:t>
      </w:r>
      <w:r w:rsidR="000A0BAB" w:rsidRPr="00641640">
        <w:rPr>
          <w:rFonts w:ascii="Times New Roman" w:hAnsi="Times New Roman" w:cs="Times New Roman"/>
          <w:noProof/>
          <w:sz w:val="24"/>
          <w:szCs w:val="24"/>
          <w:lang w:val="sq-AL"/>
        </w:rPr>
        <w:t xml:space="preserve">ndrueshëm 2030, </w:t>
      </w:r>
      <w:r w:rsidR="00621735"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rmes fokusit q</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SNRAP vendos n</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w:t>
      </w:r>
      <w:r w:rsidR="000A0BAB" w:rsidRPr="00641640">
        <w:rPr>
          <w:rFonts w:ascii="Times New Roman" w:hAnsi="Times New Roman" w:cs="Times New Roman"/>
          <w:noProof/>
          <w:sz w:val="24"/>
          <w:szCs w:val="24"/>
          <w:lang w:val="sq-AL"/>
        </w:rPr>
        <w:t xml:space="preserve">forcimin e besimit të publikut në sistemin demokratik, </w:t>
      </w:r>
      <w:r w:rsidR="00EB7DDD"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EB7DDD" w:rsidRPr="00641640">
        <w:rPr>
          <w:rFonts w:ascii="Times New Roman" w:hAnsi="Times New Roman" w:cs="Times New Roman"/>
          <w:noProof/>
          <w:sz w:val="24"/>
          <w:szCs w:val="24"/>
          <w:lang w:val="sq-AL"/>
        </w:rPr>
        <w:t>rmir</w:t>
      </w:r>
      <w:r w:rsidR="00064AC5" w:rsidRPr="00641640">
        <w:rPr>
          <w:rFonts w:ascii="Times New Roman" w:hAnsi="Times New Roman" w:cs="Times New Roman"/>
          <w:noProof/>
          <w:sz w:val="24"/>
          <w:szCs w:val="24"/>
          <w:lang w:val="sq-AL"/>
        </w:rPr>
        <w:t>ë</w:t>
      </w:r>
      <w:r w:rsidR="00EB7DDD" w:rsidRPr="00641640">
        <w:rPr>
          <w:rFonts w:ascii="Times New Roman" w:hAnsi="Times New Roman" w:cs="Times New Roman"/>
          <w:noProof/>
          <w:sz w:val="24"/>
          <w:szCs w:val="24"/>
          <w:lang w:val="sq-AL"/>
        </w:rPr>
        <w:t>simin n</w:t>
      </w:r>
      <w:r w:rsidR="00064AC5" w:rsidRPr="00641640">
        <w:rPr>
          <w:rFonts w:ascii="Times New Roman" w:hAnsi="Times New Roman" w:cs="Times New Roman"/>
          <w:noProof/>
          <w:sz w:val="24"/>
          <w:szCs w:val="24"/>
          <w:lang w:val="sq-AL"/>
        </w:rPr>
        <w:t>ë</w:t>
      </w:r>
      <w:r w:rsidR="00EB7DDD" w:rsidRPr="00641640">
        <w:rPr>
          <w:rFonts w:ascii="Times New Roman" w:hAnsi="Times New Roman" w:cs="Times New Roman"/>
          <w:noProof/>
          <w:sz w:val="24"/>
          <w:szCs w:val="24"/>
          <w:lang w:val="sq-AL"/>
        </w:rPr>
        <w:t xml:space="preserve"> m</w:t>
      </w:r>
      <w:r w:rsidR="00064AC5" w:rsidRPr="00641640">
        <w:rPr>
          <w:rFonts w:ascii="Times New Roman" w:hAnsi="Times New Roman" w:cs="Times New Roman"/>
          <w:noProof/>
          <w:sz w:val="24"/>
          <w:szCs w:val="24"/>
          <w:lang w:val="sq-AL"/>
        </w:rPr>
        <w:t>ë</w:t>
      </w:r>
      <w:r w:rsidR="00EB7DDD" w:rsidRPr="00641640">
        <w:rPr>
          <w:rFonts w:ascii="Times New Roman" w:hAnsi="Times New Roman" w:cs="Times New Roman"/>
          <w:noProof/>
          <w:sz w:val="24"/>
          <w:szCs w:val="24"/>
          <w:lang w:val="sq-AL"/>
        </w:rPr>
        <w:t>nyr</w:t>
      </w:r>
      <w:r w:rsidR="00064AC5" w:rsidRPr="00641640">
        <w:rPr>
          <w:rFonts w:ascii="Times New Roman" w:hAnsi="Times New Roman" w:cs="Times New Roman"/>
          <w:noProof/>
          <w:sz w:val="24"/>
          <w:szCs w:val="24"/>
          <w:lang w:val="sq-AL"/>
        </w:rPr>
        <w:t>ë</w:t>
      </w:r>
      <w:r w:rsidR="00EB7DDD"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00EB7DDD" w:rsidRPr="00641640">
        <w:rPr>
          <w:rFonts w:ascii="Times New Roman" w:hAnsi="Times New Roman" w:cs="Times New Roman"/>
          <w:noProof/>
          <w:sz w:val="24"/>
          <w:szCs w:val="24"/>
          <w:lang w:val="sq-AL"/>
        </w:rPr>
        <w:t xml:space="preserve"> matshme t</w:t>
      </w:r>
      <w:r w:rsidR="00064AC5" w:rsidRPr="00641640">
        <w:rPr>
          <w:rFonts w:ascii="Times New Roman" w:hAnsi="Times New Roman" w:cs="Times New Roman"/>
          <w:noProof/>
          <w:sz w:val="24"/>
          <w:szCs w:val="24"/>
          <w:lang w:val="sq-AL"/>
        </w:rPr>
        <w:t>ë</w:t>
      </w:r>
      <w:r w:rsidR="00EB7DDD" w:rsidRPr="00641640">
        <w:rPr>
          <w:rFonts w:ascii="Times New Roman" w:hAnsi="Times New Roman" w:cs="Times New Roman"/>
          <w:noProof/>
          <w:sz w:val="24"/>
          <w:szCs w:val="24"/>
          <w:lang w:val="sq-AL"/>
        </w:rPr>
        <w:t xml:space="preserve"> </w:t>
      </w:r>
      <w:r w:rsidR="000A0BAB" w:rsidRPr="00641640">
        <w:rPr>
          <w:rFonts w:ascii="Times New Roman" w:hAnsi="Times New Roman" w:cs="Times New Roman"/>
          <w:noProof/>
          <w:sz w:val="24"/>
          <w:szCs w:val="24"/>
          <w:lang w:val="sq-AL"/>
        </w:rPr>
        <w:t xml:space="preserve">performancës së administratës publike dhe </w:t>
      </w:r>
      <w:r w:rsidR="005A4CC5" w:rsidRPr="00641640">
        <w:rPr>
          <w:rFonts w:ascii="Times New Roman" w:hAnsi="Times New Roman" w:cs="Times New Roman"/>
          <w:noProof/>
          <w:sz w:val="24"/>
          <w:szCs w:val="24"/>
          <w:lang w:val="sq-AL"/>
        </w:rPr>
        <w:t xml:space="preserve">rritjen e </w:t>
      </w:r>
      <w:r w:rsidR="000A0BAB" w:rsidRPr="00641640">
        <w:rPr>
          <w:rFonts w:ascii="Times New Roman" w:hAnsi="Times New Roman" w:cs="Times New Roman"/>
          <w:noProof/>
          <w:sz w:val="24"/>
          <w:szCs w:val="24"/>
          <w:lang w:val="sq-AL"/>
        </w:rPr>
        <w:t>pjesëmarrje</w:t>
      </w:r>
      <w:r w:rsidR="005A4CC5" w:rsidRPr="00641640">
        <w:rPr>
          <w:rFonts w:ascii="Times New Roman" w:hAnsi="Times New Roman" w:cs="Times New Roman"/>
          <w:noProof/>
          <w:sz w:val="24"/>
          <w:szCs w:val="24"/>
          <w:lang w:val="sq-AL"/>
        </w:rPr>
        <w:t>s</w:t>
      </w:r>
      <w:r w:rsidR="000A0BAB" w:rsidRPr="00641640">
        <w:rPr>
          <w:rFonts w:ascii="Times New Roman" w:hAnsi="Times New Roman" w:cs="Times New Roman"/>
          <w:noProof/>
          <w:sz w:val="24"/>
          <w:szCs w:val="24"/>
          <w:lang w:val="sq-AL"/>
        </w:rPr>
        <w:t xml:space="preserve"> të</w:t>
      </w:r>
      <w:r w:rsidR="00EB7DDD" w:rsidRPr="00641640">
        <w:rPr>
          <w:rFonts w:ascii="Times New Roman" w:hAnsi="Times New Roman" w:cs="Times New Roman"/>
          <w:noProof/>
          <w:sz w:val="24"/>
          <w:szCs w:val="24"/>
          <w:lang w:val="sq-AL"/>
        </w:rPr>
        <w:t xml:space="preserve"> qytetar</w:t>
      </w:r>
      <w:r w:rsidR="00064AC5" w:rsidRPr="00641640">
        <w:rPr>
          <w:rFonts w:ascii="Times New Roman" w:hAnsi="Times New Roman" w:cs="Times New Roman"/>
          <w:noProof/>
          <w:sz w:val="24"/>
          <w:szCs w:val="24"/>
          <w:lang w:val="sq-AL"/>
        </w:rPr>
        <w:t>ë</w:t>
      </w:r>
      <w:r w:rsidR="00EB7DDD" w:rsidRPr="00641640">
        <w:rPr>
          <w:rFonts w:ascii="Times New Roman" w:hAnsi="Times New Roman" w:cs="Times New Roman"/>
          <w:noProof/>
          <w:sz w:val="24"/>
          <w:szCs w:val="24"/>
          <w:lang w:val="sq-AL"/>
        </w:rPr>
        <w:t>ve dhe grupeve t</w:t>
      </w:r>
      <w:r w:rsidR="00064AC5" w:rsidRPr="00641640">
        <w:rPr>
          <w:rFonts w:ascii="Times New Roman" w:hAnsi="Times New Roman" w:cs="Times New Roman"/>
          <w:noProof/>
          <w:sz w:val="24"/>
          <w:szCs w:val="24"/>
          <w:lang w:val="sq-AL"/>
        </w:rPr>
        <w:t>ë</w:t>
      </w:r>
      <w:r w:rsidR="00EB7DDD" w:rsidRPr="00641640">
        <w:rPr>
          <w:rFonts w:ascii="Times New Roman" w:hAnsi="Times New Roman" w:cs="Times New Roman"/>
          <w:noProof/>
          <w:sz w:val="24"/>
          <w:szCs w:val="24"/>
          <w:lang w:val="sq-AL"/>
        </w:rPr>
        <w:t xml:space="preserve"> interesit n</w:t>
      </w:r>
      <w:r w:rsidR="00064AC5" w:rsidRPr="00641640">
        <w:rPr>
          <w:rFonts w:ascii="Times New Roman" w:hAnsi="Times New Roman" w:cs="Times New Roman"/>
          <w:noProof/>
          <w:sz w:val="24"/>
          <w:szCs w:val="24"/>
          <w:lang w:val="sq-AL"/>
        </w:rPr>
        <w:t>ë</w:t>
      </w:r>
      <w:r w:rsidR="00EB7DDD" w:rsidRPr="00641640">
        <w:rPr>
          <w:rFonts w:ascii="Times New Roman" w:hAnsi="Times New Roman" w:cs="Times New Roman"/>
          <w:noProof/>
          <w:sz w:val="24"/>
          <w:szCs w:val="24"/>
          <w:lang w:val="sq-AL"/>
        </w:rPr>
        <w:t xml:space="preserve"> procesin politik</w:t>
      </w:r>
      <w:r w:rsidR="00064AC5" w:rsidRPr="00641640">
        <w:rPr>
          <w:rFonts w:ascii="Times New Roman" w:hAnsi="Times New Roman" w:cs="Times New Roman"/>
          <w:noProof/>
          <w:sz w:val="24"/>
          <w:szCs w:val="24"/>
          <w:lang w:val="sq-AL"/>
        </w:rPr>
        <w:t>ë</w:t>
      </w:r>
      <w:r w:rsidR="00EB7DDD" w:rsidRPr="00641640">
        <w:rPr>
          <w:rFonts w:ascii="Times New Roman" w:hAnsi="Times New Roman" w:cs="Times New Roman"/>
          <w:noProof/>
          <w:sz w:val="24"/>
          <w:szCs w:val="24"/>
          <w:lang w:val="sq-AL"/>
        </w:rPr>
        <w:t>b</w:t>
      </w:r>
      <w:r w:rsidR="00064AC5" w:rsidRPr="00641640">
        <w:rPr>
          <w:rFonts w:ascii="Times New Roman" w:hAnsi="Times New Roman" w:cs="Times New Roman"/>
          <w:noProof/>
          <w:sz w:val="24"/>
          <w:szCs w:val="24"/>
          <w:lang w:val="sq-AL"/>
        </w:rPr>
        <w:t>ë</w:t>
      </w:r>
      <w:r w:rsidR="00EB7DDD" w:rsidRPr="00641640">
        <w:rPr>
          <w:rFonts w:ascii="Times New Roman" w:hAnsi="Times New Roman" w:cs="Times New Roman"/>
          <w:noProof/>
          <w:sz w:val="24"/>
          <w:szCs w:val="24"/>
          <w:lang w:val="sq-AL"/>
        </w:rPr>
        <w:t>r</w:t>
      </w:r>
      <w:r w:rsidR="00064AC5" w:rsidRPr="00641640">
        <w:rPr>
          <w:rFonts w:ascii="Times New Roman" w:hAnsi="Times New Roman" w:cs="Times New Roman"/>
          <w:noProof/>
          <w:sz w:val="24"/>
          <w:szCs w:val="24"/>
          <w:lang w:val="sq-AL"/>
        </w:rPr>
        <w:t>ë</w:t>
      </w:r>
      <w:r w:rsidR="00EB7DDD" w:rsidRPr="00641640">
        <w:rPr>
          <w:rFonts w:ascii="Times New Roman" w:hAnsi="Times New Roman" w:cs="Times New Roman"/>
          <w:noProof/>
          <w:sz w:val="24"/>
          <w:szCs w:val="24"/>
          <w:lang w:val="sq-AL"/>
        </w:rPr>
        <w:t>s. N</w:t>
      </w:r>
      <w:r w:rsidR="00064AC5" w:rsidRPr="00641640">
        <w:rPr>
          <w:rFonts w:ascii="Times New Roman" w:hAnsi="Times New Roman" w:cs="Times New Roman"/>
          <w:noProof/>
          <w:sz w:val="24"/>
          <w:szCs w:val="24"/>
          <w:lang w:val="sq-AL"/>
        </w:rPr>
        <w:t>ë</w:t>
      </w:r>
      <w:r w:rsidR="00EB7DDD" w:rsidRPr="00641640">
        <w:rPr>
          <w:rFonts w:ascii="Times New Roman" w:hAnsi="Times New Roman" w:cs="Times New Roman"/>
          <w:noProof/>
          <w:sz w:val="24"/>
          <w:szCs w:val="24"/>
          <w:lang w:val="sq-AL"/>
        </w:rPr>
        <w:t xml:space="preserve"> k</w:t>
      </w:r>
      <w:r w:rsidR="00064AC5" w:rsidRPr="00641640">
        <w:rPr>
          <w:rFonts w:ascii="Times New Roman" w:hAnsi="Times New Roman" w:cs="Times New Roman"/>
          <w:noProof/>
          <w:sz w:val="24"/>
          <w:szCs w:val="24"/>
          <w:lang w:val="sq-AL"/>
        </w:rPr>
        <w:t>ë</w:t>
      </w:r>
      <w:r w:rsidR="00EB7DDD"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EB7DDD" w:rsidRPr="00641640">
        <w:rPr>
          <w:rFonts w:ascii="Times New Roman" w:hAnsi="Times New Roman" w:cs="Times New Roman"/>
          <w:noProof/>
          <w:sz w:val="24"/>
          <w:szCs w:val="24"/>
          <w:lang w:val="sq-AL"/>
        </w:rPr>
        <w:t xml:space="preserve"> drejtim,</w:t>
      </w:r>
      <w:r w:rsidR="00621735" w:rsidRPr="00641640">
        <w:rPr>
          <w:rFonts w:ascii="Times New Roman" w:hAnsi="Times New Roman" w:cs="Times New Roman"/>
          <w:noProof/>
          <w:sz w:val="24"/>
          <w:szCs w:val="24"/>
          <w:lang w:val="sq-AL"/>
        </w:rPr>
        <w:t xml:space="preserve"> </w:t>
      </w:r>
      <w:r w:rsidR="009977D0" w:rsidRPr="00641640">
        <w:rPr>
          <w:rFonts w:ascii="Times New Roman" w:hAnsi="Times New Roman" w:cs="Times New Roman"/>
          <w:noProof/>
          <w:sz w:val="24"/>
          <w:szCs w:val="24"/>
          <w:lang w:val="sq-AL"/>
        </w:rPr>
        <w:t>R</w:t>
      </w:r>
      <w:r w:rsidR="00621735" w:rsidRPr="00641640">
        <w:rPr>
          <w:rFonts w:ascii="Times New Roman" w:hAnsi="Times New Roman" w:cs="Times New Roman"/>
          <w:noProof/>
          <w:sz w:val="24"/>
          <w:szCs w:val="24"/>
          <w:lang w:val="sq-AL"/>
        </w:rPr>
        <w:t>AP</w:t>
      </w:r>
      <w:r w:rsidR="009977D0" w:rsidRPr="00641640">
        <w:rPr>
          <w:rFonts w:ascii="Times New Roman" w:hAnsi="Times New Roman" w:cs="Times New Roman"/>
          <w:noProof/>
          <w:sz w:val="24"/>
          <w:szCs w:val="24"/>
          <w:lang w:val="sq-AL"/>
        </w:rPr>
        <w:t xml:space="preserve"> </w:t>
      </w:r>
      <w:r w:rsidR="00621735" w:rsidRPr="00641640">
        <w:rPr>
          <w:rFonts w:ascii="Times New Roman" w:hAnsi="Times New Roman" w:cs="Times New Roman"/>
          <w:noProof/>
          <w:sz w:val="24"/>
          <w:szCs w:val="24"/>
          <w:lang w:val="sq-AL"/>
        </w:rPr>
        <w:t>kontribuon n</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m</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nyr</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direkte n</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progresin drejt zbatimit t</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Agjend</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s 2030</w:t>
      </w:r>
      <w:r w:rsidR="009977D0" w:rsidRPr="00641640">
        <w:rPr>
          <w:rFonts w:ascii="Times New Roman" w:hAnsi="Times New Roman" w:cs="Times New Roman"/>
          <w:noProof/>
          <w:sz w:val="24"/>
          <w:szCs w:val="24"/>
          <w:lang w:val="sq-AL"/>
        </w:rPr>
        <w:t xml:space="preserve"> përmes përmirësimit të transparencës, llogaridhënies dhe efikasitetit të administratës publike në </w:t>
      </w:r>
      <w:r w:rsidR="00AA4855" w:rsidRPr="00641640">
        <w:rPr>
          <w:rFonts w:ascii="Times New Roman" w:hAnsi="Times New Roman" w:cs="Times New Roman"/>
          <w:noProof/>
          <w:sz w:val="24"/>
          <w:szCs w:val="24"/>
          <w:lang w:val="sq-AL"/>
        </w:rPr>
        <w:t>sh</w:t>
      </w:r>
      <w:r w:rsidR="007F00FB" w:rsidRPr="00641640">
        <w:rPr>
          <w:rFonts w:ascii="Times New Roman" w:hAnsi="Times New Roman" w:cs="Times New Roman"/>
          <w:noProof/>
          <w:sz w:val="24"/>
          <w:szCs w:val="24"/>
          <w:lang w:val="sq-AL"/>
        </w:rPr>
        <w:t>ë</w:t>
      </w:r>
      <w:r w:rsidR="00AA4855" w:rsidRPr="00641640">
        <w:rPr>
          <w:rFonts w:ascii="Times New Roman" w:hAnsi="Times New Roman" w:cs="Times New Roman"/>
          <w:noProof/>
          <w:sz w:val="24"/>
          <w:szCs w:val="24"/>
          <w:lang w:val="sq-AL"/>
        </w:rPr>
        <w:t>rbimet ndaj</w:t>
      </w:r>
      <w:r w:rsidR="009977D0" w:rsidRPr="00641640">
        <w:rPr>
          <w:rFonts w:ascii="Times New Roman" w:hAnsi="Times New Roman" w:cs="Times New Roman"/>
          <w:noProof/>
          <w:sz w:val="24"/>
          <w:szCs w:val="24"/>
          <w:lang w:val="sq-AL"/>
        </w:rPr>
        <w:t xml:space="preserve"> qytetarë</w:t>
      </w:r>
      <w:r w:rsidR="00AA4855" w:rsidRPr="00641640">
        <w:rPr>
          <w:rFonts w:ascii="Times New Roman" w:hAnsi="Times New Roman" w:cs="Times New Roman"/>
          <w:noProof/>
          <w:sz w:val="24"/>
          <w:szCs w:val="24"/>
          <w:lang w:val="sq-AL"/>
        </w:rPr>
        <w:t>ve</w:t>
      </w:r>
      <w:r w:rsidR="009977D0" w:rsidRPr="00641640">
        <w:rPr>
          <w:rFonts w:ascii="Times New Roman" w:hAnsi="Times New Roman" w:cs="Times New Roman"/>
          <w:noProof/>
          <w:sz w:val="24"/>
          <w:szCs w:val="24"/>
          <w:lang w:val="sq-AL"/>
        </w:rPr>
        <w:t xml:space="preserve"> dhe biznese</w:t>
      </w:r>
      <w:r w:rsidR="00AA4855" w:rsidRPr="00641640">
        <w:rPr>
          <w:rFonts w:ascii="Times New Roman" w:hAnsi="Times New Roman" w:cs="Times New Roman"/>
          <w:noProof/>
          <w:sz w:val="24"/>
          <w:szCs w:val="24"/>
          <w:lang w:val="sq-AL"/>
        </w:rPr>
        <w:t xml:space="preserve">ve si </w:t>
      </w:r>
      <w:r w:rsidR="009977D0" w:rsidRPr="00641640">
        <w:rPr>
          <w:rFonts w:ascii="Times New Roman" w:hAnsi="Times New Roman" w:cs="Times New Roman"/>
          <w:noProof/>
          <w:sz w:val="24"/>
          <w:szCs w:val="24"/>
          <w:lang w:val="sq-AL"/>
        </w:rPr>
        <w:t xml:space="preserve">në nivel </w:t>
      </w:r>
      <w:r w:rsidR="00AA4855" w:rsidRPr="00641640">
        <w:rPr>
          <w:rFonts w:ascii="Times New Roman" w:hAnsi="Times New Roman" w:cs="Times New Roman"/>
          <w:noProof/>
          <w:sz w:val="24"/>
          <w:szCs w:val="24"/>
          <w:lang w:val="sq-AL"/>
        </w:rPr>
        <w:t xml:space="preserve">vendor ashtu edhe </w:t>
      </w:r>
      <w:r w:rsidR="009977D0" w:rsidRPr="00641640">
        <w:rPr>
          <w:rFonts w:ascii="Times New Roman" w:hAnsi="Times New Roman" w:cs="Times New Roman"/>
          <w:noProof/>
          <w:sz w:val="24"/>
          <w:szCs w:val="24"/>
          <w:lang w:val="sq-AL"/>
        </w:rPr>
        <w:t>kombëtar</w:t>
      </w:r>
      <w:r w:rsidR="007D4B8B" w:rsidRPr="00641640">
        <w:rPr>
          <w:rFonts w:ascii="Times New Roman" w:hAnsi="Times New Roman" w:cs="Times New Roman"/>
          <w:noProof/>
          <w:sz w:val="24"/>
          <w:szCs w:val="24"/>
          <w:lang w:val="sq-AL"/>
        </w:rPr>
        <w:t>.</w:t>
      </w:r>
    </w:p>
    <w:p w14:paraId="5B3082E2" w14:textId="009A228D" w:rsidR="0038118E" w:rsidRPr="00641640" w:rsidRDefault="0004673B"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Për të </w:t>
      </w:r>
      <w:r w:rsidR="00AA4855" w:rsidRPr="00641640">
        <w:rPr>
          <w:rFonts w:ascii="Times New Roman" w:hAnsi="Times New Roman" w:cs="Times New Roman"/>
          <w:noProof/>
          <w:sz w:val="24"/>
          <w:szCs w:val="24"/>
          <w:lang w:val="sq-AL"/>
        </w:rPr>
        <w:t>siguruar p</w:t>
      </w:r>
      <w:r w:rsidR="007F00FB" w:rsidRPr="00641640">
        <w:rPr>
          <w:rFonts w:ascii="Times New Roman" w:hAnsi="Times New Roman" w:cs="Times New Roman"/>
          <w:noProof/>
          <w:sz w:val="24"/>
          <w:szCs w:val="24"/>
          <w:lang w:val="sq-AL"/>
        </w:rPr>
        <w:t>ë</w:t>
      </w:r>
      <w:r w:rsidR="00AA4855" w:rsidRPr="00641640">
        <w:rPr>
          <w:rFonts w:ascii="Times New Roman" w:hAnsi="Times New Roman" w:cs="Times New Roman"/>
          <w:noProof/>
          <w:sz w:val="24"/>
          <w:szCs w:val="24"/>
          <w:lang w:val="sq-AL"/>
        </w:rPr>
        <w:t>rmbushjen e</w:t>
      </w:r>
      <w:r w:rsidRPr="00641640">
        <w:rPr>
          <w:rFonts w:ascii="Times New Roman" w:hAnsi="Times New Roman" w:cs="Times New Roman"/>
          <w:noProof/>
          <w:sz w:val="24"/>
          <w:szCs w:val="24"/>
          <w:lang w:val="sq-AL"/>
        </w:rPr>
        <w:t xml:space="preserve"> prioritete</w:t>
      </w:r>
      <w:r w:rsidR="00AA4855" w:rsidRPr="00641640">
        <w:rPr>
          <w:rFonts w:ascii="Times New Roman" w:hAnsi="Times New Roman" w:cs="Times New Roman"/>
          <w:noProof/>
          <w:sz w:val="24"/>
          <w:szCs w:val="24"/>
          <w:lang w:val="sq-AL"/>
        </w:rPr>
        <w:t>ve n</w:t>
      </w:r>
      <w:r w:rsidR="007F00FB" w:rsidRPr="00641640">
        <w:rPr>
          <w:rFonts w:ascii="Times New Roman" w:hAnsi="Times New Roman" w:cs="Times New Roman"/>
          <w:noProof/>
          <w:sz w:val="24"/>
          <w:szCs w:val="24"/>
          <w:lang w:val="sq-AL"/>
        </w:rPr>
        <w:t>ë</w:t>
      </w:r>
      <w:r w:rsidR="00AA4855" w:rsidRPr="00641640">
        <w:rPr>
          <w:rFonts w:ascii="Times New Roman" w:hAnsi="Times New Roman" w:cs="Times New Roman"/>
          <w:noProof/>
          <w:sz w:val="24"/>
          <w:szCs w:val="24"/>
          <w:lang w:val="sq-AL"/>
        </w:rPr>
        <w:t xml:space="preserve"> kuad</w:t>
      </w:r>
      <w:r w:rsidR="007F00FB" w:rsidRPr="00641640">
        <w:rPr>
          <w:rFonts w:ascii="Times New Roman" w:hAnsi="Times New Roman" w:cs="Times New Roman"/>
          <w:noProof/>
          <w:sz w:val="24"/>
          <w:szCs w:val="24"/>
          <w:lang w:val="sq-AL"/>
        </w:rPr>
        <w:t>ë</w:t>
      </w:r>
      <w:r w:rsidR="00AA4855" w:rsidRPr="00641640">
        <w:rPr>
          <w:rFonts w:ascii="Times New Roman" w:hAnsi="Times New Roman" w:cs="Times New Roman"/>
          <w:noProof/>
          <w:sz w:val="24"/>
          <w:szCs w:val="24"/>
          <w:lang w:val="sq-AL"/>
        </w:rPr>
        <w:t>r</w:t>
      </w:r>
      <w:r w:rsidRPr="00641640">
        <w:rPr>
          <w:rFonts w:ascii="Times New Roman" w:hAnsi="Times New Roman" w:cs="Times New Roman"/>
          <w:noProof/>
          <w:sz w:val="24"/>
          <w:szCs w:val="24"/>
          <w:lang w:val="sq-AL"/>
        </w:rPr>
        <w:t xml:space="preserve"> </w:t>
      </w:r>
      <w:r w:rsidR="00AA4855" w:rsidRPr="00641640">
        <w:rPr>
          <w:rFonts w:ascii="Times New Roman" w:hAnsi="Times New Roman" w:cs="Times New Roman"/>
          <w:noProof/>
          <w:sz w:val="24"/>
          <w:szCs w:val="24"/>
          <w:lang w:val="sq-AL"/>
        </w:rPr>
        <w:t>t</w:t>
      </w:r>
      <w:r w:rsidR="007F00F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00621735" w:rsidRPr="00641640">
        <w:rPr>
          <w:rFonts w:ascii="Times New Roman" w:hAnsi="Times New Roman" w:cs="Times New Roman"/>
          <w:noProof/>
          <w:sz w:val="24"/>
          <w:szCs w:val="24"/>
          <w:lang w:val="sq-AL"/>
        </w:rPr>
        <w:t>integrimit n</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Bashkimi</w:t>
      </w:r>
      <w:r w:rsidR="00621735" w:rsidRPr="00641640">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 xml:space="preserve"> Evropian, </w:t>
      </w:r>
      <w:r w:rsidR="00470F30" w:rsidRPr="00641640">
        <w:rPr>
          <w:rFonts w:ascii="Times New Roman" w:hAnsi="Times New Roman" w:cs="Times New Roman"/>
          <w:noProof/>
          <w:sz w:val="24"/>
          <w:szCs w:val="24"/>
          <w:lang w:val="sq-AL"/>
        </w:rPr>
        <w:t xml:space="preserve">Strategjia shoqërohet nga </w:t>
      </w:r>
      <w:r w:rsidRPr="00641640">
        <w:rPr>
          <w:rFonts w:ascii="Times New Roman" w:hAnsi="Times New Roman" w:cs="Times New Roman"/>
          <w:noProof/>
          <w:sz w:val="24"/>
          <w:szCs w:val="24"/>
          <w:lang w:val="sq-AL"/>
        </w:rPr>
        <w:t>Plani i Veprimit dhe Pasaporta e Treguesve</w:t>
      </w:r>
      <w:r w:rsidR="00621735" w:rsidRPr="00641640">
        <w:rPr>
          <w:rFonts w:ascii="Times New Roman" w:hAnsi="Times New Roman" w:cs="Times New Roman"/>
          <w:noProof/>
          <w:sz w:val="24"/>
          <w:szCs w:val="24"/>
          <w:lang w:val="sq-AL"/>
        </w:rPr>
        <w:t>. K</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to instrumente detajojn</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hapat </w:t>
      </w:r>
      <w:r w:rsidR="00AA4855" w:rsidRPr="00641640">
        <w:rPr>
          <w:rFonts w:ascii="Times New Roman" w:hAnsi="Times New Roman" w:cs="Times New Roman"/>
          <w:noProof/>
          <w:sz w:val="24"/>
          <w:szCs w:val="24"/>
          <w:lang w:val="sq-AL"/>
        </w:rPr>
        <w:t>p</w:t>
      </w:r>
      <w:r w:rsidR="007F00FB" w:rsidRPr="00641640">
        <w:rPr>
          <w:rFonts w:ascii="Times New Roman" w:hAnsi="Times New Roman" w:cs="Times New Roman"/>
          <w:noProof/>
          <w:sz w:val="24"/>
          <w:szCs w:val="24"/>
          <w:lang w:val="sq-AL"/>
        </w:rPr>
        <w:t>ë</w:t>
      </w:r>
      <w:r w:rsidR="00AA4855" w:rsidRPr="00641640">
        <w:rPr>
          <w:rFonts w:ascii="Times New Roman" w:hAnsi="Times New Roman" w:cs="Times New Roman"/>
          <w:noProof/>
          <w:sz w:val="24"/>
          <w:szCs w:val="24"/>
          <w:lang w:val="sq-AL"/>
        </w:rPr>
        <w:t>r</w:t>
      </w:r>
      <w:r w:rsidR="00470F30" w:rsidRPr="00641640">
        <w:rPr>
          <w:rFonts w:ascii="Times New Roman" w:hAnsi="Times New Roman" w:cs="Times New Roman"/>
          <w:noProof/>
          <w:sz w:val="24"/>
          <w:szCs w:val="24"/>
          <w:lang w:val="sq-AL"/>
        </w:rPr>
        <w:t xml:space="preserve"> zbatimi</w:t>
      </w:r>
      <w:r w:rsidR="00AA4855" w:rsidRPr="00641640">
        <w:rPr>
          <w:rFonts w:ascii="Times New Roman" w:hAnsi="Times New Roman" w:cs="Times New Roman"/>
          <w:noProof/>
          <w:sz w:val="24"/>
          <w:szCs w:val="24"/>
          <w:lang w:val="sq-AL"/>
        </w:rPr>
        <w:t>n</w:t>
      </w:r>
      <w:r w:rsidR="00470F30" w:rsidRPr="00641640">
        <w:rPr>
          <w:rFonts w:ascii="Times New Roman" w:hAnsi="Times New Roman" w:cs="Times New Roman"/>
          <w:noProof/>
          <w:sz w:val="24"/>
          <w:szCs w:val="24"/>
          <w:lang w:val="sq-AL"/>
        </w:rPr>
        <w:t xml:space="preserve"> </w:t>
      </w:r>
      <w:r w:rsidR="00AA4855" w:rsidRPr="00641640">
        <w:rPr>
          <w:rFonts w:ascii="Times New Roman" w:hAnsi="Times New Roman" w:cs="Times New Roman"/>
          <w:noProof/>
          <w:sz w:val="24"/>
          <w:szCs w:val="24"/>
          <w:lang w:val="sq-AL"/>
        </w:rPr>
        <w:t>e</w:t>
      </w:r>
      <w:r w:rsidR="00470F30" w:rsidRPr="00641640">
        <w:rPr>
          <w:rFonts w:ascii="Times New Roman" w:hAnsi="Times New Roman" w:cs="Times New Roman"/>
          <w:noProof/>
          <w:sz w:val="24"/>
          <w:szCs w:val="24"/>
          <w:lang w:val="sq-AL"/>
        </w:rPr>
        <w:t xml:space="preserve"> </w:t>
      </w:r>
      <w:r w:rsidR="00BF64A6" w:rsidRPr="00641640">
        <w:rPr>
          <w:rFonts w:ascii="Times New Roman" w:hAnsi="Times New Roman" w:cs="Times New Roman"/>
          <w:noProof/>
          <w:sz w:val="24"/>
          <w:szCs w:val="24"/>
          <w:lang w:val="sq-AL"/>
        </w:rPr>
        <w:t>S</w:t>
      </w:r>
      <w:r w:rsidR="00470F30" w:rsidRPr="00641640">
        <w:rPr>
          <w:rFonts w:ascii="Times New Roman" w:hAnsi="Times New Roman" w:cs="Times New Roman"/>
          <w:noProof/>
          <w:sz w:val="24"/>
          <w:szCs w:val="24"/>
          <w:lang w:val="sq-AL"/>
        </w:rPr>
        <w:t>trategjisë për periudhën afatmesme</w:t>
      </w:r>
      <w:r w:rsidR="00BF64A6" w:rsidRPr="00641640">
        <w:rPr>
          <w:rFonts w:ascii="Times New Roman" w:hAnsi="Times New Roman" w:cs="Times New Roman"/>
          <w:noProof/>
          <w:sz w:val="24"/>
          <w:szCs w:val="24"/>
          <w:lang w:val="sq-AL"/>
        </w:rPr>
        <w:t>,</w:t>
      </w:r>
      <w:r w:rsidR="00621735" w:rsidRPr="00641640">
        <w:rPr>
          <w:rFonts w:ascii="Times New Roman" w:hAnsi="Times New Roman" w:cs="Times New Roman"/>
          <w:noProof/>
          <w:sz w:val="24"/>
          <w:szCs w:val="24"/>
          <w:lang w:val="sq-AL"/>
        </w:rPr>
        <w:t xml:space="preserve"> si </w:t>
      </w:r>
      <w:r w:rsidR="00470F30" w:rsidRPr="00641640">
        <w:rPr>
          <w:rFonts w:ascii="Times New Roman" w:hAnsi="Times New Roman" w:cs="Times New Roman"/>
          <w:noProof/>
          <w:sz w:val="24"/>
          <w:szCs w:val="24"/>
          <w:lang w:val="sq-AL"/>
        </w:rPr>
        <w:t xml:space="preserve">dhe </w:t>
      </w:r>
      <w:r w:rsidR="00621735" w:rsidRPr="00641640">
        <w:rPr>
          <w:rFonts w:ascii="Times New Roman" w:hAnsi="Times New Roman" w:cs="Times New Roman"/>
          <w:noProof/>
          <w:sz w:val="24"/>
          <w:szCs w:val="24"/>
          <w:lang w:val="sq-AL"/>
        </w:rPr>
        <w:t>shtrojn</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 terrenin p</w:t>
      </w:r>
      <w:r w:rsidR="00064AC5" w:rsidRPr="00641640">
        <w:rPr>
          <w:rFonts w:ascii="Times New Roman" w:hAnsi="Times New Roman" w:cs="Times New Roman"/>
          <w:noProof/>
          <w:sz w:val="24"/>
          <w:szCs w:val="24"/>
          <w:lang w:val="sq-AL"/>
        </w:rPr>
        <w:t>ë</w:t>
      </w:r>
      <w:r w:rsidR="00621735" w:rsidRPr="00641640">
        <w:rPr>
          <w:rFonts w:ascii="Times New Roman" w:hAnsi="Times New Roman" w:cs="Times New Roman"/>
          <w:noProof/>
          <w:sz w:val="24"/>
          <w:szCs w:val="24"/>
          <w:lang w:val="sq-AL"/>
        </w:rPr>
        <w:t xml:space="preserve">r </w:t>
      </w:r>
      <w:r w:rsidR="00470F30" w:rsidRPr="00641640">
        <w:rPr>
          <w:rFonts w:ascii="Times New Roman" w:hAnsi="Times New Roman" w:cs="Times New Roman"/>
          <w:noProof/>
          <w:sz w:val="24"/>
          <w:szCs w:val="24"/>
          <w:lang w:val="sq-AL"/>
        </w:rPr>
        <w:t>miratimi</w:t>
      </w:r>
      <w:r w:rsidR="00621735" w:rsidRPr="00641640">
        <w:rPr>
          <w:rFonts w:ascii="Times New Roman" w:hAnsi="Times New Roman" w:cs="Times New Roman"/>
          <w:noProof/>
          <w:sz w:val="24"/>
          <w:szCs w:val="24"/>
          <w:lang w:val="sq-AL"/>
        </w:rPr>
        <w:t>n</w:t>
      </w:r>
      <w:r w:rsidR="00470F30" w:rsidRPr="00641640">
        <w:rPr>
          <w:rFonts w:ascii="Times New Roman" w:hAnsi="Times New Roman" w:cs="Times New Roman"/>
          <w:noProof/>
          <w:sz w:val="24"/>
          <w:szCs w:val="24"/>
          <w:lang w:val="sq-AL"/>
        </w:rPr>
        <w:t xml:space="preserve"> </w:t>
      </w:r>
      <w:r w:rsidR="00621735" w:rsidRPr="00641640">
        <w:rPr>
          <w:rFonts w:ascii="Times New Roman" w:hAnsi="Times New Roman" w:cs="Times New Roman"/>
          <w:noProof/>
          <w:sz w:val="24"/>
          <w:szCs w:val="24"/>
          <w:lang w:val="sq-AL"/>
        </w:rPr>
        <w:t>e</w:t>
      </w:r>
      <w:r w:rsidR="00470F30" w:rsidRPr="00641640">
        <w:rPr>
          <w:rFonts w:ascii="Times New Roman" w:hAnsi="Times New Roman" w:cs="Times New Roman"/>
          <w:noProof/>
          <w:sz w:val="24"/>
          <w:szCs w:val="24"/>
          <w:lang w:val="sq-AL"/>
        </w:rPr>
        <w:t xml:space="preserve"> një </w:t>
      </w:r>
      <w:r w:rsidR="00621735" w:rsidRPr="00641640">
        <w:rPr>
          <w:rFonts w:ascii="Times New Roman" w:hAnsi="Times New Roman" w:cs="Times New Roman"/>
          <w:noProof/>
          <w:sz w:val="24"/>
          <w:szCs w:val="24"/>
          <w:lang w:val="sq-AL"/>
        </w:rPr>
        <w:t>P</w:t>
      </w:r>
      <w:r w:rsidR="00470F30" w:rsidRPr="00641640">
        <w:rPr>
          <w:rFonts w:ascii="Times New Roman" w:hAnsi="Times New Roman" w:cs="Times New Roman"/>
          <w:noProof/>
          <w:sz w:val="24"/>
          <w:szCs w:val="24"/>
          <w:lang w:val="sq-AL"/>
        </w:rPr>
        <w:t xml:space="preserve">lani të ri </w:t>
      </w:r>
      <w:r w:rsidR="00621735" w:rsidRPr="00641640">
        <w:rPr>
          <w:rFonts w:ascii="Times New Roman" w:hAnsi="Times New Roman" w:cs="Times New Roman"/>
          <w:noProof/>
          <w:sz w:val="24"/>
          <w:szCs w:val="24"/>
          <w:lang w:val="sq-AL"/>
        </w:rPr>
        <w:t>V</w:t>
      </w:r>
      <w:r w:rsidR="00470F30" w:rsidRPr="00641640">
        <w:rPr>
          <w:rFonts w:ascii="Times New Roman" w:hAnsi="Times New Roman" w:cs="Times New Roman"/>
          <w:noProof/>
          <w:sz w:val="24"/>
          <w:szCs w:val="24"/>
          <w:lang w:val="sq-AL"/>
        </w:rPr>
        <w:t xml:space="preserve">eprimi për periudhën pasuese, </w:t>
      </w:r>
      <w:r w:rsidR="00282FFE" w:rsidRPr="00641640">
        <w:rPr>
          <w:rFonts w:ascii="Times New Roman" w:hAnsi="Times New Roman" w:cs="Times New Roman"/>
          <w:noProof/>
          <w:sz w:val="24"/>
          <w:szCs w:val="24"/>
          <w:lang w:val="sq-AL"/>
        </w:rPr>
        <w:t>duke siguruar q</w:t>
      </w:r>
      <w:r w:rsidR="00064AC5" w:rsidRPr="00641640">
        <w:rPr>
          <w:rFonts w:ascii="Times New Roman" w:hAnsi="Times New Roman" w:cs="Times New Roman"/>
          <w:noProof/>
          <w:sz w:val="24"/>
          <w:szCs w:val="24"/>
          <w:lang w:val="sq-AL"/>
        </w:rPr>
        <w:t>ë</w:t>
      </w:r>
      <w:r w:rsidR="00282FFE" w:rsidRPr="00641640">
        <w:rPr>
          <w:rFonts w:ascii="Times New Roman" w:hAnsi="Times New Roman" w:cs="Times New Roman"/>
          <w:noProof/>
          <w:sz w:val="24"/>
          <w:szCs w:val="24"/>
          <w:lang w:val="sq-AL"/>
        </w:rPr>
        <w:t xml:space="preserve"> Strategjia t</w:t>
      </w:r>
      <w:r w:rsidR="00064AC5" w:rsidRPr="00641640">
        <w:rPr>
          <w:rFonts w:ascii="Times New Roman" w:hAnsi="Times New Roman" w:cs="Times New Roman"/>
          <w:noProof/>
          <w:sz w:val="24"/>
          <w:szCs w:val="24"/>
          <w:lang w:val="sq-AL"/>
        </w:rPr>
        <w:t>ë</w:t>
      </w:r>
      <w:r w:rsidR="00282FFE" w:rsidRPr="00641640">
        <w:rPr>
          <w:rFonts w:ascii="Times New Roman" w:hAnsi="Times New Roman" w:cs="Times New Roman"/>
          <w:noProof/>
          <w:sz w:val="24"/>
          <w:szCs w:val="24"/>
          <w:lang w:val="sq-AL"/>
        </w:rPr>
        <w:t xml:space="preserve"> zbatohet </w:t>
      </w:r>
      <w:r w:rsidR="00470F30" w:rsidRPr="00641640">
        <w:rPr>
          <w:rFonts w:ascii="Times New Roman" w:hAnsi="Times New Roman" w:cs="Times New Roman"/>
          <w:noProof/>
          <w:sz w:val="24"/>
          <w:szCs w:val="24"/>
          <w:lang w:val="sq-AL"/>
        </w:rPr>
        <w:t xml:space="preserve">në </w:t>
      </w:r>
      <w:r w:rsidR="00BF64A6"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BF64A6" w:rsidRPr="00641640">
        <w:rPr>
          <w:rFonts w:ascii="Times New Roman" w:hAnsi="Times New Roman" w:cs="Times New Roman"/>
          <w:noProof/>
          <w:sz w:val="24"/>
          <w:szCs w:val="24"/>
          <w:lang w:val="sq-AL"/>
        </w:rPr>
        <w:t xml:space="preserve">rshtatje </w:t>
      </w:r>
      <w:r w:rsidR="00470F30" w:rsidRPr="00641640">
        <w:rPr>
          <w:rFonts w:ascii="Times New Roman" w:hAnsi="Times New Roman" w:cs="Times New Roman"/>
          <w:noProof/>
          <w:sz w:val="24"/>
          <w:szCs w:val="24"/>
          <w:lang w:val="sq-AL"/>
        </w:rPr>
        <w:t xml:space="preserve">të plotë </w:t>
      </w:r>
      <w:r w:rsidR="00AA4855" w:rsidRPr="00641640">
        <w:rPr>
          <w:rFonts w:ascii="Times New Roman" w:hAnsi="Times New Roman" w:cs="Times New Roman"/>
          <w:noProof/>
          <w:sz w:val="24"/>
          <w:szCs w:val="24"/>
          <w:lang w:val="sq-AL"/>
        </w:rPr>
        <w:t>me</w:t>
      </w:r>
      <w:r w:rsidR="00470F30" w:rsidRPr="00641640">
        <w:rPr>
          <w:rFonts w:ascii="Times New Roman" w:hAnsi="Times New Roman" w:cs="Times New Roman"/>
          <w:noProof/>
          <w:sz w:val="24"/>
          <w:szCs w:val="24"/>
          <w:lang w:val="sq-AL"/>
        </w:rPr>
        <w:t xml:space="preserve"> dinamika</w:t>
      </w:r>
      <w:r w:rsidR="00AA4855" w:rsidRPr="00641640">
        <w:rPr>
          <w:rFonts w:ascii="Times New Roman" w:hAnsi="Times New Roman" w:cs="Times New Roman"/>
          <w:noProof/>
          <w:sz w:val="24"/>
          <w:szCs w:val="24"/>
          <w:lang w:val="sq-AL"/>
        </w:rPr>
        <w:t>t</w:t>
      </w:r>
      <w:r w:rsidR="00470F30" w:rsidRPr="00641640">
        <w:rPr>
          <w:rFonts w:ascii="Times New Roman" w:hAnsi="Times New Roman" w:cs="Times New Roman"/>
          <w:noProof/>
          <w:sz w:val="24"/>
          <w:szCs w:val="24"/>
          <w:lang w:val="sq-AL"/>
        </w:rPr>
        <w:t xml:space="preserve"> </w:t>
      </w:r>
      <w:r w:rsidR="00282FFE" w:rsidRPr="00641640">
        <w:rPr>
          <w:rFonts w:ascii="Times New Roman" w:hAnsi="Times New Roman" w:cs="Times New Roman"/>
          <w:noProof/>
          <w:sz w:val="24"/>
          <w:szCs w:val="24"/>
          <w:lang w:val="sq-AL"/>
        </w:rPr>
        <w:t>e koh</w:t>
      </w:r>
      <w:r w:rsidR="00064AC5" w:rsidRPr="00641640">
        <w:rPr>
          <w:rFonts w:ascii="Times New Roman" w:hAnsi="Times New Roman" w:cs="Times New Roman"/>
          <w:noProof/>
          <w:sz w:val="24"/>
          <w:szCs w:val="24"/>
          <w:lang w:val="sq-AL"/>
        </w:rPr>
        <w:t>ë</w:t>
      </w:r>
      <w:r w:rsidR="00282FFE" w:rsidRPr="00641640">
        <w:rPr>
          <w:rFonts w:ascii="Times New Roman" w:hAnsi="Times New Roman" w:cs="Times New Roman"/>
          <w:noProof/>
          <w:sz w:val="24"/>
          <w:szCs w:val="24"/>
          <w:lang w:val="sq-AL"/>
        </w:rPr>
        <w:t>s</w:t>
      </w:r>
      <w:r w:rsidR="00470F30" w:rsidRPr="00641640">
        <w:rPr>
          <w:rFonts w:ascii="Times New Roman" w:hAnsi="Times New Roman" w:cs="Times New Roman"/>
          <w:noProof/>
          <w:sz w:val="24"/>
          <w:szCs w:val="24"/>
          <w:lang w:val="sq-AL"/>
        </w:rPr>
        <w:t xml:space="preserve">. </w:t>
      </w:r>
    </w:p>
    <w:p w14:paraId="4B99C707" w14:textId="6D1003F8" w:rsidR="000A4B55" w:rsidRPr="00641640" w:rsidRDefault="000A4B55" w:rsidP="003A395D">
      <w:pPr>
        <w:spacing w:line="276" w:lineRule="auto"/>
        <w:jc w:val="both"/>
        <w:rPr>
          <w:rFonts w:ascii="Times New Roman" w:hAnsi="Times New Roman" w:cs="Times New Roman"/>
          <w:noProof/>
          <w:sz w:val="24"/>
          <w:szCs w:val="24"/>
          <w:lang w:val="sq-AL"/>
        </w:rPr>
      </w:pPr>
    </w:p>
    <w:p w14:paraId="17F83503" w14:textId="457A7417" w:rsidR="00A555BF" w:rsidRPr="00641640" w:rsidRDefault="006A5D2B" w:rsidP="003A395D">
      <w:pPr>
        <w:pStyle w:val="Heading2"/>
        <w:spacing w:line="276" w:lineRule="auto"/>
        <w:rPr>
          <w:rFonts w:ascii="Times New Roman" w:hAnsi="Times New Roman" w:cs="Times New Roman"/>
          <w:b/>
          <w:bCs/>
          <w:noProof/>
          <w:color w:val="C45911" w:themeColor="accent2" w:themeShade="BF"/>
          <w:sz w:val="24"/>
          <w:szCs w:val="24"/>
          <w:lang w:val="sq-AL"/>
        </w:rPr>
      </w:pPr>
      <w:bookmarkStart w:id="12" w:name="_Toc189510613"/>
      <w:r w:rsidRPr="00641640">
        <w:rPr>
          <w:rFonts w:ascii="Times New Roman" w:hAnsi="Times New Roman" w:cs="Times New Roman"/>
          <w:b/>
          <w:bCs/>
          <w:noProof/>
          <w:color w:val="C45911" w:themeColor="accent2" w:themeShade="BF"/>
          <w:sz w:val="24"/>
          <w:szCs w:val="24"/>
          <w:lang w:val="sq-AL"/>
        </w:rPr>
        <w:t>1.2</w:t>
      </w:r>
      <w:r w:rsidR="005436F5" w:rsidRPr="00641640">
        <w:rPr>
          <w:rFonts w:ascii="Times New Roman" w:hAnsi="Times New Roman" w:cs="Times New Roman"/>
          <w:b/>
          <w:bCs/>
          <w:noProof/>
          <w:color w:val="C45911" w:themeColor="accent2" w:themeShade="BF"/>
          <w:sz w:val="24"/>
          <w:szCs w:val="24"/>
          <w:lang w:val="sq-AL"/>
        </w:rPr>
        <w:t>.</w:t>
      </w:r>
      <w:r w:rsidRPr="00641640">
        <w:rPr>
          <w:rFonts w:ascii="Times New Roman" w:hAnsi="Times New Roman" w:cs="Times New Roman"/>
          <w:b/>
          <w:bCs/>
          <w:noProof/>
          <w:color w:val="C45911" w:themeColor="accent2" w:themeShade="BF"/>
          <w:sz w:val="24"/>
          <w:szCs w:val="24"/>
          <w:lang w:val="sq-AL"/>
        </w:rPr>
        <w:t xml:space="preserve"> </w:t>
      </w:r>
      <w:r w:rsidR="000A4B55" w:rsidRPr="00641640">
        <w:rPr>
          <w:rFonts w:ascii="Times New Roman" w:hAnsi="Times New Roman" w:cs="Times New Roman"/>
          <w:b/>
          <w:bCs/>
          <w:noProof/>
          <w:color w:val="C45911" w:themeColor="accent2" w:themeShade="BF"/>
          <w:sz w:val="24"/>
          <w:szCs w:val="24"/>
          <w:lang w:val="sq-AL"/>
        </w:rPr>
        <w:t xml:space="preserve">Procesi i </w:t>
      </w:r>
      <w:r w:rsidR="00087063">
        <w:rPr>
          <w:rFonts w:ascii="Times New Roman" w:hAnsi="Times New Roman" w:cs="Times New Roman"/>
          <w:b/>
          <w:bCs/>
          <w:noProof/>
          <w:color w:val="C45911" w:themeColor="accent2" w:themeShade="BF"/>
          <w:sz w:val="24"/>
          <w:szCs w:val="24"/>
          <w:lang w:val="sq-AL"/>
        </w:rPr>
        <w:t>h</w:t>
      </w:r>
      <w:r w:rsidR="000A4B55" w:rsidRPr="00641640">
        <w:rPr>
          <w:rFonts w:ascii="Times New Roman" w:hAnsi="Times New Roman" w:cs="Times New Roman"/>
          <w:b/>
          <w:bCs/>
          <w:noProof/>
          <w:color w:val="C45911" w:themeColor="accent2" w:themeShade="BF"/>
          <w:sz w:val="24"/>
          <w:szCs w:val="24"/>
          <w:lang w:val="sq-AL"/>
        </w:rPr>
        <w:t>artimit të Strategjisë Ndërsektoriale të RAP</w:t>
      </w:r>
      <w:bookmarkEnd w:id="12"/>
    </w:p>
    <w:p w14:paraId="55844FBE" w14:textId="4C26DD72" w:rsidR="001C73C4" w:rsidRPr="00641640" w:rsidRDefault="001C73C4" w:rsidP="003A395D">
      <w:pPr>
        <w:spacing w:after="0" w:line="276" w:lineRule="auto"/>
        <w:rPr>
          <w:rFonts w:ascii="Times New Roman" w:hAnsi="Times New Roman" w:cs="Times New Roman"/>
          <w:noProof/>
          <w:sz w:val="24"/>
          <w:szCs w:val="24"/>
          <w:lang w:val="sq-AL"/>
        </w:rPr>
      </w:pPr>
    </w:p>
    <w:p w14:paraId="0BC60D45" w14:textId="47A5E9DA" w:rsidR="00600EC7" w:rsidRPr="00641640" w:rsidRDefault="00C659F2"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Hartimi i Strategjisë </w:t>
      </w:r>
      <w:r w:rsidR="00600EC7" w:rsidRPr="00641640">
        <w:rPr>
          <w:rFonts w:ascii="Times New Roman" w:hAnsi="Times New Roman" w:cs="Times New Roman"/>
          <w:noProof/>
          <w:sz w:val="24"/>
          <w:szCs w:val="24"/>
          <w:lang w:val="sq-AL"/>
        </w:rPr>
        <w:t xml:space="preserve">Ndërsektoriale për Reformën  në Administratën Publike </w:t>
      </w:r>
      <w:r w:rsidRPr="00641640">
        <w:rPr>
          <w:rFonts w:ascii="Times New Roman" w:hAnsi="Times New Roman" w:cs="Times New Roman"/>
          <w:noProof/>
          <w:sz w:val="24"/>
          <w:szCs w:val="24"/>
          <w:lang w:val="sq-AL"/>
        </w:rPr>
        <w:t>202</w:t>
      </w:r>
      <w:r w:rsidR="009D2D28" w:rsidRPr="00641640">
        <w:rPr>
          <w:rFonts w:ascii="Times New Roman" w:hAnsi="Times New Roman" w:cs="Times New Roman"/>
          <w:noProof/>
          <w:sz w:val="24"/>
          <w:szCs w:val="24"/>
          <w:lang w:val="sq-AL"/>
        </w:rPr>
        <w:t>5</w:t>
      </w:r>
      <w:r w:rsidR="00AA4855"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w:t>
      </w:r>
      <w:r w:rsidR="00AA4855"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2030 filloi me </w:t>
      </w:r>
      <w:r w:rsidR="00F53622" w:rsidRPr="00641640">
        <w:rPr>
          <w:rFonts w:ascii="Times New Roman" w:hAnsi="Times New Roman" w:cs="Times New Roman"/>
          <w:noProof/>
          <w:sz w:val="24"/>
          <w:szCs w:val="24"/>
          <w:lang w:val="sq-AL"/>
        </w:rPr>
        <w:t>ngritjen e Grupit Nd</w:t>
      </w:r>
      <w:r w:rsidR="00064AC5" w:rsidRPr="00641640">
        <w:rPr>
          <w:rFonts w:ascii="Times New Roman" w:hAnsi="Times New Roman" w:cs="Times New Roman"/>
          <w:noProof/>
          <w:sz w:val="24"/>
          <w:szCs w:val="24"/>
          <w:lang w:val="sq-AL"/>
        </w:rPr>
        <w:t>ë</w:t>
      </w:r>
      <w:r w:rsidR="00F53622" w:rsidRPr="00641640">
        <w:rPr>
          <w:rFonts w:ascii="Times New Roman" w:hAnsi="Times New Roman" w:cs="Times New Roman"/>
          <w:noProof/>
          <w:sz w:val="24"/>
          <w:szCs w:val="24"/>
          <w:lang w:val="sq-AL"/>
        </w:rPr>
        <w:t>rinstitucional t</w:t>
      </w:r>
      <w:r w:rsidR="00064AC5" w:rsidRPr="00641640">
        <w:rPr>
          <w:rFonts w:ascii="Times New Roman" w:hAnsi="Times New Roman" w:cs="Times New Roman"/>
          <w:noProof/>
          <w:sz w:val="24"/>
          <w:szCs w:val="24"/>
          <w:lang w:val="sq-AL"/>
        </w:rPr>
        <w:t>ë</w:t>
      </w:r>
      <w:r w:rsidR="00F53622" w:rsidRPr="00641640">
        <w:rPr>
          <w:rFonts w:ascii="Times New Roman" w:hAnsi="Times New Roman" w:cs="Times New Roman"/>
          <w:noProof/>
          <w:sz w:val="24"/>
          <w:szCs w:val="24"/>
          <w:lang w:val="sq-AL"/>
        </w:rPr>
        <w:t xml:space="preserve"> Pun</w:t>
      </w:r>
      <w:r w:rsidR="00064AC5" w:rsidRPr="00641640">
        <w:rPr>
          <w:rFonts w:ascii="Times New Roman" w:hAnsi="Times New Roman" w:cs="Times New Roman"/>
          <w:noProof/>
          <w:sz w:val="24"/>
          <w:szCs w:val="24"/>
          <w:lang w:val="sq-AL"/>
        </w:rPr>
        <w:t>ë</w:t>
      </w:r>
      <w:r w:rsidR="00F53622" w:rsidRPr="00641640">
        <w:rPr>
          <w:rFonts w:ascii="Times New Roman" w:hAnsi="Times New Roman" w:cs="Times New Roman"/>
          <w:noProof/>
          <w:sz w:val="24"/>
          <w:szCs w:val="24"/>
          <w:lang w:val="sq-AL"/>
        </w:rPr>
        <w:t>s p</w:t>
      </w:r>
      <w:r w:rsidR="00064AC5" w:rsidRPr="00641640">
        <w:rPr>
          <w:rFonts w:ascii="Times New Roman" w:hAnsi="Times New Roman" w:cs="Times New Roman"/>
          <w:noProof/>
          <w:sz w:val="24"/>
          <w:szCs w:val="24"/>
          <w:lang w:val="sq-AL"/>
        </w:rPr>
        <w:t>ë</w:t>
      </w:r>
      <w:r w:rsidR="00F53622" w:rsidRPr="00641640">
        <w:rPr>
          <w:rFonts w:ascii="Times New Roman" w:hAnsi="Times New Roman" w:cs="Times New Roman"/>
          <w:noProof/>
          <w:sz w:val="24"/>
          <w:szCs w:val="24"/>
          <w:lang w:val="sq-AL"/>
        </w:rPr>
        <w:t xml:space="preserve">r hartimin e </w:t>
      </w:r>
      <w:r w:rsidR="00600EC7" w:rsidRPr="00641640">
        <w:rPr>
          <w:rFonts w:ascii="Times New Roman" w:hAnsi="Times New Roman" w:cs="Times New Roman"/>
          <w:noProof/>
          <w:sz w:val="24"/>
          <w:szCs w:val="24"/>
          <w:lang w:val="sq-AL"/>
        </w:rPr>
        <w:t xml:space="preserve">Strategjisë Ndërsektoriale për Reformën në Administratën Publike </w:t>
      </w:r>
      <w:r w:rsidR="00072E54">
        <w:rPr>
          <w:rFonts w:ascii="Times New Roman" w:hAnsi="Times New Roman" w:cs="Times New Roman"/>
          <w:noProof/>
          <w:sz w:val="24"/>
          <w:szCs w:val="24"/>
          <w:lang w:val="sq-AL"/>
        </w:rPr>
        <w:t>2025</w:t>
      </w:r>
      <w:r w:rsidR="00AA4855" w:rsidRPr="00641640">
        <w:rPr>
          <w:rFonts w:ascii="Times New Roman" w:hAnsi="Times New Roman" w:cs="Times New Roman"/>
          <w:noProof/>
          <w:sz w:val="24"/>
          <w:szCs w:val="24"/>
          <w:lang w:val="sq-AL"/>
        </w:rPr>
        <w:t xml:space="preserve"> </w:t>
      </w:r>
      <w:r w:rsidR="00600EC7" w:rsidRPr="00641640">
        <w:rPr>
          <w:rFonts w:ascii="Times New Roman" w:hAnsi="Times New Roman" w:cs="Times New Roman"/>
          <w:noProof/>
          <w:sz w:val="24"/>
          <w:szCs w:val="24"/>
          <w:lang w:val="sq-AL"/>
        </w:rPr>
        <w:t>-</w:t>
      </w:r>
      <w:r w:rsidR="00AA4855" w:rsidRPr="00641640">
        <w:rPr>
          <w:rFonts w:ascii="Times New Roman" w:hAnsi="Times New Roman" w:cs="Times New Roman"/>
          <w:noProof/>
          <w:sz w:val="24"/>
          <w:szCs w:val="24"/>
          <w:lang w:val="sq-AL"/>
        </w:rPr>
        <w:t xml:space="preserve"> </w:t>
      </w:r>
      <w:r w:rsidR="00600EC7" w:rsidRPr="00641640">
        <w:rPr>
          <w:rFonts w:ascii="Times New Roman" w:hAnsi="Times New Roman" w:cs="Times New Roman"/>
          <w:noProof/>
          <w:sz w:val="24"/>
          <w:szCs w:val="24"/>
          <w:lang w:val="sq-AL"/>
        </w:rPr>
        <w:t xml:space="preserve">2030 dhe </w:t>
      </w:r>
      <w:r w:rsidR="00282FFE" w:rsidRPr="00641640">
        <w:rPr>
          <w:rFonts w:ascii="Times New Roman" w:hAnsi="Times New Roman" w:cs="Times New Roman"/>
          <w:noProof/>
          <w:sz w:val="24"/>
          <w:szCs w:val="24"/>
          <w:lang w:val="sq-AL"/>
        </w:rPr>
        <w:t>P</w:t>
      </w:r>
      <w:r w:rsidR="00600EC7" w:rsidRPr="00641640">
        <w:rPr>
          <w:rFonts w:ascii="Times New Roman" w:hAnsi="Times New Roman" w:cs="Times New Roman"/>
          <w:noProof/>
          <w:sz w:val="24"/>
          <w:szCs w:val="24"/>
          <w:lang w:val="sq-AL"/>
        </w:rPr>
        <w:t xml:space="preserve">lanit të </w:t>
      </w:r>
      <w:r w:rsidR="00282FFE" w:rsidRPr="00641640">
        <w:rPr>
          <w:rFonts w:ascii="Times New Roman" w:hAnsi="Times New Roman" w:cs="Times New Roman"/>
          <w:noProof/>
          <w:sz w:val="24"/>
          <w:szCs w:val="24"/>
          <w:lang w:val="sq-AL"/>
        </w:rPr>
        <w:t>V</w:t>
      </w:r>
      <w:r w:rsidR="00600EC7" w:rsidRPr="00641640">
        <w:rPr>
          <w:rFonts w:ascii="Times New Roman" w:hAnsi="Times New Roman" w:cs="Times New Roman"/>
          <w:noProof/>
          <w:sz w:val="24"/>
          <w:szCs w:val="24"/>
          <w:lang w:val="sq-AL"/>
        </w:rPr>
        <w:t>eprimit</w:t>
      </w:r>
      <w:r w:rsidRPr="00641640">
        <w:rPr>
          <w:rFonts w:ascii="Times New Roman" w:hAnsi="Times New Roman" w:cs="Times New Roman"/>
          <w:noProof/>
          <w:sz w:val="24"/>
          <w:szCs w:val="24"/>
          <w:lang w:val="sq-AL"/>
        </w:rPr>
        <w:t>,</w:t>
      </w:r>
      <w:r w:rsidR="00F53622" w:rsidRPr="00641640">
        <w:rPr>
          <w:rFonts w:ascii="Times New Roman" w:hAnsi="Times New Roman" w:cs="Times New Roman"/>
          <w:noProof/>
          <w:sz w:val="24"/>
          <w:szCs w:val="24"/>
          <w:lang w:val="sq-AL"/>
        </w:rPr>
        <w:t xml:space="preserve"> me miratimin e</w:t>
      </w:r>
      <w:r w:rsidR="00AA4855" w:rsidRPr="00641640">
        <w:rPr>
          <w:rFonts w:ascii="Times New Roman" w:hAnsi="Times New Roman" w:cs="Times New Roman"/>
          <w:noProof/>
          <w:sz w:val="24"/>
          <w:szCs w:val="24"/>
          <w:lang w:val="sq-AL"/>
        </w:rPr>
        <w:t xml:space="preserve"> </w:t>
      </w:r>
      <w:r w:rsidR="00FB094E" w:rsidRPr="00641640">
        <w:rPr>
          <w:rFonts w:ascii="Times New Roman" w:hAnsi="Times New Roman" w:cs="Times New Roman"/>
          <w:noProof/>
          <w:sz w:val="24"/>
          <w:szCs w:val="24"/>
          <w:lang w:val="sq-AL"/>
        </w:rPr>
        <w:t>u</w:t>
      </w:r>
      <w:r w:rsidR="00600EC7" w:rsidRPr="00641640">
        <w:rPr>
          <w:rFonts w:ascii="Times New Roman" w:hAnsi="Times New Roman" w:cs="Times New Roman"/>
          <w:noProof/>
          <w:sz w:val="24"/>
          <w:szCs w:val="24"/>
          <w:lang w:val="sq-AL"/>
        </w:rPr>
        <w:t>rdh</w:t>
      </w:r>
      <w:r w:rsidR="00F53622" w:rsidRPr="00641640">
        <w:rPr>
          <w:rFonts w:ascii="Times New Roman" w:hAnsi="Times New Roman" w:cs="Times New Roman"/>
          <w:noProof/>
          <w:sz w:val="24"/>
          <w:szCs w:val="24"/>
          <w:lang w:val="sq-AL"/>
        </w:rPr>
        <w:t>r</w:t>
      </w:r>
      <w:r w:rsidR="00600EC7" w:rsidRPr="00641640">
        <w:rPr>
          <w:rFonts w:ascii="Times New Roman" w:hAnsi="Times New Roman" w:cs="Times New Roman"/>
          <w:noProof/>
          <w:sz w:val="24"/>
          <w:szCs w:val="24"/>
          <w:lang w:val="sq-AL"/>
        </w:rPr>
        <w:t>i</w:t>
      </w:r>
      <w:r w:rsidR="00AA4855" w:rsidRPr="00641640">
        <w:rPr>
          <w:rFonts w:ascii="Times New Roman" w:hAnsi="Times New Roman" w:cs="Times New Roman"/>
          <w:noProof/>
          <w:sz w:val="24"/>
          <w:szCs w:val="24"/>
          <w:lang w:val="sq-AL"/>
        </w:rPr>
        <w:t>t</w:t>
      </w:r>
      <w:r w:rsidR="00600EC7" w:rsidRPr="00641640">
        <w:rPr>
          <w:rFonts w:ascii="Times New Roman" w:hAnsi="Times New Roman" w:cs="Times New Roman"/>
          <w:noProof/>
          <w:sz w:val="24"/>
          <w:szCs w:val="24"/>
          <w:lang w:val="sq-AL"/>
        </w:rPr>
        <w:t xml:space="preserve"> </w:t>
      </w:r>
      <w:r w:rsidR="00FB094E" w:rsidRPr="00641640">
        <w:rPr>
          <w:rFonts w:ascii="Times New Roman" w:hAnsi="Times New Roman" w:cs="Times New Roman"/>
          <w:noProof/>
          <w:sz w:val="24"/>
          <w:szCs w:val="24"/>
          <w:lang w:val="sq-AL"/>
        </w:rPr>
        <w:t xml:space="preserve">nr. 92, datë 01.08.2023, </w:t>
      </w:r>
      <w:r w:rsidR="00AA4855" w:rsidRPr="00641640">
        <w:rPr>
          <w:rFonts w:ascii="Times New Roman" w:hAnsi="Times New Roman" w:cs="Times New Roman"/>
          <w:noProof/>
          <w:sz w:val="24"/>
          <w:szCs w:val="24"/>
          <w:lang w:val="sq-AL"/>
        </w:rPr>
        <w:t>t</w:t>
      </w:r>
      <w:r w:rsidR="007F00FB" w:rsidRPr="00641640">
        <w:rPr>
          <w:rFonts w:ascii="Times New Roman" w:hAnsi="Times New Roman" w:cs="Times New Roman"/>
          <w:noProof/>
          <w:sz w:val="24"/>
          <w:szCs w:val="24"/>
          <w:lang w:val="sq-AL"/>
        </w:rPr>
        <w:t>ë</w:t>
      </w:r>
      <w:r w:rsidR="00AA4855" w:rsidRPr="00641640">
        <w:rPr>
          <w:rFonts w:ascii="Times New Roman" w:hAnsi="Times New Roman" w:cs="Times New Roman"/>
          <w:noProof/>
          <w:sz w:val="24"/>
          <w:szCs w:val="24"/>
          <w:lang w:val="sq-AL"/>
        </w:rPr>
        <w:t xml:space="preserve"> </w:t>
      </w:r>
      <w:r w:rsidR="00600EC7" w:rsidRPr="00641640">
        <w:rPr>
          <w:rFonts w:ascii="Times New Roman" w:hAnsi="Times New Roman" w:cs="Times New Roman"/>
          <w:noProof/>
          <w:sz w:val="24"/>
          <w:szCs w:val="24"/>
          <w:lang w:val="sq-AL"/>
        </w:rPr>
        <w:t xml:space="preserve">Kryeministrit. Ky grup përfshin përfaqësues nga </w:t>
      </w:r>
      <w:r w:rsidR="00FB094E" w:rsidRPr="00641640">
        <w:rPr>
          <w:rFonts w:ascii="Times New Roman" w:hAnsi="Times New Roman" w:cs="Times New Roman"/>
          <w:noProof/>
          <w:sz w:val="24"/>
          <w:szCs w:val="24"/>
          <w:lang w:val="sq-AL"/>
        </w:rPr>
        <w:t>m</w:t>
      </w:r>
      <w:r w:rsidR="00600EC7" w:rsidRPr="00641640">
        <w:rPr>
          <w:rFonts w:ascii="Times New Roman" w:hAnsi="Times New Roman" w:cs="Times New Roman"/>
          <w:noProof/>
          <w:sz w:val="24"/>
          <w:szCs w:val="24"/>
          <w:lang w:val="sq-AL"/>
        </w:rPr>
        <w:t>inistritë dhe institucionet qendrore,</w:t>
      </w:r>
      <w:r w:rsidR="00F53622" w:rsidRPr="00641640">
        <w:rPr>
          <w:rFonts w:ascii="Times New Roman" w:hAnsi="Times New Roman" w:cs="Times New Roman"/>
          <w:noProof/>
          <w:sz w:val="24"/>
          <w:szCs w:val="24"/>
          <w:lang w:val="sq-AL"/>
        </w:rPr>
        <w:t xml:space="preserve"> ekspert</w:t>
      </w:r>
      <w:r w:rsidR="00064AC5" w:rsidRPr="00641640">
        <w:rPr>
          <w:rFonts w:ascii="Times New Roman" w:hAnsi="Times New Roman" w:cs="Times New Roman"/>
          <w:noProof/>
          <w:sz w:val="24"/>
          <w:szCs w:val="24"/>
          <w:lang w:val="sq-AL"/>
        </w:rPr>
        <w:t>ë</w:t>
      </w:r>
      <w:r w:rsidR="00F53622"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00F53622" w:rsidRPr="00641640">
        <w:rPr>
          <w:rFonts w:ascii="Times New Roman" w:hAnsi="Times New Roman" w:cs="Times New Roman"/>
          <w:noProof/>
          <w:sz w:val="24"/>
          <w:szCs w:val="24"/>
          <w:lang w:val="sq-AL"/>
        </w:rPr>
        <w:t xml:space="preserve"> pavarur, p</w:t>
      </w:r>
      <w:r w:rsidR="00064AC5" w:rsidRPr="00641640">
        <w:rPr>
          <w:rFonts w:ascii="Times New Roman" w:hAnsi="Times New Roman" w:cs="Times New Roman"/>
          <w:noProof/>
          <w:sz w:val="24"/>
          <w:szCs w:val="24"/>
          <w:lang w:val="sq-AL"/>
        </w:rPr>
        <w:t>ë</w:t>
      </w:r>
      <w:r w:rsidR="00F53622" w:rsidRPr="00641640">
        <w:rPr>
          <w:rFonts w:ascii="Times New Roman" w:hAnsi="Times New Roman" w:cs="Times New Roman"/>
          <w:noProof/>
          <w:sz w:val="24"/>
          <w:szCs w:val="24"/>
          <w:lang w:val="sq-AL"/>
        </w:rPr>
        <w:t>rfaq</w:t>
      </w:r>
      <w:r w:rsidR="00064AC5" w:rsidRPr="00641640">
        <w:rPr>
          <w:rFonts w:ascii="Times New Roman" w:hAnsi="Times New Roman" w:cs="Times New Roman"/>
          <w:noProof/>
          <w:sz w:val="24"/>
          <w:szCs w:val="24"/>
          <w:lang w:val="sq-AL"/>
        </w:rPr>
        <w:t>ë</w:t>
      </w:r>
      <w:r w:rsidR="00F53622" w:rsidRPr="00641640">
        <w:rPr>
          <w:rFonts w:ascii="Times New Roman" w:hAnsi="Times New Roman" w:cs="Times New Roman"/>
          <w:noProof/>
          <w:sz w:val="24"/>
          <w:szCs w:val="24"/>
          <w:lang w:val="sq-AL"/>
        </w:rPr>
        <w:t>sues t</w:t>
      </w:r>
      <w:r w:rsidR="00064AC5" w:rsidRPr="00641640">
        <w:rPr>
          <w:rFonts w:ascii="Times New Roman" w:hAnsi="Times New Roman" w:cs="Times New Roman"/>
          <w:noProof/>
          <w:sz w:val="24"/>
          <w:szCs w:val="24"/>
          <w:lang w:val="sq-AL"/>
        </w:rPr>
        <w:t>ë</w:t>
      </w:r>
      <w:r w:rsidR="00F53622" w:rsidRPr="00641640">
        <w:rPr>
          <w:rFonts w:ascii="Times New Roman" w:hAnsi="Times New Roman" w:cs="Times New Roman"/>
          <w:noProof/>
          <w:sz w:val="24"/>
          <w:szCs w:val="24"/>
          <w:lang w:val="sq-AL"/>
        </w:rPr>
        <w:t xml:space="preserve"> shoq</w:t>
      </w:r>
      <w:r w:rsidR="00064AC5" w:rsidRPr="00641640">
        <w:rPr>
          <w:rFonts w:ascii="Times New Roman" w:hAnsi="Times New Roman" w:cs="Times New Roman"/>
          <w:noProof/>
          <w:sz w:val="24"/>
          <w:szCs w:val="24"/>
          <w:lang w:val="sq-AL"/>
        </w:rPr>
        <w:t>ë</w:t>
      </w:r>
      <w:r w:rsidR="00F53622" w:rsidRPr="00641640">
        <w:rPr>
          <w:rFonts w:ascii="Times New Roman" w:hAnsi="Times New Roman" w:cs="Times New Roman"/>
          <w:noProof/>
          <w:sz w:val="24"/>
          <w:szCs w:val="24"/>
          <w:lang w:val="sq-AL"/>
        </w:rPr>
        <w:t>ris</w:t>
      </w:r>
      <w:r w:rsidR="00064AC5" w:rsidRPr="00641640">
        <w:rPr>
          <w:rFonts w:ascii="Times New Roman" w:hAnsi="Times New Roman" w:cs="Times New Roman"/>
          <w:noProof/>
          <w:sz w:val="24"/>
          <w:szCs w:val="24"/>
          <w:lang w:val="sq-AL"/>
        </w:rPr>
        <w:t>ë</w:t>
      </w:r>
      <w:r w:rsidR="00F53622" w:rsidRPr="00641640">
        <w:rPr>
          <w:rFonts w:ascii="Times New Roman" w:hAnsi="Times New Roman" w:cs="Times New Roman"/>
          <w:noProof/>
          <w:sz w:val="24"/>
          <w:szCs w:val="24"/>
          <w:lang w:val="sq-AL"/>
        </w:rPr>
        <w:t xml:space="preserve"> civile dhe </w:t>
      </w:r>
      <w:r w:rsidR="00600EC7" w:rsidRPr="00641640">
        <w:rPr>
          <w:rFonts w:ascii="Times New Roman" w:hAnsi="Times New Roman" w:cs="Times New Roman"/>
          <w:noProof/>
          <w:sz w:val="24"/>
          <w:szCs w:val="24"/>
          <w:lang w:val="sq-AL"/>
        </w:rPr>
        <w:t>organizata</w:t>
      </w:r>
      <w:r w:rsidR="00F53622" w:rsidRPr="00641640">
        <w:rPr>
          <w:rFonts w:ascii="Times New Roman" w:hAnsi="Times New Roman" w:cs="Times New Roman"/>
          <w:noProof/>
          <w:sz w:val="24"/>
          <w:szCs w:val="24"/>
          <w:lang w:val="sq-AL"/>
        </w:rPr>
        <w:t>ve</w:t>
      </w:r>
      <w:r w:rsidR="00600EC7" w:rsidRPr="00641640">
        <w:rPr>
          <w:rFonts w:ascii="Times New Roman" w:hAnsi="Times New Roman" w:cs="Times New Roman"/>
          <w:noProof/>
          <w:sz w:val="24"/>
          <w:szCs w:val="24"/>
          <w:lang w:val="sq-AL"/>
        </w:rPr>
        <w:t xml:space="preserve"> ndërkombëtar</w:t>
      </w:r>
      <w:r w:rsidR="00F53622" w:rsidRPr="00641640">
        <w:rPr>
          <w:rFonts w:ascii="Times New Roman" w:hAnsi="Times New Roman" w:cs="Times New Roman"/>
          <w:noProof/>
          <w:sz w:val="24"/>
          <w:szCs w:val="24"/>
          <w:lang w:val="sq-AL"/>
        </w:rPr>
        <w:t>e</w:t>
      </w:r>
      <w:r w:rsidR="00600EC7" w:rsidRPr="00641640">
        <w:rPr>
          <w:rFonts w:ascii="Times New Roman" w:hAnsi="Times New Roman" w:cs="Times New Roman"/>
          <w:noProof/>
          <w:sz w:val="24"/>
          <w:szCs w:val="24"/>
          <w:lang w:val="sq-AL"/>
        </w:rPr>
        <w:t xml:space="preserve">. </w:t>
      </w:r>
      <w:r w:rsidR="00F53622"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F53622" w:rsidRPr="00641640">
        <w:rPr>
          <w:rFonts w:ascii="Times New Roman" w:hAnsi="Times New Roman" w:cs="Times New Roman"/>
          <w:noProof/>
          <w:sz w:val="24"/>
          <w:szCs w:val="24"/>
          <w:lang w:val="sq-AL"/>
        </w:rPr>
        <w:t>rgjat</w:t>
      </w:r>
      <w:r w:rsidR="00064AC5" w:rsidRPr="00641640">
        <w:rPr>
          <w:rFonts w:ascii="Times New Roman" w:hAnsi="Times New Roman" w:cs="Times New Roman"/>
          <w:noProof/>
          <w:sz w:val="24"/>
          <w:szCs w:val="24"/>
          <w:lang w:val="sq-AL"/>
        </w:rPr>
        <w:t>ë</w:t>
      </w:r>
      <w:r w:rsidR="00F53622" w:rsidRPr="00641640">
        <w:rPr>
          <w:rFonts w:ascii="Times New Roman" w:hAnsi="Times New Roman" w:cs="Times New Roman"/>
          <w:noProof/>
          <w:sz w:val="24"/>
          <w:szCs w:val="24"/>
          <w:lang w:val="sq-AL"/>
        </w:rPr>
        <w:t xml:space="preserve"> fazave t</w:t>
      </w:r>
      <w:r w:rsidR="00064AC5" w:rsidRPr="00641640">
        <w:rPr>
          <w:rFonts w:ascii="Times New Roman" w:hAnsi="Times New Roman" w:cs="Times New Roman"/>
          <w:noProof/>
          <w:sz w:val="24"/>
          <w:szCs w:val="24"/>
          <w:lang w:val="sq-AL"/>
        </w:rPr>
        <w:t>ë</w:t>
      </w:r>
      <w:r w:rsidR="00F53622" w:rsidRPr="00641640">
        <w:rPr>
          <w:rFonts w:ascii="Times New Roman" w:hAnsi="Times New Roman" w:cs="Times New Roman"/>
          <w:noProof/>
          <w:sz w:val="24"/>
          <w:szCs w:val="24"/>
          <w:lang w:val="sq-AL"/>
        </w:rPr>
        <w:t xml:space="preserve"> ndryshme t</w:t>
      </w:r>
      <w:r w:rsidR="00064AC5" w:rsidRPr="00641640">
        <w:rPr>
          <w:rFonts w:ascii="Times New Roman" w:hAnsi="Times New Roman" w:cs="Times New Roman"/>
          <w:noProof/>
          <w:sz w:val="24"/>
          <w:szCs w:val="24"/>
          <w:lang w:val="sq-AL"/>
        </w:rPr>
        <w:t>ë</w:t>
      </w:r>
      <w:r w:rsidR="00F53622" w:rsidRPr="00641640">
        <w:rPr>
          <w:rFonts w:ascii="Times New Roman" w:hAnsi="Times New Roman" w:cs="Times New Roman"/>
          <w:noProof/>
          <w:sz w:val="24"/>
          <w:szCs w:val="24"/>
          <w:lang w:val="sq-AL"/>
        </w:rPr>
        <w:t xml:space="preserve"> procesit, </w:t>
      </w:r>
      <w:r w:rsidR="00600EC7" w:rsidRPr="00641640">
        <w:rPr>
          <w:rFonts w:ascii="Times New Roman" w:hAnsi="Times New Roman" w:cs="Times New Roman"/>
          <w:noProof/>
          <w:sz w:val="24"/>
          <w:szCs w:val="24"/>
          <w:lang w:val="sq-AL"/>
        </w:rPr>
        <w:t xml:space="preserve">Grupi i </w:t>
      </w:r>
      <w:r w:rsidR="00F53622" w:rsidRPr="00641640">
        <w:rPr>
          <w:rFonts w:ascii="Times New Roman" w:hAnsi="Times New Roman" w:cs="Times New Roman"/>
          <w:noProof/>
          <w:sz w:val="24"/>
          <w:szCs w:val="24"/>
          <w:lang w:val="sq-AL"/>
        </w:rPr>
        <w:t>P</w:t>
      </w:r>
      <w:r w:rsidR="00600EC7" w:rsidRPr="00641640">
        <w:rPr>
          <w:rFonts w:ascii="Times New Roman" w:hAnsi="Times New Roman" w:cs="Times New Roman"/>
          <w:noProof/>
          <w:sz w:val="24"/>
          <w:szCs w:val="24"/>
          <w:lang w:val="sq-AL"/>
        </w:rPr>
        <w:t xml:space="preserve">unës ka </w:t>
      </w:r>
      <w:r w:rsidR="00F53622" w:rsidRPr="00641640">
        <w:rPr>
          <w:rFonts w:ascii="Times New Roman" w:hAnsi="Times New Roman" w:cs="Times New Roman"/>
          <w:noProof/>
          <w:sz w:val="24"/>
          <w:szCs w:val="24"/>
          <w:lang w:val="sq-AL"/>
        </w:rPr>
        <w:t xml:space="preserve">zhvilluar </w:t>
      </w:r>
      <w:r w:rsidR="00600EC7" w:rsidRPr="00641640">
        <w:rPr>
          <w:rFonts w:ascii="Times New Roman" w:hAnsi="Times New Roman" w:cs="Times New Roman"/>
          <w:noProof/>
          <w:sz w:val="24"/>
          <w:szCs w:val="24"/>
          <w:lang w:val="sq-AL"/>
        </w:rPr>
        <w:t>takime të vazhdueshme</w:t>
      </w:r>
      <w:r w:rsidR="00F53622" w:rsidRPr="00641640">
        <w:rPr>
          <w:rFonts w:ascii="Times New Roman" w:hAnsi="Times New Roman" w:cs="Times New Roman"/>
          <w:noProof/>
          <w:sz w:val="24"/>
          <w:szCs w:val="24"/>
          <w:lang w:val="sq-AL"/>
        </w:rPr>
        <w:t xml:space="preserve"> me q</w:t>
      </w:r>
      <w:r w:rsidR="00064AC5" w:rsidRPr="00641640">
        <w:rPr>
          <w:rFonts w:ascii="Times New Roman" w:hAnsi="Times New Roman" w:cs="Times New Roman"/>
          <w:noProof/>
          <w:sz w:val="24"/>
          <w:szCs w:val="24"/>
          <w:lang w:val="sq-AL"/>
        </w:rPr>
        <w:t>ë</w:t>
      </w:r>
      <w:r w:rsidR="00F53622" w:rsidRPr="00641640">
        <w:rPr>
          <w:rFonts w:ascii="Times New Roman" w:hAnsi="Times New Roman" w:cs="Times New Roman"/>
          <w:noProof/>
          <w:sz w:val="24"/>
          <w:szCs w:val="24"/>
          <w:lang w:val="sq-AL"/>
        </w:rPr>
        <w:t>llim identifikimin e sfidave</w:t>
      </w:r>
      <w:r w:rsidR="00B95A23" w:rsidRPr="00641640">
        <w:rPr>
          <w:rFonts w:ascii="Times New Roman" w:hAnsi="Times New Roman" w:cs="Times New Roman"/>
          <w:noProof/>
          <w:sz w:val="24"/>
          <w:szCs w:val="24"/>
          <w:lang w:val="sq-AL"/>
        </w:rPr>
        <w:t xml:space="preserve"> dhe</w:t>
      </w:r>
      <w:r w:rsidR="00F53622" w:rsidRPr="00641640">
        <w:rPr>
          <w:rFonts w:ascii="Times New Roman" w:hAnsi="Times New Roman" w:cs="Times New Roman"/>
          <w:noProof/>
          <w:sz w:val="24"/>
          <w:szCs w:val="24"/>
          <w:lang w:val="sq-AL"/>
        </w:rPr>
        <w:t xml:space="preserve"> adresimin e tyre p</w:t>
      </w:r>
      <w:r w:rsidR="00064AC5" w:rsidRPr="00641640">
        <w:rPr>
          <w:rFonts w:ascii="Times New Roman" w:hAnsi="Times New Roman" w:cs="Times New Roman"/>
          <w:noProof/>
          <w:sz w:val="24"/>
          <w:szCs w:val="24"/>
          <w:lang w:val="sq-AL"/>
        </w:rPr>
        <w:t>ë</w:t>
      </w:r>
      <w:r w:rsidR="00F53622" w:rsidRPr="00641640">
        <w:rPr>
          <w:rFonts w:ascii="Times New Roman" w:hAnsi="Times New Roman" w:cs="Times New Roman"/>
          <w:noProof/>
          <w:sz w:val="24"/>
          <w:szCs w:val="24"/>
          <w:lang w:val="sq-AL"/>
        </w:rPr>
        <w:t>rmes hartimit t</w:t>
      </w:r>
      <w:r w:rsidR="00064AC5" w:rsidRPr="00641640">
        <w:rPr>
          <w:rFonts w:ascii="Times New Roman" w:hAnsi="Times New Roman" w:cs="Times New Roman"/>
          <w:noProof/>
          <w:sz w:val="24"/>
          <w:szCs w:val="24"/>
          <w:lang w:val="sq-AL"/>
        </w:rPr>
        <w:t>ë</w:t>
      </w:r>
      <w:r w:rsidR="00F53622" w:rsidRPr="00641640">
        <w:rPr>
          <w:rFonts w:ascii="Times New Roman" w:hAnsi="Times New Roman" w:cs="Times New Roman"/>
          <w:noProof/>
          <w:sz w:val="24"/>
          <w:szCs w:val="24"/>
          <w:lang w:val="sq-AL"/>
        </w:rPr>
        <w:t xml:space="preserve"> </w:t>
      </w:r>
      <w:r w:rsidR="00600EC7" w:rsidRPr="00641640">
        <w:rPr>
          <w:rFonts w:ascii="Times New Roman" w:hAnsi="Times New Roman" w:cs="Times New Roman"/>
          <w:noProof/>
          <w:sz w:val="24"/>
          <w:szCs w:val="24"/>
          <w:lang w:val="sq-AL"/>
        </w:rPr>
        <w:t>Strategji</w:t>
      </w:r>
      <w:r w:rsidR="00F53622" w:rsidRPr="00641640">
        <w:rPr>
          <w:rFonts w:ascii="Times New Roman" w:hAnsi="Times New Roman" w:cs="Times New Roman"/>
          <w:noProof/>
          <w:sz w:val="24"/>
          <w:szCs w:val="24"/>
          <w:lang w:val="sq-AL"/>
        </w:rPr>
        <w:t>s</w:t>
      </w:r>
      <w:r w:rsidR="00600EC7" w:rsidRPr="00641640">
        <w:rPr>
          <w:rFonts w:ascii="Times New Roman" w:hAnsi="Times New Roman" w:cs="Times New Roman"/>
          <w:noProof/>
          <w:sz w:val="24"/>
          <w:szCs w:val="24"/>
          <w:lang w:val="sq-AL"/>
        </w:rPr>
        <w:t>ë dhe Plani</w:t>
      </w:r>
      <w:r w:rsidR="00F53622" w:rsidRPr="00641640">
        <w:rPr>
          <w:rFonts w:ascii="Times New Roman" w:hAnsi="Times New Roman" w:cs="Times New Roman"/>
          <w:noProof/>
          <w:sz w:val="24"/>
          <w:szCs w:val="24"/>
          <w:lang w:val="sq-AL"/>
        </w:rPr>
        <w:t>t t</w:t>
      </w:r>
      <w:r w:rsidR="00064AC5" w:rsidRPr="00641640">
        <w:rPr>
          <w:rFonts w:ascii="Times New Roman" w:hAnsi="Times New Roman" w:cs="Times New Roman"/>
          <w:noProof/>
          <w:sz w:val="24"/>
          <w:szCs w:val="24"/>
          <w:lang w:val="sq-AL"/>
        </w:rPr>
        <w:t>ë</w:t>
      </w:r>
      <w:r w:rsidR="00600EC7" w:rsidRPr="00641640">
        <w:rPr>
          <w:rFonts w:ascii="Times New Roman" w:hAnsi="Times New Roman" w:cs="Times New Roman"/>
          <w:noProof/>
          <w:sz w:val="24"/>
          <w:szCs w:val="24"/>
          <w:lang w:val="sq-AL"/>
        </w:rPr>
        <w:t xml:space="preserve"> Veprimit.</w:t>
      </w:r>
    </w:p>
    <w:p w14:paraId="65701BCD" w14:textId="0FBB07D5" w:rsidR="00B512D0" w:rsidRPr="00641640" w:rsidRDefault="001D6488"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Hartimi</w:t>
      </w:r>
      <w:r w:rsidR="00BF64A6" w:rsidRPr="00641640">
        <w:rPr>
          <w:rFonts w:ascii="Times New Roman" w:hAnsi="Times New Roman" w:cs="Times New Roman"/>
          <w:noProof/>
          <w:sz w:val="24"/>
          <w:szCs w:val="24"/>
          <w:lang w:val="sq-AL"/>
        </w:rPr>
        <w:t xml:space="preserve"> i</w:t>
      </w:r>
      <w:r w:rsidRPr="00641640">
        <w:rPr>
          <w:rFonts w:ascii="Times New Roman" w:hAnsi="Times New Roman" w:cs="Times New Roman"/>
          <w:noProof/>
          <w:sz w:val="24"/>
          <w:szCs w:val="24"/>
          <w:lang w:val="sq-AL"/>
        </w:rPr>
        <w:t xml:space="preserve"> Strategjisë </w:t>
      </w:r>
      <w:r w:rsidR="007F00FB" w:rsidRPr="00641640">
        <w:rPr>
          <w:rFonts w:ascii="Times New Roman" w:hAnsi="Times New Roman" w:cs="Times New Roman"/>
          <w:noProof/>
          <w:sz w:val="24"/>
          <w:szCs w:val="24"/>
          <w:lang w:val="sq-AL"/>
        </w:rPr>
        <w:t>ë</w:t>
      </w:r>
      <w:r w:rsidR="00B95A23" w:rsidRPr="00641640">
        <w:rPr>
          <w:rFonts w:ascii="Times New Roman" w:hAnsi="Times New Roman" w:cs="Times New Roman"/>
          <w:noProof/>
          <w:sz w:val="24"/>
          <w:szCs w:val="24"/>
          <w:lang w:val="sq-AL"/>
        </w:rPr>
        <w:t>sht</w:t>
      </w:r>
      <w:r w:rsidR="007F00FB" w:rsidRPr="00641640">
        <w:rPr>
          <w:rFonts w:ascii="Times New Roman" w:hAnsi="Times New Roman" w:cs="Times New Roman"/>
          <w:noProof/>
          <w:sz w:val="24"/>
          <w:szCs w:val="24"/>
          <w:lang w:val="sq-AL"/>
        </w:rPr>
        <w:t>ë</w:t>
      </w:r>
      <w:r w:rsidR="00B95A23" w:rsidRPr="00641640">
        <w:rPr>
          <w:rFonts w:ascii="Times New Roman" w:hAnsi="Times New Roman" w:cs="Times New Roman"/>
          <w:noProof/>
          <w:sz w:val="24"/>
          <w:szCs w:val="24"/>
          <w:lang w:val="sq-AL"/>
        </w:rPr>
        <w:t xml:space="preserve"> </w:t>
      </w:r>
      <w:r w:rsidR="008F3A0F" w:rsidRPr="00641640">
        <w:rPr>
          <w:rFonts w:ascii="Times New Roman" w:hAnsi="Times New Roman" w:cs="Times New Roman"/>
          <w:noProof/>
          <w:sz w:val="24"/>
          <w:szCs w:val="24"/>
          <w:lang w:val="sq-AL"/>
        </w:rPr>
        <w:t>kryer</w:t>
      </w:r>
      <w:r w:rsidR="00B95A23" w:rsidRPr="00641640">
        <w:rPr>
          <w:rFonts w:ascii="Times New Roman" w:hAnsi="Times New Roman" w:cs="Times New Roman"/>
          <w:noProof/>
          <w:sz w:val="24"/>
          <w:szCs w:val="24"/>
          <w:lang w:val="sq-AL"/>
        </w:rPr>
        <w:t xml:space="preserve"> n</w:t>
      </w:r>
      <w:r w:rsidR="007F00FB" w:rsidRPr="00641640">
        <w:rPr>
          <w:rFonts w:ascii="Times New Roman" w:hAnsi="Times New Roman" w:cs="Times New Roman"/>
          <w:noProof/>
          <w:sz w:val="24"/>
          <w:szCs w:val="24"/>
          <w:lang w:val="sq-AL"/>
        </w:rPr>
        <w:t>ë</w:t>
      </w:r>
      <w:r w:rsidR="00B95A23" w:rsidRPr="00641640">
        <w:rPr>
          <w:rFonts w:ascii="Times New Roman" w:hAnsi="Times New Roman" w:cs="Times New Roman"/>
          <w:noProof/>
          <w:sz w:val="24"/>
          <w:szCs w:val="24"/>
          <w:lang w:val="sq-AL"/>
        </w:rPr>
        <w:t xml:space="preserve"> konsultim </w:t>
      </w:r>
      <w:r w:rsidR="008F3A0F"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8F3A0F" w:rsidRPr="00641640">
        <w:rPr>
          <w:rFonts w:ascii="Times New Roman" w:hAnsi="Times New Roman" w:cs="Times New Roman"/>
          <w:noProof/>
          <w:sz w:val="24"/>
          <w:szCs w:val="24"/>
          <w:lang w:val="sq-AL"/>
        </w:rPr>
        <w:t xml:space="preserve"> ngusht</w:t>
      </w:r>
      <w:r w:rsidR="00064AC5" w:rsidRPr="00641640">
        <w:rPr>
          <w:rFonts w:ascii="Times New Roman" w:hAnsi="Times New Roman" w:cs="Times New Roman"/>
          <w:noProof/>
          <w:sz w:val="24"/>
          <w:szCs w:val="24"/>
          <w:lang w:val="sq-AL"/>
        </w:rPr>
        <w:t>ë</w:t>
      </w:r>
      <w:r w:rsidR="008F3A0F" w:rsidRPr="00641640">
        <w:rPr>
          <w:rFonts w:ascii="Times New Roman" w:hAnsi="Times New Roman" w:cs="Times New Roman"/>
          <w:noProof/>
          <w:sz w:val="24"/>
          <w:szCs w:val="24"/>
          <w:lang w:val="sq-AL"/>
        </w:rPr>
        <w:t xml:space="preserve"> </w:t>
      </w:r>
      <w:r w:rsidR="00B95A23" w:rsidRPr="00641640">
        <w:rPr>
          <w:rFonts w:ascii="Times New Roman" w:hAnsi="Times New Roman" w:cs="Times New Roman"/>
          <w:noProof/>
          <w:sz w:val="24"/>
          <w:szCs w:val="24"/>
          <w:lang w:val="sq-AL"/>
        </w:rPr>
        <w:t>me grupet e interes</w:t>
      </w:r>
      <w:r w:rsidR="007F00FB" w:rsidRPr="00641640">
        <w:rPr>
          <w:rFonts w:ascii="Times New Roman" w:hAnsi="Times New Roman" w:cs="Times New Roman"/>
          <w:noProof/>
          <w:sz w:val="24"/>
          <w:szCs w:val="24"/>
          <w:lang w:val="sq-AL"/>
        </w:rPr>
        <w:t>i</w:t>
      </w:r>
      <w:r w:rsidR="00B95A23" w:rsidRPr="00641640">
        <w:rPr>
          <w:rFonts w:ascii="Times New Roman" w:hAnsi="Times New Roman" w:cs="Times New Roman"/>
          <w:noProof/>
          <w:sz w:val="24"/>
          <w:szCs w:val="24"/>
          <w:lang w:val="sq-AL"/>
        </w:rPr>
        <w:t>t. Nj</w:t>
      </w:r>
      <w:r w:rsidR="007F00FB" w:rsidRPr="00641640">
        <w:rPr>
          <w:rFonts w:ascii="Times New Roman" w:hAnsi="Times New Roman" w:cs="Times New Roman"/>
          <w:noProof/>
          <w:sz w:val="24"/>
          <w:szCs w:val="24"/>
          <w:lang w:val="sq-AL"/>
        </w:rPr>
        <w:t>ë</w:t>
      </w:r>
      <w:r w:rsidR="00B95A23" w:rsidRPr="00641640">
        <w:rPr>
          <w:rFonts w:ascii="Times New Roman" w:hAnsi="Times New Roman" w:cs="Times New Roman"/>
          <w:noProof/>
          <w:sz w:val="24"/>
          <w:szCs w:val="24"/>
          <w:lang w:val="sq-AL"/>
        </w:rPr>
        <w:t xml:space="preserve"> pjes</w:t>
      </w:r>
      <w:r w:rsidR="007F00FB" w:rsidRPr="00641640">
        <w:rPr>
          <w:rFonts w:ascii="Times New Roman" w:hAnsi="Times New Roman" w:cs="Times New Roman"/>
          <w:noProof/>
          <w:sz w:val="24"/>
          <w:szCs w:val="24"/>
          <w:lang w:val="sq-AL"/>
        </w:rPr>
        <w:t>ë</w:t>
      </w:r>
      <w:r w:rsidR="00B95A23" w:rsidRPr="00641640">
        <w:rPr>
          <w:rFonts w:ascii="Times New Roman" w:hAnsi="Times New Roman" w:cs="Times New Roman"/>
          <w:noProof/>
          <w:sz w:val="24"/>
          <w:szCs w:val="24"/>
          <w:lang w:val="sq-AL"/>
        </w:rPr>
        <w:t xml:space="preserve"> e </w:t>
      </w:r>
      <w:r w:rsidR="008F3A0F" w:rsidRPr="00641640">
        <w:rPr>
          <w:rFonts w:ascii="Times New Roman" w:hAnsi="Times New Roman" w:cs="Times New Roman"/>
          <w:noProof/>
          <w:sz w:val="24"/>
          <w:szCs w:val="24"/>
          <w:lang w:val="sq-AL"/>
        </w:rPr>
        <w:t>konsiderueshme e</w:t>
      </w:r>
      <w:r w:rsidRPr="00641640">
        <w:rPr>
          <w:rFonts w:ascii="Times New Roman" w:hAnsi="Times New Roman" w:cs="Times New Roman"/>
          <w:noProof/>
          <w:sz w:val="24"/>
          <w:szCs w:val="24"/>
          <w:lang w:val="sq-AL"/>
        </w:rPr>
        <w:t xml:space="preserve"> konsultime</w:t>
      </w:r>
      <w:r w:rsidR="00B95A23" w:rsidRPr="00641640">
        <w:rPr>
          <w:rFonts w:ascii="Times New Roman" w:hAnsi="Times New Roman" w:cs="Times New Roman"/>
          <w:noProof/>
          <w:sz w:val="24"/>
          <w:szCs w:val="24"/>
          <w:lang w:val="sq-AL"/>
        </w:rPr>
        <w:t>ve</w:t>
      </w:r>
      <w:r w:rsidRPr="00641640">
        <w:rPr>
          <w:rFonts w:ascii="Times New Roman" w:hAnsi="Times New Roman" w:cs="Times New Roman"/>
          <w:noProof/>
          <w:sz w:val="24"/>
          <w:szCs w:val="24"/>
          <w:lang w:val="sq-AL"/>
        </w:rPr>
        <w:t xml:space="preserve"> </w:t>
      </w:r>
      <w:r w:rsidR="007F00FB" w:rsidRPr="00641640">
        <w:rPr>
          <w:rFonts w:ascii="Times New Roman" w:hAnsi="Times New Roman" w:cs="Times New Roman"/>
          <w:noProof/>
          <w:sz w:val="24"/>
          <w:szCs w:val="24"/>
          <w:lang w:val="sq-AL"/>
        </w:rPr>
        <w:t>ë</w:t>
      </w:r>
      <w:r w:rsidR="00B95A23" w:rsidRPr="00641640">
        <w:rPr>
          <w:rFonts w:ascii="Times New Roman" w:hAnsi="Times New Roman" w:cs="Times New Roman"/>
          <w:noProof/>
          <w:sz w:val="24"/>
          <w:szCs w:val="24"/>
          <w:lang w:val="sq-AL"/>
        </w:rPr>
        <w:t>sht</w:t>
      </w:r>
      <w:r w:rsidR="007F00FB" w:rsidRPr="00641640">
        <w:rPr>
          <w:rFonts w:ascii="Times New Roman" w:hAnsi="Times New Roman" w:cs="Times New Roman"/>
          <w:noProof/>
          <w:sz w:val="24"/>
          <w:szCs w:val="24"/>
          <w:lang w:val="sq-AL"/>
        </w:rPr>
        <w:t>ë</w:t>
      </w:r>
      <w:r w:rsidR="00B95A23"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zhvillua</w:t>
      </w:r>
      <w:r w:rsidR="008F3A0F" w:rsidRPr="00641640">
        <w:rPr>
          <w:rFonts w:ascii="Times New Roman" w:hAnsi="Times New Roman" w:cs="Times New Roman"/>
          <w:noProof/>
          <w:sz w:val="24"/>
          <w:szCs w:val="24"/>
          <w:lang w:val="sq-AL"/>
        </w:rPr>
        <w:t>r</w:t>
      </w:r>
      <w:r w:rsidRPr="00641640">
        <w:rPr>
          <w:rFonts w:ascii="Times New Roman" w:hAnsi="Times New Roman" w:cs="Times New Roman"/>
          <w:noProof/>
          <w:sz w:val="24"/>
          <w:szCs w:val="24"/>
          <w:lang w:val="sq-AL"/>
        </w:rPr>
        <w:t xml:space="preserve"> në kuadër të takimeve të </w:t>
      </w:r>
      <w:r w:rsidR="00E30848" w:rsidRPr="00641640">
        <w:rPr>
          <w:rFonts w:ascii="Times New Roman" w:hAnsi="Times New Roman" w:cs="Times New Roman"/>
          <w:noProof/>
          <w:sz w:val="24"/>
          <w:szCs w:val="24"/>
          <w:lang w:val="sq-AL"/>
        </w:rPr>
        <w:t>Grupi</w:t>
      </w:r>
      <w:r w:rsidR="008F3A0F" w:rsidRPr="00641640">
        <w:rPr>
          <w:rFonts w:ascii="Times New Roman" w:hAnsi="Times New Roman" w:cs="Times New Roman"/>
          <w:noProof/>
          <w:sz w:val="24"/>
          <w:szCs w:val="24"/>
          <w:lang w:val="sq-AL"/>
        </w:rPr>
        <w:t>t</w:t>
      </w:r>
      <w:r w:rsidR="00E30848" w:rsidRPr="00641640">
        <w:rPr>
          <w:rFonts w:ascii="Times New Roman" w:hAnsi="Times New Roman" w:cs="Times New Roman"/>
          <w:noProof/>
          <w:sz w:val="24"/>
          <w:szCs w:val="24"/>
          <w:lang w:val="sq-AL"/>
        </w:rPr>
        <w:t xml:space="preserve"> Tematik “Shërbimi Civil dhe Strategji</w:t>
      </w:r>
      <w:r w:rsidR="00B95A23" w:rsidRPr="00641640">
        <w:rPr>
          <w:rFonts w:ascii="Times New Roman" w:hAnsi="Times New Roman" w:cs="Times New Roman"/>
          <w:noProof/>
          <w:sz w:val="24"/>
          <w:szCs w:val="24"/>
          <w:lang w:val="sq-AL"/>
        </w:rPr>
        <w:t>a</w:t>
      </w:r>
      <w:r w:rsidR="00E30848" w:rsidRPr="00641640">
        <w:rPr>
          <w:rFonts w:ascii="Times New Roman" w:hAnsi="Times New Roman" w:cs="Times New Roman"/>
          <w:noProof/>
          <w:sz w:val="24"/>
          <w:szCs w:val="24"/>
          <w:lang w:val="sq-AL"/>
        </w:rPr>
        <w:t xml:space="preserve"> Ndërsektoriale </w:t>
      </w:r>
      <w:r w:rsidR="00B95A23" w:rsidRPr="00641640">
        <w:rPr>
          <w:rFonts w:ascii="Times New Roman" w:hAnsi="Times New Roman" w:cs="Times New Roman"/>
          <w:noProof/>
          <w:sz w:val="24"/>
          <w:szCs w:val="24"/>
          <w:lang w:val="sq-AL"/>
        </w:rPr>
        <w:t>e</w:t>
      </w:r>
      <w:r w:rsidR="00E30848" w:rsidRPr="00641640">
        <w:rPr>
          <w:rFonts w:ascii="Times New Roman" w:hAnsi="Times New Roman" w:cs="Times New Roman"/>
          <w:noProof/>
          <w:sz w:val="24"/>
          <w:szCs w:val="24"/>
          <w:lang w:val="sq-AL"/>
        </w:rPr>
        <w:t xml:space="preserve"> PAR”</w:t>
      </w:r>
      <w:r w:rsidR="008F3A0F"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w:t>
      </w:r>
      <w:r w:rsidR="008F3A0F" w:rsidRPr="00641640">
        <w:rPr>
          <w:rFonts w:ascii="Times New Roman" w:hAnsi="Times New Roman" w:cs="Times New Roman"/>
          <w:noProof/>
          <w:sz w:val="24"/>
          <w:szCs w:val="24"/>
          <w:lang w:val="sq-AL"/>
        </w:rPr>
        <w:t xml:space="preserve">i cili drejtohet nga </w:t>
      </w:r>
      <w:r w:rsidR="00802019" w:rsidRPr="00641640">
        <w:rPr>
          <w:rFonts w:ascii="Times New Roman" w:hAnsi="Times New Roman" w:cs="Times New Roman"/>
          <w:noProof/>
          <w:sz w:val="24"/>
          <w:szCs w:val="24"/>
          <w:lang w:val="sq-AL"/>
        </w:rPr>
        <w:t>Departamenti</w:t>
      </w:r>
      <w:r w:rsidR="008F3A0F" w:rsidRPr="00641640">
        <w:rPr>
          <w:rFonts w:ascii="Times New Roman" w:hAnsi="Times New Roman" w:cs="Times New Roman"/>
          <w:noProof/>
          <w:sz w:val="24"/>
          <w:szCs w:val="24"/>
          <w:lang w:val="sq-AL"/>
        </w:rPr>
        <w:t xml:space="preserve"> i</w:t>
      </w:r>
      <w:r w:rsidR="00802019" w:rsidRPr="00641640">
        <w:rPr>
          <w:rFonts w:ascii="Times New Roman" w:hAnsi="Times New Roman" w:cs="Times New Roman"/>
          <w:noProof/>
          <w:sz w:val="24"/>
          <w:szCs w:val="24"/>
          <w:lang w:val="sq-AL"/>
        </w:rPr>
        <w:t xml:space="preserve"> Administrat</w:t>
      </w:r>
      <w:r w:rsidR="00064AC5" w:rsidRPr="00641640">
        <w:rPr>
          <w:rFonts w:ascii="Times New Roman" w:hAnsi="Times New Roman" w:cs="Times New Roman"/>
          <w:noProof/>
          <w:sz w:val="24"/>
          <w:szCs w:val="24"/>
          <w:lang w:val="sq-AL"/>
        </w:rPr>
        <w:t>ë</w:t>
      </w:r>
      <w:r w:rsidR="00802019" w:rsidRPr="00641640">
        <w:rPr>
          <w:rFonts w:ascii="Times New Roman" w:hAnsi="Times New Roman" w:cs="Times New Roman"/>
          <w:noProof/>
          <w:sz w:val="24"/>
          <w:szCs w:val="24"/>
          <w:lang w:val="sq-AL"/>
        </w:rPr>
        <w:t>s Publike</w:t>
      </w:r>
      <w:r w:rsidR="00E30848" w:rsidRPr="00641640">
        <w:rPr>
          <w:rFonts w:ascii="Times New Roman" w:hAnsi="Times New Roman" w:cs="Times New Roman"/>
          <w:noProof/>
          <w:sz w:val="24"/>
          <w:szCs w:val="24"/>
          <w:lang w:val="sq-AL"/>
        </w:rPr>
        <w:t xml:space="preserve"> </w:t>
      </w:r>
      <w:r w:rsidR="00802019" w:rsidRPr="00641640">
        <w:rPr>
          <w:rFonts w:ascii="Times New Roman" w:hAnsi="Times New Roman" w:cs="Times New Roman"/>
          <w:noProof/>
          <w:sz w:val="24"/>
          <w:szCs w:val="24"/>
          <w:lang w:val="sq-AL"/>
        </w:rPr>
        <w:t>(</w:t>
      </w:r>
      <w:r w:rsidR="00E30848" w:rsidRPr="00641640">
        <w:rPr>
          <w:rFonts w:ascii="Times New Roman" w:hAnsi="Times New Roman" w:cs="Times New Roman"/>
          <w:noProof/>
          <w:sz w:val="24"/>
          <w:szCs w:val="24"/>
          <w:lang w:val="sq-AL"/>
        </w:rPr>
        <w:t>DAP</w:t>
      </w:r>
      <w:r w:rsidR="00802019" w:rsidRPr="00641640">
        <w:rPr>
          <w:rFonts w:ascii="Times New Roman" w:hAnsi="Times New Roman" w:cs="Times New Roman"/>
          <w:noProof/>
          <w:sz w:val="24"/>
          <w:szCs w:val="24"/>
          <w:lang w:val="sq-AL"/>
        </w:rPr>
        <w:t xml:space="preserve">) dhe </w:t>
      </w:r>
      <w:r w:rsidR="008F3A0F"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8F3A0F" w:rsidRPr="00641640">
        <w:rPr>
          <w:rFonts w:ascii="Times New Roman" w:hAnsi="Times New Roman" w:cs="Times New Roman"/>
          <w:noProof/>
          <w:sz w:val="24"/>
          <w:szCs w:val="24"/>
          <w:lang w:val="sq-AL"/>
        </w:rPr>
        <w:t xml:space="preserve">rfshin </w:t>
      </w:r>
      <w:r w:rsidR="00802019" w:rsidRPr="00641640">
        <w:rPr>
          <w:rFonts w:ascii="Times New Roman" w:hAnsi="Times New Roman" w:cs="Times New Roman"/>
          <w:noProof/>
          <w:sz w:val="24"/>
          <w:szCs w:val="24"/>
          <w:lang w:val="sq-AL"/>
        </w:rPr>
        <w:t>ekspertë</w:t>
      </w:r>
      <w:r w:rsidR="00B95A23" w:rsidRPr="00641640">
        <w:rPr>
          <w:rFonts w:ascii="Times New Roman" w:hAnsi="Times New Roman" w:cs="Times New Roman"/>
          <w:noProof/>
          <w:sz w:val="24"/>
          <w:szCs w:val="24"/>
          <w:lang w:val="sq-AL"/>
        </w:rPr>
        <w:t xml:space="preserve"> </w:t>
      </w:r>
      <w:r w:rsidR="00802019" w:rsidRPr="00641640">
        <w:rPr>
          <w:rFonts w:ascii="Times New Roman" w:hAnsi="Times New Roman" w:cs="Times New Roman"/>
          <w:noProof/>
          <w:sz w:val="24"/>
          <w:szCs w:val="24"/>
          <w:lang w:val="sq-AL"/>
        </w:rPr>
        <w:t>nga institucione</w:t>
      </w:r>
      <w:r w:rsidR="00B95A23" w:rsidRPr="00641640">
        <w:rPr>
          <w:rFonts w:ascii="Times New Roman" w:hAnsi="Times New Roman" w:cs="Times New Roman"/>
          <w:noProof/>
          <w:sz w:val="24"/>
          <w:szCs w:val="24"/>
          <w:lang w:val="sq-AL"/>
        </w:rPr>
        <w:t xml:space="preserve"> t</w:t>
      </w:r>
      <w:r w:rsidR="007F00FB" w:rsidRPr="00641640">
        <w:rPr>
          <w:rFonts w:ascii="Times New Roman" w:hAnsi="Times New Roman" w:cs="Times New Roman"/>
          <w:noProof/>
          <w:sz w:val="24"/>
          <w:szCs w:val="24"/>
          <w:lang w:val="sq-AL"/>
        </w:rPr>
        <w:t>ë</w:t>
      </w:r>
      <w:r w:rsidR="00B95A23" w:rsidRPr="00641640">
        <w:rPr>
          <w:rFonts w:ascii="Times New Roman" w:hAnsi="Times New Roman" w:cs="Times New Roman"/>
          <w:noProof/>
          <w:sz w:val="24"/>
          <w:szCs w:val="24"/>
          <w:lang w:val="sq-AL"/>
        </w:rPr>
        <w:t xml:space="preserve"> ndryshme</w:t>
      </w:r>
      <w:r w:rsidR="00802019" w:rsidRPr="00641640">
        <w:rPr>
          <w:rFonts w:ascii="Times New Roman" w:hAnsi="Times New Roman" w:cs="Times New Roman"/>
          <w:noProof/>
          <w:sz w:val="24"/>
          <w:szCs w:val="24"/>
          <w:lang w:val="sq-AL"/>
        </w:rPr>
        <w:t xml:space="preserve">, shoqëria civile, </w:t>
      </w:r>
      <w:r w:rsidR="00B95A23" w:rsidRPr="00641640">
        <w:rPr>
          <w:rFonts w:ascii="Times New Roman" w:hAnsi="Times New Roman" w:cs="Times New Roman"/>
          <w:noProof/>
          <w:sz w:val="24"/>
          <w:szCs w:val="24"/>
          <w:lang w:val="sq-AL"/>
        </w:rPr>
        <w:t xml:space="preserve">bota </w:t>
      </w:r>
      <w:r w:rsidR="00802019" w:rsidRPr="00641640">
        <w:rPr>
          <w:rFonts w:ascii="Times New Roman" w:hAnsi="Times New Roman" w:cs="Times New Roman"/>
          <w:noProof/>
          <w:sz w:val="24"/>
          <w:szCs w:val="24"/>
          <w:lang w:val="sq-AL"/>
        </w:rPr>
        <w:t>akademi</w:t>
      </w:r>
      <w:r w:rsidR="00B95A23" w:rsidRPr="00641640">
        <w:rPr>
          <w:rFonts w:ascii="Times New Roman" w:hAnsi="Times New Roman" w:cs="Times New Roman"/>
          <w:noProof/>
          <w:sz w:val="24"/>
          <w:szCs w:val="24"/>
          <w:lang w:val="sq-AL"/>
        </w:rPr>
        <w:t>ke</w:t>
      </w:r>
      <w:r w:rsidR="00802019" w:rsidRPr="00641640">
        <w:rPr>
          <w:rFonts w:ascii="Times New Roman" w:hAnsi="Times New Roman" w:cs="Times New Roman"/>
          <w:noProof/>
          <w:sz w:val="24"/>
          <w:szCs w:val="24"/>
          <w:lang w:val="sq-AL"/>
        </w:rPr>
        <w:t>, sektori privat</w:t>
      </w:r>
      <w:r w:rsidR="008F3A0F" w:rsidRPr="00641640">
        <w:rPr>
          <w:rFonts w:ascii="Times New Roman" w:hAnsi="Times New Roman" w:cs="Times New Roman"/>
          <w:noProof/>
          <w:sz w:val="24"/>
          <w:szCs w:val="24"/>
          <w:lang w:val="sq-AL"/>
        </w:rPr>
        <w:t xml:space="preserve"> dhe partner</w:t>
      </w:r>
      <w:r w:rsidR="002D647C" w:rsidRPr="00641640">
        <w:rPr>
          <w:rFonts w:ascii="Times New Roman" w:hAnsi="Times New Roman" w:cs="Times New Roman"/>
          <w:noProof/>
          <w:sz w:val="24"/>
          <w:szCs w:val="24"/>
          <w:lang w:val="sq-AL"/>
        </w:rPr>
        <w:t>ë</w:t>
      </w:r>
      <w:r w:rsidR="008F3A0F"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008F3A0F" w:rsidRPr="00641640">
        <w:rPr>
          <w:rFonts w:ascii="Times New Roman" w:hAnsi="Times New Roman" w:cs="Times New Roman"/>
          <w:noProof/>
          <w:sz w:val="24"/>
          <w:szCs w:val="24"/>
          <w:lang w:val="sq-AL"/>
        </w:rPr>
        <w:t xml:space="preserve"> tjer</w:t>
      </w:r>
      <w:r w:rsidR="00064AC5" w:rsidRPr="00641640">
        <w:rPr>
          <w:rFonts w:ascii="Times New Roman" w:hAnsi="Times New Roman" w:cs="Times New Roman"/>
          <w:noProof/>
          <w:sz w:val="24"/>
          <w:szCs w:val="24"/>
          <w:lang w:val="sq-AL"/>
        </w:rPr>
        <w:t>ë</w:t>
      </w:r>
      <w:r w:rsidR="00E30848" w:rsidRPr="00641640">
        <w:rPr>
          <w:rFonts w:ascii="Times New Roman" w:hAnsi="Times New Roman" w:cs="Times New Roman"/>
          <w:noProof/>
          <w:sz w:val="24"/>
          <w:szCs w:val="24"/>
          <w:lang w:val="sq-AL"/>
        </w:rPr>
        <w:t xml:space="preserve">. </w:t>
      </w:r>
      <w:r w:rsidR="008F3A0F" w:rsidRPr="00641640">
        <w:rPr>
          <w:rFonts w:ascii="Times New Roman" w:hAnsi="Times New Roman" w:cs="Times New Roman"/>
          <w:noProof/>
          <w:sz w:val="24"/>
          <w:szCs w:val="24"/>
          <w:lang w:val="sq-AL"/>
        </w:rPr>
        <w:t>Gjat</w:t>
      </w:r>
      <w:r w:rsidR="00064AC5" w:rsidRPr="00641640">
        <w:rPr>
          <w:rFonts w:ascii="Times New Roman" w:hAnsi="Times New Roman" w:cs="Times New Roman"/>
          <w:noProof/>
          <w:sz w:val="24"/>
          <w:szCs w:val="24"/>
          <w:lang w:val="sq-AL"/>
        </w:rPr>
        <w:t>ë</w:t>
      </w:r>
      <w:r w:rsidR="008F3A0F" w:rsidRPr="00641640">
        <w:rPr>
          <w:rFonts w:ascii="Times New Roman" w:hAnsi="Times New Roman" w:cs="Times New Roman"/>
          <w:noProof/>
          <w:sz w:val="24"/>
          <w:szCs w:val="24"/>
          <w:lang w:val="sq-AL"/>
        </w:rPr>
        <w:t xml:space="preserve"> k</w:t>
      </w:r>
      <w:r w:rsidR="00064AC5" w:rsidRPr="00641640">
        <w:rPr>
          <w:rFonts w:ascii="Times New Roman" w:hAnsi="Times New Roman" w:cs="Times New Roman"/>
          <w:noProof/>
          <w:sz w:val="24"/>
          <w:szCs w:val="24"/>
          <w:lang w:val="sq-AL"/>
        </w:rPr>
        <w:t>ë</w:t>
      </w:r>
      <w:r w:rsidR="008F3A0F" w:rsidRPr="00641640">
        <w:rPr>
          <w:rFonts w:ascii="Times New Roman" w:hAnsi="Times New Roman" w:cs="Times New Roman"/>
          <w:noProof/>
          <w:sz w:val="24"/>
          <w:szCs w:val="24"/>
          <w:lang w:val="sq-AL"/>
        </w:rPr>
        <w:t>tyre takimeve, jan</w:t>
      </w:r>
      <w:r w:rsidR="00064AC5" w:rsidRPr="00641640">
        <w:rPr>
          <w:rFonts w:ascii="Times New Roman" w:hAnsi="Times New Roman" w:cs="Times New Roman"/>
          <w:noProof/>
          <w:sz w:val="24"/>
          <w:szCs w:val="24"/>
          <w:lang w:val="sq-AL"/>
        </w:rPr>
        <w:t>ë</w:t>
      </w:r>
      <w:r w:rsidR="008F3A0F" w:rsidRPr="00641640">
        <w:rPr>
          <w:rFonts w:ascii="Times New Roman" w:hAnsi="Times New Roman" w:cs="Times New Roman"/>
          <w:noProof/>
          <w:sz w:val="24"/>
          <w:szCs w:val="24"/>
          <w:lang w:val="sq-AL"/>
        </w:rPr>
        <w:t xml:space="preserve"> diskutuar arritjet e reform</w:t>
      </w:r>
      <w:r w:rsidR="00064AC5" w:rsidRPr="00641640">
        <w:rPr>
          <w:rFonts w:ascii="Times New Roman" w:hAnsi="Times New Roman" w:cs="Times New Roman"/>
          <w:noProof/>
          <w:sz w:val="24"/>
          <w:szCs w:val="24"/>
          <w:lang w:val="sq-AL"/>
        </w:rPr>
        <w:t>ë</w:t>
      </w:r>
      <w:r w:rsidR="008F3A0F" w:rsidRPr="00641640">
        <w:rPr>
          <w:rFonts w:ascii="Times New Roman" w:hAnsi="Times New Roman" w:cs="Times New Roman"/>
          <w:noProof/>
          <w:sz w:val="24"/>
          <w:szCs w:val="24"/>
          <w:lang w:val="sq-AL"/>
        </w:rPr>
        <w:t>s, sfidat institucionale p</w:t>
      </w:r>
      <w:r w:rsidR="00064AC5" w:rsidRPr="00641640">
        <w:rPr>
          <w:rFonts w:ascii="Times New Roman" w:hAnsi="Times New Roman" w:cs="Times New Roman"/>
          <w:noProof/>
          <w:sz w:val="24"/>
          <w:szCs w:val="24"/>
          <w:lang w:val="sq-AL"/>
        </w:rPr>
        <w:t>ë</w:t>
      </w:r>
      <w:r w:rsidR="008F3A0F" w:rsidRPr="00641640">
        <w:rPr>
          <w:rFonts w:ascii="Times New Roman" w:hAnsi="Times New Roman" w:cs="Times New Roman"/>
          <w:noProof/>
          <w:sz w:val="24"/>
          <w:szCs w:val="24"/>
          <w:lang w:val="sq-AL"/>
        </w:rPr>
        <w:t>r zbatimin e saj me efikasitet, si</w:t>
      </w:r>
      <w:r w:rsidR="00E30848" w:rsidRPr="00641640">
        <w:rPr>
          <w:rFonts w:ascii="Times New Roman" w:hAnsi="Times New Roman" w:cs="Times New Roman"/>
          <w:noProof/>
          <w:sz w:val="24"/>
          <w:szCs w:val="24"/>
          <w:lang w:val="sq-AL"/>
        </w:rPr>
        <w:t xml:space="preserve"> </w:t>
      </w:r>
      <w:r w:rsidR="00B95A23" w:rsidRPr="00641640">
        <w:rPr>
          <w:rFonts w:ascii="Times New Roman" w:hAnsi="Times New Roman" w:cs="Times New Roman"/>
          <w:noProof/>
          <w:sz w:val="24"/>
          <w:szCs w:val="24"/>
          <w:lang w:val="sq-AL"/>
        </w:rPr>
        <w:t xml:space="preserve">dhe zgjidhjet </w:t>
      </w:r>
      <w:r w:rsidR="00E30848" w:rsidRPr="00641640">
        <w:rPr>
          <w:rFonts w:ascii="Times New Roman" w:hAnsi="Times New Roman" w:cs="Times New Roman"/>
          <w:noProof/>
          <w:sz w:val="24"/>
          <w:szCs w:val="24"/>
          <w:lang w:val="sq-AL"/>
        </w:rPr>
        <w:t xml:space="preserve">për </w:t>
      </w:r>
      <w:r w:rsidR="00B95A23" w:rsidRPr="00641640">
        <w:rPr>
          <w:rFonts w:ascii="Times New Roman" w:hAnsi="Times New Roman" w:cs="Times New Roman"/>
          <w:noProof/>
          <w:sz w:val="24"/>
          <w:szCs w:val="24"/>
          <w:lang w:val="sq-AL"/>
        </w:rPr>
        <w:t>adresimin e tyre</w:t>
      </w:r>
      <w:r w:rsidR="00E30848" w:rsidRPr="00641640">
        <w:rPr>
          <w:rFonts w:ascii="Times New Roman" w:hAnsi="Times New Roman" w:cs="Times New Roman"/>
          <w:noProof/>
          <w:sz w:val="24"/>
          <w:szCs w:val="24"/>
          <w:lang w:val="sq-AL"/>
        </w:rPr>
        <w:t>.</w:t>
      </w:r>
      <w:r w:rsidR="008F3A0F" w:rsidRPr="00641640">
        <w:rPr>
          <w:rFonts w:ascii="Times New Roman" w:hAnsi="Times New Roman" w:cs="Times New Roman"/>
          <w:noProof/>
          <w:sz w:val="24"/>
          <w:szCs w:val="24"/>
          <w:lang w:val="sq-AL"/>
        </w:rPr>
        <w:t xml:space="preserve"> </w:t>
      </w:r>
      <w:r w:rsidR="00E66F49" w:rsidRPr="00641640">
        <w:rPr>
          <w:rFonts w:ascii="Times New Roman" w:hAnsi="Times New Roman" w:cs="Times New Roman"/>
          <w:noProof/>
          <w:sz w:val="24"/>
          <w:szCs w:val="24"/>
          <w:lang w:val="sq-AL"/>
        </w:rPr>
        <w:t>Nj</w:t>
      </w:r>
      <w:r w:rsidR="00064AC5" w:rsidRPr="00641640">
        <w:rPr>
          <w:rFonts w:ascii="Times New Roman" w:hAnsi="Times New Roman" w:cs="Times New Roman"/>
          <w:noProof/>
          <w:sz w:val="24"/>
          <w:szCs w:val="24"/>
          <w:lang w:val="sq-AL"/>
        </w:rPr>
        <w:t>ë</w:t>
      </w:r>
      <w:r w:rsidR="00E66F49" w:rsidRPr="00641640">
        <w:rPr>
          <w:rFonts w:ascii="Times New Roman" w:hAnsi="Times New Roman" w:cs="Times New Roman"/>
          <w:noProof/>
          <w:sz w:val="24"/>
          <w:szCs w:val="24"/>
          <w:lang w:val="sq-AL"/>
        </w:rPr>
        <w:t xml:space="preserve"> takim </w:t>
      </w:r>
      <w:r w:rsidR="00FE492A" w:rsidRPr="00641640">
        <w:rPr>
          <w:rFonts w:ascii="Times New Roman" w:hAnsi="Times New Roman" w:cs="Times New Roman"/>
          <w:noProof/>
          <w:sz w:val="24"/>
          <w:szCs w:val="24"/>
          <w:lang w:val="sq-AL"/>
        </w:rPr>
        <w:t>i</w:t>
      </w:r>
      <w:r w:rsidR="00E66F49" w:rsidRPr="00641640">
        <w:rPr>
          <w:rFonts w:ascii="Times New Roman" w:hAnsi="Times New Roman" w:cs="Times New Roman"/>
          <w:noProof/>
          <w:sz w:val="24"/>
          <w:szCs w:val="24"/>
          <w:lang w:val="sq-AL"/>
        </w:rPr>
        <w:t xml:space="preserve"> dedikuar u zhvillua edhe n</w:t>
      </w:r>
      <w:r w:rsidR="00064AC5" w:rsidRPr="00641640">
        <w:rPr>
          <w:rFonts w:ascii="Times New Roman" w:hAnsi="Times New Roman" w:cs="Times New Roman"/>
          <w:noProof/>
          <w:sz w:val="24"/>
          <w:szCs w:val="24"/>
          <w:lang w:val="sq-AL"/>
        </w:rPr>
        <w:t>ë</w:t>
      </w:r>
      <w:r w:rsidR="00E66F49" w:rsidRPr="00641640">
        <w:rPr>
          <w:rFonts w:ascii="Times New Roman" w:hAnsi="Times New Roman" w:cs="Times New Roman"/>
          <w:noProof/>
          <w:sz w:val="24"/>
          <w:szCs w:val="24"/>
          <w:lang w:val="sq-AL"/>
        </w:rPr>
        <w:t xml:space="preserve"> bashk</w:t>
      </w:r>
      <w:r w:rsidR="00064AC5" w:rsidRPr="00641640">
        <w:rPr>
          <w:rFonts w:ascii="Times New Roman" w:hAnsi="Times New Roman" w:cs="Times New Roman"/>
          <w:noProof/>
          <w:sz w:val="24"/>
          <w:szCs w:val="24"/>
          <w:lang w:val="sq-AL"/>
        </w:rPr>
        <w:t>ë</w:t>
      </w:r>
      <w:r w:rsidR="00E66F49" w:rsidRPr="00641640">
        <w:rPr>
          <w:rFonts w:ascii="Times New Roman" w:hAnsi="Times New Roman" w:cs="Times New Roman"/>
          <w:noProof/>
          <w:sz w:val="24"/>
          <w:szCs w:val="24"/>
          <w:lang w:val="sq-AL"/>
        </w:rPr>
        <w:t>punim me OECD/SIGMA-n n</w:t>
      </w:r>
      <w:r w:rsidR="00064AC5" w:rsidRPr="00641640">
        <w:rPr>
          <w:rFonts w:ascii="Times New Roman" w:hAnsi="Times New Roman" w:cs="Times New Roman"/>
          <w:noProof/>
          <w:sz w:val="24"/>
          <w:szCs w:val="24"/>
          <w:lang w:val="sq-AL"/>
        </w:rPr>
        <w:t>ë</w:t>
      </w:r>
      <w:r w:rsidR="00E66F49" w:rsidRPr="00641640">
        <w:rPr>
          <w:rFonts w:ascii="Times New Roman" w:hAnsi="Times New Roman" w:cs="Times New Roman"/>
          <w:noProof/>
          <w:sz w:val="24"/>
          <w:szCs w:val="24"/>
          <w:lang w:val="sq-AL"/>
        </w:rPr>
        <w:t xml:space="preserve"> maj 2023</w:t>
      </w:r>
      <w:r w:rsidR="008F3A0F" w:rsidRPr="00641640">
        <w:rPr>
          <w:rFonts w:ascii="Times New Roman" w:hAnsi="Times New Roman" w:cs="Times New Roman"/>
          <w:noProof/>
          <w:sz w:val="24"/>
          <w:szCs w:val="24"/>
          <w:lang w:val="sq-AL"/>
        </w:rPr>
        <w:t xml:space="preserve"> p</w:t>
      </w:r>
      <w:r w:rsidR="00064AC5" w:rsidRPr="00641640">
        <w:rPr>
          <w:rFonts w:ascii="Times New Roman" w:hAnsi="Times New Roman" w:cs="Times New Roman"/>
          <w:noProof/>
          <w:sz w:val="24"/>
          <w:szCs w:val="24"/>
          <w:lang w:val="sq-AL"/>
        </w:rPr>
        <w:t>ë</w:t>
      </w:r>
      <w:r w:rsidR="008F3A0F" w:rsidRPr="00641640">
        <w:rPr>
          <w:rFonts w:ascii="Times New Roman" w:hAnsi="Times New Roman" w:cs="Times New Roman"/>
          <w:noProof/>
          <w:sz w:val="24"/>
          <w:szCs w:val="24"/>
          <w:lang w:val="sq-AL"/>
        </w:rPr>
        <w:t>r konsultimin p</w:t>
      </w:r>
      <w:r w:rsidR="00064AC5" w:rsidRPr="00641640">
        <w:rPr>
          <w:rFonts w:ascii="Times New Roman" w:hAnsi="Times New Roman" w:cs="Times New Roman"/>
          <w:noProof/>
          <w:sz w:val="24"/>
          <w:szCs w:val="24"/>
          <w:lang w:val="sq-AL"/>
        </w:rPr>
        <w:t>ë</w:t>
      </w:r>
      <w:r w:rsidR="008F3A0F" w:rsidRPr="00641640">
        <w:rPr>
          <w:rFonts w:ascii="Times New Roman" w:hAnsi="Times New Roman" w:cs="Times New Roman"/>
          <w:noProof/>
          <w:sz w:val="24"/>
          <w:szCs w:val="24"/>
          <w:lang w:val="sq-AL"/>
        </w:rPr>
        <w:t>rgatitor p</w:t>
      </w:r>
      <w:r w:rsidR="00064AC5" w:rsidRPr="00641640">
        <w:rPr>
          <w:rFonts w:ascii="Times New Roman" w:hAnsi="Times New Roman" w:cs="Times New Roman"/>
          <w:noProof/>
          <w:sz w:val="24"/>
          <w:szCs w:val="24"/>
          <w:lang w:val="sq-AL"/>
        </w:rPr>
        <w:t>ë</w:t>
      </w:r>
      <w:r w:rsidR="008F3A0F" w:rsidRPr="00641640">
        <w:rPr>
          <w:rFonts w:ascii="Times New Roman" w:hAnsi="Times New Roman" w:cs="Times New Roman"/>
          <w:noProof/>
          <w:sz w:val="24"/>
          <w:szCs w:val="24"/>
          <w:lang w:val="sq-AL"/>
        </w:rPr>
        <w:t>r hartimin e Strategjis</w:t>
      </w:r>
      <w:r w:rsidR="00064AC5" w:rsidRPr="00641640">
        <w:rPr>
          <w:rFonts w:ascii="Times New Roman" w:hAnsi="Times New Roman" w:cs="Times New Roman"/>
          <w:noProof/>
          <w:sz w:val="24"/>
          <w:szCs w:val="24"/>
          <w:lang w:val="sq-AL"/>
        </w:rPr>
        <w:t>ë</w:t>
      </w:r>
      <w:r w:rsidR="008F3A0F" w:rsidRPr="00641640">
        <w:rPr>
          <w:rFonts w:ascii="Times New Roman" w:hAnsi="Times New Roman" w:cs="Times New Roman"/>
          <w:noProof/>
          <w:sz w:val="24"/>
          <w:szCs w:val="24"/>
          <w:lang w:val="sq-AL"/>
        </w:rPr>
        <w:t xml:space="preserve"> s</w:t>
      </w:r>
      <w:r w:rsidR="00064AC5" w:rsidRPr="00641640">
        <w:rPr>
          <w:rFonts w:ascii="Times New Roman" w:hAnsi="Times New Roman" w:cs="Times New Roman"/>
          <w:noProof/>
          <w:sz w:val="24"/>
          <w:szCs w:val="24"/>
          <w:lang w:val="sq-AL"/>
        </w:rPr>
        <w:t>ë</w:t>
      </w:r>
      <w:r w:rsidR="008F3A0F" w:rsidRPr="00641640">
        <w:rPr>
          <w:rFonts w:ascii="Times New Roman" w:hAnsi="Times New Roman" w:cs="Times New Roman"/>
          <w:noProof/>
          <w:sz w:val="24"/>
          <w:szCs w:val="24"/>
          <w:lang w:val="sq-AL"/>
        </w:rPr>
        <w:t xml:space="preserve"> RAP</w:t>
      </w:r>
      <w:r w:rsidR="00E66F49" w:rsidRPr="00641640">
        <w:rPr>
          <w:rFonts w:ascii="Times New Roman" w:hAnsi="Times New Roman" w:cs="Times New Roman"/>
          <w:noProof/>
          <w:sz w:val="24"/>
          <w:szCs w:val="24"/>
          <w:lang w:val="sq-AL"/>
        </w:rPr>
        <w:t>, me q</w:t>
      </w:r>
      <w:r w:rsidR="00064AC5" w:rsidRPr="00641640">
        <w:rPr>
          <w:rFonts w:ascii="Times New Roman" w:hAnsi="Times New Roman" w:cs="Times New Roman"/>
          <w:noProof/>
          <w:sz w:val="24"/>
          <w:szCs w:val="24"/>
          <w:lang w:val="sq-AL"/>
        </w:rPr>
        <w:t>ë</w:t>
      </w:r>
      <w:r w:rsidR="00E66F49" w:rsidRPr="00641640">
        <w:rPr>
          <w:rFonts w:ascii="Times New Roman" w:hAnsi="Times New Roman" w:cs="Times New Roman"/>
          <w:noProof/>
          <w:sz w:val="24"/>
          <w:szCs w:val="24"/>
          <w:lang w:val="sq-AL"/>
        </w:rPr>
        <w:t>llimin p</w:t>
      </w:r>
      <w:r w:rsidR="00064AC5" w:rsidRPr="00641640">
        <w:rPr>
          <w:rFonts w:ascii="Times New Roman" w:hAnsi="Times New Roman" w:cs="Times New Roman"/>
          <w:noProof/>
          <w:sz w:val="24"/>
          <w:szCs w:val="24"/>
          <w:lang w:val="sq-AL"/>
        </w:rPr>
        <w:t>ë</w:t>
      </w:r>
      <w:r w:rsidR="00E66F49" w:rsidRPr="00641640">
        <w:rPr>
          <w:rFonts w:ascii="Times New Roman" w:hAnsi="Times New Roman" w:cs="Times New Roman"/>
          <w:noProof/>
          <w:sz w:val="24"/>
          <w:szCs w:val="24"/>
          <w:lang w:val="sq-AL"/>
        </w:rPr>
        <w:t>r t</w:t>
      </w:r>
      <w:r w:rsidR="00064AC5" w:rsidRPr="00641640">
        <w:rPr>
          <w:rFonts w:ascii="Times New Roman" w:hAnsi="Times New Roman" w:cs="Times New Roman"/>
          <w:noProof/>
          <w:sz w:val="24"/>
          <w:szCs w:val="24"/>
          <w:lang w:val="sq-AL"/>
        </w:rPr>
        <w:t>ë</w:t>
      </w:r>
      <w:r w:rsidR="00E66F49" w:rsidRPr="00641640">
        <w:rPr>
          <w:rFonts w:ascii="Times New Roman" w:hAnsi="Times New Roman" w:cs="Times New Roman"/>
          <w:noProof/>
          <w:sz w:val="24"/>
          <w:szCs w:val="24"/>
          <w:lang w:val="sq-AL"/>
        </w:rPr>
        <w:t xml:space="preserve"> garantuar </w:t>
      </w:r>
      <w:r w:rsidR="00B512D0" w:rsidRPr="00641640">
        <w:rPr>
          <w:rFonts w:ascii="Times New Roman" w:hAnsi="Times New Roman" w:cs="Times New Roman"/>
          <w:noProof/>
          <w:sz w:val="24"/>
          <w:szCs w:val="24"/>
          <w:lang w:val="sq-AL"/>
        </w:rPr>
        <w:t xml:space="preserve">adresimin e </w:t>
      </w:r>
      <w:r w:rsidR="00B512D0" w:rsidRPr="00641640">
        <w:rPr>
          <w:rFonts w:ascii="Times New Roman" w:hAnsi="Times New Roman" w:cs="Times New Roman"/>
          <w:noProof/>
          <w:sz w:val="24"/>
          <w:szCs w:val="24"/>
          <w:lang w:val="sq-AL"/>
        </w:rPr>
        <w:lastRenderedPageBreak/>
        <w:t>sfidave dhe rekomandimeve t</w:t>
      </w:r>
      <w:r w:rsidR="00064AC5" w:rsidRPr="00641640">
        <w:rPr>
          <w:rFonts w:ascii="Times New Roman" w:hAnsi="Times New Roman" w:cs="Times New Roman"/>
          <w:noProof/>
          <w:sz w:val="24"/>
          <w:szCs w:val="24"/>
          <w:lang w:val="sq-AL"/>
        </w:rPr>
        <w:t>ë</w:t>
      </w:r>
      <w:r w:rsidR="00B512D0" w:rsidRPr="00641640">
        <w:rPr>
          <w:rFonts w:ascii="Times New Roman" w:hAnsi="Times New Roman" w:cs="Times New Roman"/>
          <w:noProof/>
          <w:sz w:val="24"/>
          <w:szCs w:val="24"/>
          <w:lang w:val="sq-AL"/>
        </w:rPr>
        <w:t xml:space="preserve"> evidentuara n</w:t>
      </w:r>
      <w:r w:rsidR="00064AC5" w:rsidRPr="00641640">
        <w:rPr>
          <w:rFonts w:ascii="Times New Roman" w:hAnsi="Times New Roman" w:cs="Times New Roman"/>
          <w:noProof/>
          <w:sz w:val="24"/>
          <w:szCs w:val="24"/>
          <w:lang w:val="sq-AL"/>
        </w:rPr>
        <w:t>ë</w:t>
      </w:r>
      <w:r w:rsidR="00B512D0" w:rsidRPr="00641640">
        <w:rPr>
          <w:rFonts w:ascii="Times New Roman" w:hAnsi="Times New Roman" w:cs="Times New Roman"/>
          <w:noProof/>
          <w:sz w:val="24"/>
          <w:szCs w:val="24"/>
          <w:lang w:val="sq-AL"/>
        </w:rPr>
        <w:t xml:space="preserve"> Raportin e Monitorimit t</w:t>
      </w:r>
      <w:r w:rsidR="00064AC5" w:rsidRPr="00641640">
        <w:rPr>
          <w:rFonts w:ascii="Times New Roman" w:hAnsi="Times New Roman" w:cs="Times New Roman"/>
          <w:noProof/>
          <w:sz w:val="24"/>
          <w:szCs w:val="24"/>
          <w:lang w:val="sq-AL"/>
        </w:rPr>
        <w:t>ë</w:t>
      </w:r>
      <w:r w:rsidR="00B512D0" w:rsidRPr="00641640">
        <w:rPr>
          <w:rFonts w:ascii="Times New Roman" w:hAnsi="Times New Roman" w:cs="Times New Roman"/>
          <w:noProof/>
          <w:sz w:val="24"/>
          <w:szCs w:val="24"/>
          <w:lang w:val="sq-AL"/>
        </w:rPr>
        <w:t xml:space="preserve"> SIGMA-s p</w:t>
      </w:r>
      <w:r w:rsidR="00064AC5" w:rsidRPr="00641640">
        <w:rPr>
          <w:rFonts w:ascii="Times New Roman" w:hAnsi="Times New Roman" w:cs="Times New Roman"/>
          <w:noProof/>
          <w:sz w:val="24"/>
          <w:szCs w:val="24"/>
          <w:lang w:val="sq-AL"/>
        </w:rPr>
        <w:t>ë</w:t>
      </w:r>
      <w:r w:rsidR="00B512D0" w:rsidRPr="00641640">
        <w:rPr>
          <w:rFonts w:ascii="Times New Roman" w:hAnsi="Times New Roman" w:cs="Times New Roman"/>
          <w:noProof/>
          <w:sz w:val="24"/>
          <w:szCs w:val="24"/>
          <w:lang w:val="sq-AL"/>
        </w:rPr>
        <w:t>r kapacitetet dhe performanc</w:t>
      </w:r>
      <w:r w:rsidR="00064AC5" w:rsidRPr="00641640">
        <w:rPr>
          <w:rFonts w:ascii="Times New Roman" w:hAnsi="Times New Roman" w:cs="Times New Roman"/>
          <w:noProof/>
          <w:sz w:val="24"/>
          <w:szCs w:val="24"/>
          <w:lang w:val="sq-AL"/>
        </w:rPr>
        <w:t>ë</w:t>
      </w:r>
      <w:r w:rsidR="00B512D0" w:rsidRPr="00641640">
        <w:rPr>
          <w:rFonts w:ascii="Times New Roman" w:hAnsi="Times New Roman" w:cs="Times New Roman"/>
          <w:noProof/>
          <w:sz w:val="24"/>
          <w:szCs w:val="24"/>
          <w:lang w:val="sq-AL"/>
        </w:rPr>
        <w:t>n e administrat</w:t>
      </w:r>
      <w:r w:rsidR="00064AC5" w:rsidRPr="00641640">
        <w:rPr>
          <w:rFonts w:ascii="Times New Roman" w:hAnsi="Times New Roman" w:cs="Times New Roman"/>
          <w:noProof/>
          <w:sz w:val="24"/>
          <w:szCs w:val="24"/>
          <w:lang w:val="sq-AL"/>
        </w:rPr>
        <w:t>ë</w:t>
      </w:r>
      <w:r w:rsidR="00B512D0" w:rsidRPr="00641640">
        <w:rPr>
          <w:rFonts w:ascii="Times New Roman" w:hAnsi="Times New Roman" w:cs="Times New Roman"/>
          <w:noProof/>
          <w:sz w:val="24"/>
          <w:szCs w:val="24"/>
          <w:lang w:val="sq-AL"/>
        </w:rPr>
        <w:t>s publike t</w:t>
      </w:r>
      <w:r w:rsidR="00064AC5" w:rsidRPr="00641640">
        <w:rPr>
          <w:rFonts w:ascii="Times New Roman" w:hAnsi="Times New Roman" w:cs="Times New Roman"/>
          <w:noProof/>
          <w:sz w:val="24"/>
          <w:szCs w:val="24"/>
          <w:lang w:val="sq-AL"/>
        </w:rPr>
        <w:t>ë</w:t>
      </w:r>
      <w:r w:rsidR="00B512D0" w:rsidRPr="00641640">
        <w:rPr>
          <w:rFonts w:ascii="Times New Roman" w:hAnsi="Times New Roman" w:cs="Times New Roman"/>
          <w:noProof/>
          <w:sz w:val="24"/>
          <w:szCs w:val="24"/>
          <w:lang w:val="sq-AL"/>
        </w:rPr>
        <w:t xml:space="preserve"> Shqip</w:t>
      </w:r>
      <w:r w:rsidR="00064AC5" w:rsidRPr="00641640">
        <w:rPr>
          <w:rFonts w:ascii="Times New Roman" w:hAnsi="Times New Roman" w:cs="Times New Roman"/>
          <w:noProof/>
          <w:sz w:val="24"/>
          <w:szCs w:val="24"/>
          <w:lang w:val="sq-AL"/>
        </w:rPr>
        <w:t>ë</w:t>
      </w:r>
      <w:r w:rsidR="00B512D0" w:rsidRPr="00641640">
        <w:rPr>
          <w:rFonts w:ascii="Times New Roman" w:hAnsi="Times New Roman" w:cs="Times New Roman"/>
          <w:noProof/>
          <w:sz w:val="24"/>
          <w:szCs w:val="24"/>
          <w:lang w:val="sq-AL"/>
        </w:rPr>
        <w:t>ris</w:t>
      </w:r>
      <w:r w:rsidR="00064AC5" w:rsidRPr="00641640">
        <w:rPr>
          <w:rFonts w:ascii="Times New Roman" w:hAnsi="Times New Roman" w:cs="Times New Roman"/>
          <w:noProof/>
          <w:sz w:val="24"/>
          <w:szCs w:val="24"/>
          <w:lang w:val="sq-AL"/>
        </w:rPr>
        <w:t>ë</w:t>
      </w:r>
      <w:r w:rsidR="00B512D0" w:rsidRPr="00641640">
        <w:rPr>
          <w:rFonts w:ascii="Times New Roman" w:hAnsi="Times New Roman" w:cs="Times New Roman"/>
          <w:noProof/>
          <w:sz w:val="24"/>
          <w:szCs w:val="24"/>
          <w:lang w:val="sq-AL"/>
        </w:rPr>
        <w:t xml:space="preserve"> p</w:t>
      </w:r>
      <w:r w:rsidR="00064AC5" w:rsidRPr="00641640">
        <w:rPr>
          <w:rFonts w:ascii="Times New Roman" w:hAnsi="Times New Roman" w:cs="Times New Roman"/>
          <w:noProof/>
          <w:sz w:val="24"/>
          <w:szCs w:val="24"/>
          <w:lang w:val="sq-AL"/>
        </w:rPr>
        <w:t>ë</w:t>
      </w:r>
      <w:r w:rsidR="00B512D0" w:rsidRPr="00641640">
        <w:rPr>
          <w:rFonts w:ascii="Times New Roman" w:hAnsi="Times New Roman" w:cs="Times New Roman"/>
          <w:noProof/>
          <w:sz w:val="24"/>
          <w:szCs w:val="24"/>
          <w:lang w:val="sq-AL"/>
        </w:rPr>
        <w:t xml:space="preserve">r vitin 2021. </w:t>
      </w:r>
    </w:p>
    <w:p w14:paraId="21E363CE" w14:textId="72CB6D12" w:rsidR="00C659F2" w:rsidRPr="00641640" w:rsidRDefault="00B95A23"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H</w:t>
      </w:r>
      <w:r w:rsidR="00EA47DB" w:rsidRPr="00641640">
        <w:rPr>
          <w:rFonts w:ascii="Times New Roman" w:hAnsi="Times New Roman" w:cs="Times New Roman"/>
          <w:noProof/>
          <w:sz w:val="24"/>
          <w:szCs w:val="24"/>
          <w:lang w:val="sq-AL"/>
        </w:rPr>
        <w:t xml:space="preserve">artimi </w:t>
      </w:r>
      <w:r w:rsidRPr="00641640">
        <w:rPr>
          <w:rFonts w:ascii="Times New Roman" w:hAnsi="Times New Roman" w:cs="Times New Roman"/>
          <w:noProof/>
          <w:sz w:val="24"/>
          <w:szCs w:val="24"/>
          <w:lang w:val="sq-AL"/>
        </w:rPr>
        <w:t>i</w:t>
      </w:r>
      <w:r w:rsidR="00EA47DB" w:rsidRPr="00641640">
        <w:rPr>
          <w:rFonts w:ascii="Times New Roman" w:hAnsi="Times New Roman" w:cs="Times New Roman"/>
          <w:noProof/>
          <w:sz w:val="24"/>
          <w:szCs w:val="24"/>
          <w:lang w:val="sq-AL"/>
        </w:rPr>
        <w:t xml:space="preserve"> Strategjisë Ndërsektoriale </w:t>
      </w:r>
      <w:r w:rsidR="00B512D0" w:rsidRPr="00641640">
        <w:rPr>
          <w:rFonts w:ascii="Times New Roman" w:hAnsi="Times New Roman" w:cs="Times New Roman"/>
          <w:noProof/>
          <w:sz w:val="24"/>
          <w:szCs w:val="24"/>
          <w:lang w:val="sq-AL"/>
        </w:rPr>
        <w:t>ka kaluar n</w:t>
      </w:r>
      <w:r w:rsidR="00064AC5" w:rsidRPr="00641640">
        <w:rPr>
          <w:rFonts w:ascii="Times New Roman" w:hAnsi="Times New Roman" w:cs="Times New Roman"/>
          <w:noProof/>
          <w:sz w:val="24"/>
          <w:szCs w:val="24"/>
          <w:lang w:val="sq-AL"/>
        </w:rPr>
        <w:t>ë</w:t>
      </w:r>
      <w:r w:rsidR="00B512D0"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B512D0" w:rsidRPr="00641640">
        <w:rPr>
          <w:rFonts w:ascii="Times New Roman" w:hAnsi="Times New Roman" w:cs="Times New Roman"/>
          <w:noProof/>
          <w:sz w:val="24"/>
          <w:szCs w:val="24"/>
          <w:lang w:val="sq-AL"/>
        </w:rPr>
        <w:t>r nj</w:t>
      </w:r>
      <w:r w:rsidR="00064AC5" w:rsidRPr="00641640">
        <w:rPr>
          <w:rFonts w:ascii="Times New Roman" w:hAnsi="Times New Roman" w:cs="Times New Roman"/>
          <w:noProof/>
          <w:sz w:val="24"/>
          <w:szCs w:val="24"/>
          <w:lang w:val="sq-AL"/>
        </w:rPr>
        <w:t>ë</w:t>
      </w:r>
      <w:r w:rsidR="00B512D0" w:rsidRPr="00641640">
        <w:rPr>
          <w:rFonts w:ascii="Times New Roman" w:hAnsi="Times New Roman" w:cs="Times New Roman"/>
          <w:noProof/>
          <w:sz w:val="24"/>
          <w:szCs w:val="24"/>
          <w:lang w:val="sq-AL"/>
        </w:rPr>
        <w:t xml:space="preserve"> </w:t>
      </w:r>
      <w:r w:rsidR="00EA47DB" w:rsidRPr="00641640">
        <w:rPr>
          <w:rFonts w:ascii="Times New Roman" w:hAnsi="Times New Roman" w:cs="Times New Roman"/>
          <w:noProof/>
          <w:sz w:val="24"/>
          <w:szCs w:val="24"/>
          <w:lang w:val="sq-AL"/>
        </w:rPr>
        <w:t>analiz</w:t>
      </w:r>
      <w:r w:rsidR="007F00FB" w:rsidRPr="00641640">
        <w:rPr>
          <w:rFonts w:ascii="Times New Roman" w:hAnsi="Times New Roman" w:cs="Times New Roman"/>
          <w:noProof/>
          <w:sz w:val="24"/>
          <w:szCs w:val="24"/>
          <w:lang w:val="sq-AL"/>
        </w:rPr>
        <w:t>ë</w:t>
      </w:r>
      <w:r w:rsidR="00B512D0"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00B512D0" w:rsidRPr="00641640">
        <w:rPr>
          <w:rFonts w:ascii="Times New Roman" w:hAnsi="Times New Roman" w:cs="Times New Roman"/>
          <w:noProof/>
          <w:sz w:val="24"/>
          <w:szCs w:val="24"/>
          <w:lang w:val="sq-AL"/>
        </w:rPr>
        <w:t xml:space="preserve"> thell</w:t>
      </w:r>
      <w:r w:rsidR="00064AC5" w:rsidRPr="00641640">
        <w:rPr>
          <w:rFonts w:ascii="Times New Roman" w:hAnsi="Times New Roman" w:cs="Times New Roman"/>
          <w:noProof/>
          <w:sz w:val="24"/>
          <w:szCs w:val="24"/>
          <w:lang w:val="sq-AL"/>
        </w:rPr>
        <w:t>ë</w:t>
      </w:r>
      <w:r w:rsidR="00B512D0"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00EA47DB" w:rsidRPr="00641640">
        <w:rPr>
          <w:rFonts w:ascii="Times New Roman" w:hAnsi="Times New Roman" w:cs="Times New Roman"/>
          <w:noProof/>
          <w:sz w:val="24"/>
          <w:szCs w:val="24"/>
          <w:lang w:val="sq-AL"/>
        </w:rPr>
        <w:t xml:space="preserve"> arritjeve të reformës kundrejt rezultateve të</w:t>
      </w:r>
      <w:r w:rsidRPr="00641640">
        <w:rPr>
          <w:rFonts w:ascii="Times New Roman" w:hAnsi="Times New Roman" w:cs="Times New Roman"/>
          <w:noProof/>
          <w:sz w:val="24"/>
          <w:szCs w:val="24"/>
          <w:lang w:val="sq-AL"/>
        </w:rPr>
        <w:t xml:space="preserve"> synuara,</w:t>
      </w:r>
      <w:r w:rsidR="00527BD6" w:rsidRPr="00641640">
        <w:rPr>
          <w:rFonts w:ascii="Times New Roman" w:hAnsi="Times New Roman" w:cs="Times New Roman"/>
          <w:noProof/>
          <w:sz w:val="24"/>
          <w:szCs w:val="24"/>
          <w:lang w:val="sq-AL"/>
        </w:rPr>
        <w:t xml:space="preserve"> </w:t>
      </w:r>
      <w:r w:rsidR="00B512D0" w:rsidRPr="00641640">
        <w:rPr>
          <w:rFonts w:ascii="Times New Roman" w:hAnsi="Times New Roman" w:cs="Times New Roman"/>
          <w:noProof/>
          <w:sz w:val="24"/>
          <w:szCs w:val="24"/>
          <w:lang w:val="sq-AL"/>
        </w:rPr>
        <w:t>duke u mb</w:t>
      </w:r>
      <w:r w:rsidR="00064AC5" w:rsidRPr="00641640">
        <w:rPr>
          <w:rFonts w:ascii="Times New Roman" w:hAnsi="Times New Roman" w:cs="Times New Roman"/>
          <w:noProof/>
          <w:sz w:val="24"/>
          <w:szCs w:val="24"/>
          <w:lang w:val="sq-AL"/>
        </w:rPr>
        <w:t>ë</w:t>
      </w:r>
      <w:r w:rsidR="00B512D0" w:rsidRPr="00641640">
        <w:rPr>
          <w:rFonts w:ascii="Times New Roman" w:hAnsi="Times New Roman" w:cs="Times New Roman"/>
          <w:noProof/>
          <w:sz w:val="24"/>
          <w:szCs w:val="24"/>
          <w:lang w:val="sq-AL"/>
        </w:rPr>
        <w:t>shtetur n</w:t>
      </w:r>
      <w:r w:rsidR="00064AC5" w:rsidRPr="00641640">
        <w:rPr>
          <w:rFonts w:ascii="Times New Roman" w:hAnsi="Times New Roman" w:cs="Times New Roman"/>
          <w:noProof/>
          <w:sz w:val="24"/>
          <w:szCs w:val="24"/>
          <w:lang w:val="sq-AL"/>
        </w:rPr>
        <w:t>ë</w:t>
      </w:r>
      <w:r w:rsidR="00B512D0" w:rsidRPr="00641640">
        <w:rPr>
          <w:rFonts w:ascii="Times New Roman" w:hAnsi="Times New Roman" w:cs="Times New Roman"/>
          <w:noProof/>
          <w:sz w:val="24"/>
          <w:szCs w:val="24"/>
          <w:lang w:val="sq-AL"/>
        </w:rPr>
        <w:t xml:space="preserve"> gjetjet, konkluzionet dhe rekomandimet e</w:t>
      </w:r>
      <w:r w:rsidR="002D647C" w:rsidRPr="00641640">
        <w:rPr>
          <w:rFonts w:ascii="Times New Roman" w:hAnsi="Times New Roman" w:cs="Times New Roman"/>
          <w:noProof/>
          <w:sz w:val="24"/>
          <w:szCs w:val="24"/>
          <w:lang w:val="sq-AL"/>
        </w:rPr>
        <w:t>:</w:t>
      </w:r>
    </w:p>
    <w:p w14:paraId="2B7893BA" w14:textId="5138A003" w:rsidR="00C659F2" w:rsidRPr="00641640" w:rsidRDefault="00C659F2" w:rsidP="003A395D">
      <w:pPr>
        <w:pStyle w:val="ListParagraph"/>
        <w:numPr>
          <w:ilvl w:val="0"/>
          <w:numId w:val="6"/>
        </w:num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Raporte</w:t>
      </w:r>
      <w:r w:rsidR="00B95A23" w:rsidRPr="00641640">
        <w:rPr>
          <w:rFonts w:ascii="Times New Roman" w:hAnsi="Times New Roman" w:cs="Times New Roman"/>
          <w:noProof/>
          <w:sz w:val="24"/>
          <w:szCs w:val="24"/>
          <w:lang w:val="sq-AL"/>
        </w:rPr>
        <w:t>ve</w:t>
      </w:r>
      <w:r w:rsidRPr="00641640">
        <w:rPr>
          <w:rFonts w:ascii="Times New Roman" w:hAnsi="Times New Roman" w:cs="Times New Roman"/>
          <w:noProof/>
          <w:sz w:val="24"/>
          <w:szCs w:val="24"/>
          <w:lang w:val="sq-AL"/>
        </w:rPr>
        <w:t xml:space="preserve"> </w:t>
      </w:r>
      <w:r w:rsidR="00B512D0" w:rsidRPr="00641640">
        <w:rPr>
          <w:rFonts w:ascii="Times New Roman" w:hAnsi="Times New Roman" w:cs="Times New Roman"/>
          <w:noProof/>
          <w:sz w:val="24"/>
          <w:szCs w:val="24"/>
          <w:lang w:val="sq-AL"/>
        </w:rPr>
        <w:t>6-</w:t>
      </w:r>
      <w:r w:rsidRPr="00641640">
        <w:rPr>
          <w:rFonts w:ascii="Times New Roman" w:hAnsi="Times New Roman" w:cs="Times New Roman"/>
          <w:noProof/>
          <w:sz w:val="24"/>
          <w:szCs w:val="24"/>
          <w:lang w:val="sq-AL"/>
        </w:rPr>
        <w:t xml:space="preserve">mujore dhe vjetore </w:t>
      </w:r>
      <w:r w:rsidR="00B512D0"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B512D0" w:rsidRPr="00641640">
        <w:rPr>
          <w:rFonts w:ascii="Times New Roman" w:hAnsi="Times New Roman" w:cs="Times New Roman"/>
          <w:noProof/>
          <w:sz w:val="24"/>
          <w:szCs w:val="24"/>
          <w:lang w:val="sq-AL"/>
        </w:rPr>
        <w:t xml:space="preserve"> </w:t>
      </w:r>
      <w:r w:rsidR="00E250A7" w:rsidRPr="00641640">
        <w:rPr>
          <w:rFonts w:ascii="Times New Roman" w:hAnsi="Times New Roman" w:cs="Times New Roman"/>
          <w:noProof/>
          <w:sz w:val="24"/>
          <w:szCs w:val="24"/>
          <w:lang w:val="sq-AL"/>
        </w:rPr>
        <w:t>m</w:t>
      </w:r>
      <w:r w:rsidR="00B512D0" w:rsidRPr="00641640">
        <w:rPr>
          <w:rFonts w:ascii="Times New Roman" w:hAnsi="Times New Roman" w:cs="Times New Roman"/>
          <w:noProof/>
          <w:sz w:val="24"/>
          <w:szCs w:val="24"/>
          <w:lang w:val="sq-AL"/>
        </w:rPr>
        <w:t xml:space="preserve">onitorimit </w:t>
      </w:r>
      <w:r w:rsidRPr="00641640">
        <w:rPr>
          <w:rFonts w:ascii="Times New Roman" w:hAnsi="Times New Roman" w:cs="Times New Roman"/>
          <w:noProof/>
          <w:sz w:val="24"/>
          <w:szCs w:val="24"/>
          <w:lang w:val="sq-AL"/>
        </w:rPr>
        <w:t xml:space="preserve">për nivelin e zbatimit të </w:t>
      </w:r>
      <w:r w:rsidR="00B512D0" w:rsidRPr="00641640">
        <w:rPr>
          <w:rFonts w:ascii="Times New Roman" w:hAnsi="Times New Roman" w:cs="Times New Roman"/>
          <w:noProof/>
          <w:sz w:val="24"/>
          <w:szCs w:val="24"/>
          <w:lang w:val="sq-AL"/>
        </w:rPr>
        <w:t>P</w:t>
      </w:r>
      <w:r w:rsidRPr="00641640">
        <w:rPr>
          <w:rFonts w:ascii="Times New Roman" w:hAnsi="Times New Roman" w:cs="Times New Roman"/>
          <w:noProof/>
          <w:sz w:val="24"/>
          <w:szCs w:val="24"/>
          <w:lang w:val="sq-AL"/>
        </w:rPr>
        <w:t xml:space="preserve">lanit të </w:t>
      </w:r>
      <w:r w:rsidR="00B512D0" w:rsidRPr="00641640">
        <w:rPr>
          <w:rFonts w:ascii="Times New Roman" w:hAnsi="Times New Roman" w:cs="Times New Roman"/>
          <w:noProof/>
          <w:sz w:val="24"/>
          <w:szCs w:val="24"/>
          <w:lang w:val="sq-AL"/>
        </w:rPr>
        <w:t>V</w:t>
      </w:r>
      <w:r w:rsidRPr="00641640">
        <w:rPr>
          <w:rFonts w:ascii="Times New Roman" w:hAnsi="Times New Roman" w:cs="Times New Roman"/>
          <w:noProof/>
          <w:sz w:val="24"/>
          <w:szCs w:val="24"/>
          <w:lang w:val="sq-AL"/>
        </w:rPr>
        <w:t xml:space="preserve">eprimit dhe arritjen e </w:t>
      </w:r>
      <w:r w:rsidR="002D647C" w:rsidRPr="00641640">
        <w:rPr>
          <w:rFonts w:ascii="Times New Roman" w:hAnsi="Times New Roman" w:cs="Times New Roman"/>
          <w:noProof/>
          <w:sz w:val="24"/>
          <w:szCs w:val="24"/>
          <w:lang w:val="sq-AL"/>
        </w:rPr>
        <w:t xml:space="preserve">synimeve </w:t>
      </w:r>
      <w:r w:rsidRPr="00641640">
        <w:rPr>
          <w:rFonts w:ascii="Times New Roman" w:hAnsi="Times New Roman" w:cs="Times New Roman"/>
          <w:noProof/>
          <w:sz w:val="24"/>
          <w:szCs w:val="24"/>
          <w:lang w:val="sq-AL"/>
        </w:rPr>
        <w:t xml:space="preserve">dhe rezultateve të planifikuara të Strategjisë </w:t>
      </w:r>
      <w:r w:rsidR="007D04BA" w:rsidRPr="00641640">
        <w:rPr>
          <w:rFonts w:ascii="Times New Roman" w:hAnsi="Times New Roman" w:cs="Times New Roman"/>
          <w:noProof/>
          <w:sz w:val="24"/>
          <w:szCs w:val="24"/>
          <w:lang w:val="sq-AL"/>
        </w:rPr>
        <w:t>Ndërsektoriale t</w:t>
      </w:r>
      <w:r w:rsidRPr="00641640">
        <w:rPr>
          <w:rFonts w:ascii="Times New Roman" w:hAnsi="Times New Roman" w:cs="Times New Roman"/>
          <w:noProof/>
          <w:sz w:val="24"/>
          <w:szCs w:val="24"/>
          <w:lang w:val="sq-AL"/>
        </w:rPr>
        <w:t>ë RAP 201</w:t>
      </w:r>
      <w:r w:rsidR="007D04BA" w:rsidRPr="00641640">
        <w:rPr>
          <w:rFonts w:ascii="Times New Roman" w:hAnsi="Times New Roman" w:cs="Times New Roman"/>
          <w:noProof/>
          <w:sz w:val="24"/>
          <w:szCs w:val="24"/>
          <w:lang w:val="sq-AL"/>
        </w:rPr>
        <w:t>5</w:t>
      </w:r>
      <w:r w:rsidRPr="00641640">
        <w:rPr>
          <w:rFonts w:ascii="Times New Roman" w:hAnsi="Times New Roman" w:cs="Times New Roman"/>
          <w:noProof/>
          <w:sz w:val="24"/>
          <w:szCs w:val="24"/>
          <w:lang w:val="sq-AL"/>
        </w:rPr>
        <w:t>-2022;</w:t>
      </w:r>
    </w:p>
    <w:p w14:paraId="3500029D" w14:textId="5FA88CAD" w:rsidR="002D647C" w:rsidRPr="00641640" w:rsidRDefault="00C659F2" w:rsidP="003A395D">
      <w:pPr>
        <w:pStyle w:val="ListParagraph"/>
        <w:numPr>
          <w:ilvl w:val="0"/>
          <w:numId w:val="6"/>
        </w:num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Raport</w:t>
      </w:r>
      <w:r w:rsidR="002D647C" w:rsidRPr="00641640">
        <w:rPr>
          <w:rFonts w:ascii="Times New Roman" w:hAnsi="Times New Roman" w:cs="Times New Roman"/>
          <w:noProof/>
          <w:sz w:val="24"/>
          <w:szCs w:val="24"/>
          <w:lang w:val="sq-AL"/>
        </w:rPr>
        <w:t>eve</w:t>
      </w:r>
      <w:r w:rsidRPr="00641640">
        <w:rPr>
          <w:rFonts w:ascii="Times New Roman" w:hAnsi="Times New Roman" w:cs="Times New Roman"/>
          <w:noProof/>
          <w:sz w:val="24"/>
          <w:szCs w:val="24"/>
          <w:lang w:val="sq-AL"/>
        </w:rPr>
        <w:t xml:space="preserve"> </w:t>
      </w:r>
      <w:r w:rsidR="00B95A23" w:rsidRPr="00641640">
        <w:rPr>
          <w:rFonts w:ascii="Times New Roman" w:hAnsi="Times New Roman" w:cs="Times New Roman"/>
          <w:noProof/>
          <w:sz w:val="24"/>
          <w:szCs w:val="24"/>
          <w:lang w:val="sq-AL"/>
        </w:rPr>
        <w:t>t</w:t>
      </w:r>
      <w:r w:rsidR="007F00F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00E250A7" w:rsidRPr="00641640">
        <w:rPr>
          <w:rFonts w:ascii="Times New Roman" w:hAnsi="Times New Roman" w:cs="Times New Roman"/>
          <w:noProof/>
          <w:sz w:val="24"/>
          <w:szCs w:val="24"/>
          <w:lang w:val="sq-AL"/>
        </w:rPr>
        <w:t>m</w:t>
      </w:r>
      <w:r w:rsidRPr="00641640">
        <w:rPr>
          <w:rFonts w:ascii="Times New Roman" w:hAnsi="Times New Roman" w:cs="Times New Roman"/>
          <w:noProof/>
          <w:sz w:val="24"/>
          <w:szCs w:val="24"/>
          <w:lang w:val="sq-AL"/>
        </w:rPr>
        <w:t xml:space="preserve">onitorimit </w:t>
      </w:r>
      <w:r w:rsidR="007D04BA" w:rsidRPr="00641640">
        <w:rPr>
          <w:rFonts w:ascii="Times New Roman" w:hAnsi="Times New Roman" w:cs="Times New Roman"/>
          <w:noProof/>
          <w:sz w:val="24"/>
          <w:szCs w:val="24"/>
          <w:lang w:val="sq-AL"/>
        </w:rPr>
        <w:t xml:space="preserve">të </w:t>
      </w:r>
      <w:r w:rsidR="00995BBC" w:rsidRPr="00641640">
        <w:rPr>
          <w:rFonts w:ascii="Times New Roman" w:hAnsi="Times New Roman" w:cs="Times New Roman"/>
          <w:noProof/>
          <w:sz w:val="24"/>
          <w:szCs w:val="24"/>
          <w:lang w:val="sq-AL"/>
        </w:rPr>
        <w:t>OECD/</w:t>
      </w:r>
      <w:r w:rsidRPr="00641640">
        <w:rPr>
          <w:rFonts w:ascii="Times New Roman" w:hAnsi="Times New Roman" w:cs="Times New Roman"/>
          <w:noProof/>
          <w:sz w:val="24"/>
          <w:szCs w:val="24"/>
          <w:lang w:val="sq-AL"/>
        </w:rPr>
        <w:t xml:space="preserve">SIGMA për </w:t>
      </w:r>
      <w:r w:rsidR="007D04BA" w:rsidRPr="00641640">
        <w:rPr>
          <w:rFonts w:ascii="Times New Roman" w:hAnsi="Times New Roman" w:cs="Times New Roman"/>
          <w:noProof/>
          <w:sz w:val="24"/>
          <w:szCs w:val="24"/>
          <w:lang w:val="sq-AL"/>
        </w:rPr>
        <w:t>Shqip</w:t>
      </w:r>
      <w:r w:rsidR="00064AC5" w:rsidRPr="00641640">
        <w:rPr>
          <w:rFonts w:ascii="Times New Roman" w:hAnsi="Times New Roman" w:cs="Times New Roman"/>
          <w:noProof/>
          <w:sz w:val="24"/>
          <w:szCs w:val="24"/>
          <w:lang w:val="sq-AL"/>
        </w:rPr>
        <w:t>ë</w:t>
      </w:r>
      <w:r w:rsidR="007D04BA" w:rsidRPr="00641640">
        <w:rPr>
          <w:rFonts w:ascii="Times New Roman" w:hAnsi="Times New Roman" w:cs="Times New Roman"/>
          <w:noProof/>
          <w:sz w:val="24"/>
          <w:szCs w:val="24"/>
          <w:lang w:val="sq-AL"/>
        </w:rPr>
        <w:t>rinë për vit</w:t>
      </w:r>
      <w:r w:rsidR="002D647C" w:rsidRPr="00641640">
        <w:rPr>
          <w:rFonts w:ascii="Times New Roman" w:hAnsi="Times New Roman" w:cs="Times New Roman"/>
          <w:noProof/>
          <w:sz w:val="24"/>
          <w:szCs w:val="24"/>
          <w:lang w:val="sq-AL"/>
        </w:rPr>
        <w:t>et</w:t>
      </w:r>
      <w:r w:rsidR="007D04BA" w:rsidRPr="00641640">
        <w:rPr>
          <w:rFonts w:ascii="Times New Roman" w:hAnsi="Times New Roman" w:cs="Times New Roman"/>
          <w:noProof/>
          <w:sz w:val="24"/>
          <w:szCs w:val="24"/>
          <w:lang w:val="sq-AL"/>
        </w:rPr>
        <w:t xml:space="preserve"> 2021</w:t>
      </w:r>
      <w:r w:rsidR="005306DA" w:rsidRPr="00641640">
        <w:rPr>
          <w:rFonts w:ascii="Times New Roman" w:hAnsi="Times New Roman" w:cs="Times New Roman"/>
          <w:noProof/>
          <w:sz w:val="24"/>
          <w:szCs w:val="24"/>
          <w:lang w:val="sq-AL"/>
        </w:rPr>
        <w:t xml:space="preserve"> dhe 2024</w:t>
      </w:r>
      <w:r w:rsidRPr="00641640">
        <w:rPr>
          <w:rFonts w:ascii="Times New Roman" w:hAnsi="Times New Roman" w:cs="Times New Roman"/>
          <w:noProof/>
          <w:sz w:val="24"/>
          <w:szCs w:val="24"/>
          <w:lang w:val="sq-AL"/>
        </w:rPr>
        <w:t>;</w:t>
      </w:r>
    </w:p>
    <w:p w14:paraId="0CC766BD" w14:textId="201B9383" w:rsidR="003458A9" w:rsidRDefault="00B512D0" w:rsidP="003A395D">
      <w:pPr>
        <w:pStyle w:val="ListParagraph"/>
        <w:numPr>
          <w:ilvl w:val="0"/>
          <w:numId w:val="6"/>
        </w:num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Raporteve m</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gjera vler</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suese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00C659F2" w:rsidRPr="00641640">
        <w:rPr>
          <w:rFonts w:ascii="Times New Roman" w:hAnsi="Times New Roman" w:cs="Times New Roman"/>
          <w:noProof/>
          <w:sz w:val="24"/>
          <w:szCs w:val="24"/>
          <w:lang w:val="sq-AL"/>
        </w:rPr>
        <w:t>progresi</w:t>
      </w:r>
      <w:r w:rsidRPr="00641640">
        <w:rPr>
          <w:rFonts w:ascii="Times New Roman" w:hAnsi="Times New Roman" w:cs="Times New Roman"/>
          <w:noProof/>
          <w:sz w:val="24"/>
          <w:szCs w:val="24"/>
          <w:lang w:val="sq-AL"/>
        </w:rPr>
        <w:t>t t</w:t>
      </w:r>
      <w:r w:rsidR="00C659F2" w:rsidRPr="00641640">
        <w:rPr>
          <w:rFonts w:ascii="Times New Roman" w:hAnsi="Times New Roman" w:cs="Times New Roman"/>
          <w:noProof/>
          <w:sz w:val="24"/>
          <w:szCs w:val="24"/>
          <w:lang w:val="sq-AL"/>
        </w:rPr>
        <w:t xml:space="preserve">ë reformës </w:t>
      </w:r>
      <w:r w:rsidRPr="00641640">
        <w:rPr>
          <w:rFonts w:ascii="Times New Roman" w:hAnsi="Times New Roman" w:cs="Times New Roman"/>
          <w:noProof/>
          <w:sz w:val="24"/>
          <w:szCs w:val="24"/>
          <w:lang w:val="sq-AL"/>
        </w:rPr>
        <w:t>n</w:t>
      </w:r>
      <w:r w:rsidR="00C659F2" w:rsidRPr="00641640">
        <w:rPr>
          <w:rFonts w:ascii="Times New Roman" w:hAnsi="Times New Roman" w:cs="Times New Roman"/>
          <w:noProof/>
          <w:sz w:val="24"/>
          <w:szCs w:val="24"/>
          <w:lang w:val="sq-AL"/>
        </w:rPr>
        <w:t>ë administratë</w:t>
      </w:r>
      <w:r w:rsidRPr="00641640">
        <w:rPr>
          <w:rFonts w:ascii="Times New Roman" w:hAnsi="Times New Roman" w:cs="Times New Roman"/>
          <w:noProof/>
          <w:sz w:val="24"/>
          <w:szCs w:val="24"/>
          <w:lang w:val="sq-AL"/>
        </w:rPr>
        <w:t>n</w:t>
      </w:r>
      <w:r w:rsidR="00C659F2" w:rsidRPr="00641640">
        <w:rPr>
          <w:rFonts w:ascii="Times New Roman" w:hAnsi="Times New Roman" w:cs="Times New Roman"/>
          <w:noProof/>
          <w:sz w:val="24"/>
          <w:szCs w:val="24"/>
          <w:lang w:val="sq-AL"/>
        </w:rPr>
        <w:t xml:space="preserve"> publike, si Raport</w:t>
      </w:r>
      <w:r w:rsidR="002218EE">
        <w:rPr>
          <w:rFonts w:ascii="Times New Roman" w:hAnsi="Times New Roman" w:cs="Times New Roman"/>
          <w:noProof/>
          <w:sz w:val="24"/>
          <w:szCs w:val="24"/>
          <w:lang w:val="sq-AL"/>
        </w:rPr>
        <w:t>et</w:t>
      </w:r>
      <w:r w:rsidR="00C659F2" w:rsidRPr="00641640">
        <w:rPr>
          <w:rFonts w:ascii="Times New Roman" w:hAnsi="Times New Roman" w:cs="Times New Roman"/>
          <w:noProof/>
          <w:sz w:val="24"/>
          <w:szCs w:val="24"/>
          <w:lang w:val="sq-AL"/>
        </w:rPr>
        <w:t xml:space="preserve"> </w:t>
      </w:r>
      <w:r w:rsidR="002218EE">
        <w:rPr>
          <w:rFonts w:ascii="Times New Roman" w:hAnsi="Times New Roman" w:cs="Times New Roman"/>
          <w:noProof/>
          <w:sz w:val="24"/>
          <w:szCs w:val="24"/>
          <w:lang w:val="sq-AL"/>
        </w:rPr>
        <w:t>e</w:t>
      </w:r>
      <w:r w:rsidR="00C659F2" w:rsidRPr="00641640">
        <w:rPr>
          <w:rFonts w:ascii="Times New Roman" w:hAnsi="Times New Roman" w:cs="Times New Roman"/>
          <w:noProof/>
          <w:sz w:val="24"/>
          <w:szCs w:val="24"/>
          <w:lang w:val="sq-AL"/>
        </w:rPr>
        <w:t xml:space="preserve"> Komisionit Evropian</w:t>
      </w:r>
      <w:r w:rsidR="007D04BA" w:rsidRPr="00641640">
        <w:rPr>
          <w:rFonts w:ascii="Times New Roman" w:hAnsi="Times New Roman" w:cs="Times New Roman"/>
          <w:noProof/>
          <w:sz w:val="24"/>
          <w:szCs w:val="24"/>
          <w:lang w:val="sq-AL"/>
        </w:rPr>
        <w:t xml:space="preserve"> (KE)</w:t>
      </w:r>
      <w:r w:rsidR="00C659F2" w:rsidRPr="00641640">
        <w:rPr>
          <w:rFonts w:ascii="Times New Roman" w:hAnsi="Times New Roman" w:cs="Times New Roman"/>
          <w:noProof/>
          <w:sz w:val="24"/>
          <w:szCs w:val="24"/>
          <w:lang w:val="sq-AL"/>
        </w:rPr>
        <w:t xml:space="preserve"> për </w:t>
      </w:r>
      <w:r w:rsidR="007D04BA" w:rsidRPr="00641640">
        <w:rPr>
          <w:rFonts w:ascii="Times New Roman" w:hAnsi="Times New Roman" w:cs="Times New Roman"/>
          <w:noProof/>
          <w:sz w:val="24"/>
          <w:szCs w:val="24"/>
          <w:lang w:val="sq-AL"/>
        </w:rPr>
        <w:t>Shqipërinë</w:t>
      </w:r>
      <w:r w:rsidR="00C659F2" w:rsidRPr="00641640">
        <w:rPr>
          <w:rFonts w:ascii="Times New Roman" w:hAnsi="Times New Roman" w:cs="Times New Roman"/>
          <w:noProof/>
          <w:sz w:val="24"/>
          <w:szCs w:val="24"/>
          <w:lang w:val="sq-AL"/>
        </w:rPr>
        <w:t xml:space="preserve"> për vitin 202</w:t>
      </w:r>
      <w:r w:rsidR="007D04BA" w:rsidRPr="00641640">
        <w:rPr>
          <w:rFonts w:ascii="Times New Roman" w:hAnsi="Times New Roman" w:cs="Times New Roman"/>
          <w:noProof/>
          <w:sz w:val="24"/>
          <w:szCs w:val="24"/>
          <w:lang w:val="sq-AL"/>
        </w:rPr>
        <w:t>3</w:t>
      </w:r>
      <w:r w:rsidR="002218EE">
        <w:rPr>
          <w:rFonts w:ascii="Times New Roman" w:hAnsi="Times New Roman" w:cs="Times New Roman"/>
          <w:noProof/>
          <w:sz w:val="24"/>
          <w:szCs w:val="24"/>
          <w:lang w:val="sq-AL"/>
        </w:rPr>
        <w:t xml:space="preserve"> dhe vitin 2024</w:t>
      </w:r>
      <w:r w:rsidR="00707CAD">
        <w:rPr>
          <w:rFonts w:ascii="Times New Roman" w:hAnsi="Times New Roman" w:cs="Times New Roman"/>
          <w:noProof/>
          <w:sz w:val="24"/>
          <w:szCs w:val="24"/>
          <w:lang w:val="sq-AL"/>
        </w:rPr>
        <w:t>, si</w:t>
      </w:r>
      <w:r w:rsidR="00C659F2" w:rsidRPr="00641640">
        <w:rPr>
          <w:rFonts w:ascii="Times New Roman" w:hAnsi="Times New Roman" w:cs="Times New Roman"/>
          <w:noProof/>
          <w:sz w:val="24"/>
          <w:szCs w:val="24"/>
          <w:lang w:val="sq-AL"/>
        </w:rPr>
        <w:t xml:space="preserve"> dhe Raporti i Komisionit Evropian </w:t>
      </w:r>
      <w:r w:rsidR="007D04BA" w:rsidRPr="00641640">
        <w:rPr>
          <w:rFonts w:ascii="Times New Roman" w:hAnsi="Times New Roman" w:cs="Times New Roman"/>
          <w:noProof/>
          <w:sz w:val="24"/>
          <w:szCs w:val="24"/>
          <w:lang w:val="sq-AL"/>
        </w:rPr>
        <w:t>hartuar n</w:t>
      </w:r>
      <w:r w:rsidR="00064AC5" w:rsidRPr="00641640">
        <w:rPr>
          <w:rFonts w:ascii="Times New Roman" w:hAnsi="Times New Roman" w:cs="Times New Roman"/>
          <w:noProof/>
          <w:sz w:val="24"/>
          <w:szCs w:val="24"/>
          <w:lang w:val="sq-AL"/>
        </w:rPr>
        <w:t>ë</w:t>
      </w:r>
      <w:r w:rsidR="007D04BA" w:rsidRPr="00641640">
        <w:rPr>
          <w:rFonts w:ascii="Times New Roman" w:hAnsi="Times New Roman" w:cs="Times New Roman"/>
          <w:noProof/>
          <w:sz w:val="24"/>
          <w:szCs w:val="24"/>
          <w:lang w:val="sq-AL"/>
        </w:rPr>
        <w:t xml:space="preserve"> përfundim të</w:t>
      </w:r>
      <w:r w:rsidR="00C659F2" w:rsidRPr="00641640">
        <w:rPr>
          <w:rFonts w:ascii="Times New Roman" w:hAnsi="Times New Roman" w:cs="Times New Roman"/>
          <w:noProof/>
          <w:sz w:val="24"/>
          <w:szCs w:val="24"/>
          <w:lang w:val="sq-AL"/>
        </w:rPr>
        <w:t xml:space="preserve"> </w:t>
      </w:r>
      <w:r w:rsidR="007D04BA" w:rsidRPr="00641640">
        <w:rPr>
          <w:rFonts w:ascii="Times New Roman" w:hAnsi="Times New Roman" w:cs="Times New Roman"/>
          <w:noProof/>
          <w:sz w:val="24"/>
          <w:szCs w:val="24"/>
          <w:lang w:val="sq-AL"/>
        </w:rPr>
        <w:t>procesit</w:t>
      </w:r>
      <w:r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Shqyrtimit Analitik </w:t>
      </w:r>
      <w:r w:rsidRPr="00641640">
        <w:rPr>
          <w:rFonts w:ascii="Times New Roman" w:hAnsi="Times New Roman" w:cs="Times New Roman"/>
          <w:i/>
          <w:noProof/>
          <w:sz w:val="24"/>
          <w:szCs w:val="24"/>
          <w:lang w:val="sq-AL"/>
        </w:rPr>
        <w:t>(Screening)</w:t>
      </w:r>
      <w:r w:rsidR="007D04BA" w:rsidRPr="00641640">
        <w:rPr>
          <w:rFonts w:ascii="Times New Roman" w:hAnsi="Times New Roman" w:cs="Times New Roman"/>
          <w:noProof/>
          <w:sz w:val="24"/>
          <w:szCs w:val="24"/>
          <w:lang w:val="sq-AL"/>
        </w:rPr>
        <w:t xml:space="preserve"> </w:t>
      </w:r>
      <w:r w:rsidR="00C659F2" w:rsidRPr="00641640">
        <w:rPr>
          <w:rFonts w:ascii="Times New Roman" w:hAnsi="Times New Roman" w:cs="Times New Roman"/>
          <w:noProof/>
          <w:sz w:val="24"/>
          <w:szCs w:val="24"/>
          <w:lang w:val="sq-AL"/>
        </w:rPr>
        <w:t xml:space="preserve">për </w:t>
      </w:r>
      <w:r w:rsidRPr="00641640">
        <w:rPr>
          <w:rFonts w:ascii="Times New Roman" w:hAnsi="Times New Roman" w:cs="Times New Roman"/>
          <w:noProof/>
          <w:sz w:val="24"/>
          <w:szCs w:val="24"/>
          <w:lang w:val="sq-AL"/>
        </w:rPr>
        <w:t>G</w:t>
      </w:r>
      <w:r w:rsidR="007D04BA" w:rsidRPr="00641640">
        <w:rPr>
          <w:rFonts w:ascii="Times New Roman" w:hAnsi="Times New Roman" w:cs="Times New Roman"/>
          <w:noProof/>
          <w:sz w:val="24"/>
          <w:szCs w:val="24"/>
          <w:lang w:val="sq-AL"/>
        </w:rPr>
        <w:t xml:space="preserve">rupkapitujt </w:t>
      </w:r>
      <w:r w:rsidRPr="00641640">
        <w:rPr>
          <w:rFonts w:ascii="Times New Roman" w:hAnsi="Times New Roman" w:cs="Times New Roman"/>
          <w:noProof/>
          <w:sz w:val="24"/>
          <w:szCs w:val="24"/>
          <w:lang w:val="sq-AL"/>
        </w:rPr>
        <w:t xml:space="preserve">I </w:t>
      </w:r>
      <w:r w:rsidR="007D04BA" w:rsidRPr="00641640">
        <w:rPr>
          <w:rFonts w:ascii="Times New Roman" w:hAnsi="Times New Roman" w:cs="Times New Roman"/>
          <w:noProof/>
          <w:sz w:val="24"/>
          <w:szCs w:val="24"/>
          <w:lang w:val="sq-AL"/>
        </w:rPr>
        <w:t>“Themeloret”</w:t>
      </w:r>
      <w:r w:rsidRPr="00641640">
        <w:rPr>
          <w:rFonts w:ascii="Times New Roman" w:hAnsi="Times New Roman" w:cs="Times New Roman"/>
          <w:noProof/>
          <w:sz w:val="24"/>
          <w:szCs w:val="24"/>
          <w:lang w:val="sq-AL"/>
        </w:rPr>
        <w:t xml:space="preserve"> </w:t>
      </w:r>
      <w:r w:rsidR="002D647C" w:rsidRPr="00641640">
        <w:rPr>
          <w:rFonts w:ascii="Times New Roman" w:hAnsi="Times New Roman" w:cs="Times New Roman"/>
          <w:noProof/>
          <w:sz w:val="24"/>
          <w:szCs w:val="24"/>
          <w:lang w:val="sq-AL"/>
        </w:rPr>
        <w:t xml:space="preserve">publikuar </w:t>
      </w:r>
      <w:r w:rsidRPr="00641640">
        <w:rPr>
          <w:rFonts w:ascii="Times New Roman" w:hAnsi="Times New Roman" w:cs="Times New Roman"/>
          <w:noProof/>
          <w:sz w:val="24"/>
          <w:szCs w:val="24"/>
          <w:lang w:val="sq-AL"/>
        </w:rPr>
        <w:t>n</w:t>
      </w:r>
      <w:r w:rsidR="00064AC5" w:rsidRPr="00641640">
        <w:rPr>
          <w:rFonts w:ascii="Times New Roman" w:hAnsi="Times New Roman" w:cs="Times New Roman"/>
          <w:noProof/>
          <w:sz w:val="24"/>
          <w:szCs w:val="24"/>
          <w:lang w:val="sq-AL"/>
        </w:rPr>
        <w:t>ë</w:t>
      </w:r>
      <w:r w:rsidR="007D04BA" w:rsidRPr="00641640">
        <w:rPr>
          <w:rFonts w:ascii="Times New Roman" w:hAnsi="Times New Roman" w:cs="Times New Roman"/>
          <w:noProof/>
          <w:sz w:val="24"/>
          <w:szCs w:val="24"/>
          <w:lang w:val="sq-AL"/>
        </w:rPr>
        <w:t xml:space="preserve"> </w:t>
      </w:r>
      <w:r w:rsidR="002D647C" w:rsidRPr="00641640">
        <w:rPr>
          <w:rFonts w:ascii="Times New Roman" w:hAnsi="Times New Roman" w:cs="Times New Roman"/>
          <w:noProof/>
          <w:sz w:val="24"/>
          <w:szCs w:val="24"/>
          <w:lang w:val="sq-AL"/>
        </w:rPr>
        <w:t xml:space="preserve">24 </w:t>
      </w:r>
      <w:r w:rsidR="007D04BA" w:rsidRPr="00641640">
        <w:rPr>
          <w:rFonts w:ascii="Times New Roman" w:hAnsi="Times New Roman" w:cs="Times New Roman"/>
          <w:noProof/>
          <w:sz w:val="24"/>
          <w:szCs w:val="24"/>
          <w:lang w:val="sq-AL"/>
        </w:rPr>
        <w:t>korrik 2023</w:t>
      </w:r>
      <w:r w:rsidR="0091349E">
        <w:rPr>
          <w:rFonts w:ascii="Times New Roman" w:hAnsi="Times New Roman" w:cs="Times New Roman"/>
          <w:noProof/>
          <w:sz w:val="24"/>
          <w:szCs w:val="24"/>
          <w:lang w:val="sq-AL"/>
        </w:rPr>
        <w:t>;</w:t>
      </w:r>
    </w:p>
    <w:p w14:paraId="6CC655FA" w14:textId="3B8DCF04" w:rsidR="005E71B7" w:rsidRPr="00641640" w:rsidRDefault="00B95A23" w:rsidP="003A395D">
      <w:pPr>
        <w:pStyle w:val="ListParagraph"/>
        <w:spacing w:line="276" w:lineRule="auto"/>
        <w:ind w:hanging="720"/>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si </w:t>
      </w:r>
      <w:r w:rsidR="00C659F2" w:rsidRPr="00641640">
        <w:rPr>
          <w:rFonts w:ascii="Times New Roman" w:hAnsi="Times New Roman" w:cs="Times New Roman"/>
          <w:noProof/>
          <w:sz w:val="24"/>
          <w:szCs w:val="24"/>
          <w:lang w:val="sq-AL"/>
        </w:rPr>
        <w:t>dhe</w:t>
      </w:r>
      <w:r w:rsidRPr="00641640">
        <w:rPr>
          <w:rFonts w:ascii="Times New Roman" w:hAnsi="Times New Roman" w:cs="Times New Roman"/>
          <w:noProof/>
          <w:sz w:val="24"/>
          <w:szCs w:val="24"/>
          <w:lang w:val="sq-AL"/>
        </w:rPr>
        <w:t xml:space="preserve"> </w:t>
      </w:r>
    </w:p>
    <w:p w14:paraId="44FDC687" w14:textId="47D094FA" w:rsidR="00C659F2" w:rsidRPr="00641640" w:rsidRDefault="00B95A23" w:rsidP="003A395D">
      <w:pPr>
        <w:pStyle w:val="ListParagraph"/>
        <w:numPr>
          <w:ilvl w:val="0"/>
          <w:numId w:val="6"/>
        </w:num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d</w:t>
      </w:r>
      <w:r w:rsidR="00C659F2" w:rsidRPr="00641640">
        <w:rPr>
          <w:rFonts w:ascii="Times New Roman" w:hAnsi="Times New Roman" w:cs="Times New Roman"/>
          <w:noProof/>
          <w:sz w:val="24"/>
          <w:szCs w:val="24"/>
          <w:lang w:val="sq-AL"/>
        </w:rPr>
        <w:t>okument</w:t>
      </w:r>
      <w:r w:rsidR="00D35A8E"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ve</w:t>
      </w:r>
      <w:r w:rsidR="00C659F2" w:rsidRPr="00641640">
        <w:rPr>
          <w:rFonts w:ascii="Times New Roman" w:hAnsi="Times New Roman" w:cs="Times New Roman"/>
          <w:noProof/>
          <w:sz w:val="24"/>
          <w:szCs w:val="24"/>
          <w:lang w:val="sq-AL"/>
        </w:rPr>
        <w:t xml:space="preserve"> të tjer</w:t>
      </w:r>
      <w:r w:rsidR="005E71B7" w:rsidRPr="00641640">
        <w:rPr>
          <w:rFonts w:ascii="Times New Roman" w:hAnsi="Times New Roman" w:cs="Times New Roman"/>
          <w:noProof/>
          <w:sz w:val="24"/>
          <w:szCs w:val="24"/>
          <w:lang w:val="sq-AL"/>
        </w:rPr>
        <w:t>a</w:t>
      </w:r>
      <w:r w:rsidR="00C659F2" w:rsidRPr="00641640">
        <w:rPr>
          <w:rFonts w:ascii="Times New Roman" w:hAnsi="Times New Roman" w:cs="Times New Roman"/>
          <w:noProof/>
          <w:sz w:val="24"/>
          <w:szCs w:val="24"/>
          <w:lang w:val="sq-AL"/>
        </w:rPr>
        <w:t xml:space="preserve"> relevant</w:t>
      </w:r>
      <w:r w:rsidR="005E71B7" w:rsidRPr="00641640">
        <w:rPr>
          <w:rFonts w:ascii="Times New Roman" w:hAnsi="Times New Roman" w:cs="Times New Roman"/>
          <w:noProof/>
          <w:sz w:val="24"/>
          <w:szCs w:val="24"/>
          <w:lang w:val="sq-AL"/>
        </w:rPr>
        <w:t>e</w:t>
      </w:r>
      <w:r w:rsidR="00C659F2" w:rsidRPr="00641640">
        <w:rPr>
          <w:rFonts w:ascii="Times New Roman" w:hAnsi="Times New Roman" w:cs="Times New Roman"/>
          <w:noProof/>
          <w:sz w:val="24"/>
          <w:szCs w:val="24"/>
          <w:lang w:val="sq-AL"/>
        </w:rPr>
        <w:t xml:space="preserve"> </w:t>
      </w:r>
      <w:r w:rsidR="005E71B7" w:rsidRPr="00641640">
        <w:rPr>
          <w:rFonts w:ascii="Times New Roman" w:hAnsi="Times New Roman" w:cs="Times New Roman"/>
          <w:noProof/>
          <w:sz w:val="24"/>
          <w:szCs w:val="24"/>
          <w:lang w:val="sq-AL"/>
        </w:rPr>
        <w:t>q</w:t>
      </w:r>
      <w:r w:rsidR="00064AC5" w:rsidRPr="00641640">
        <w:rPr>
          <w:rFonts w:ascii="Times New Roman" w:hAnsi="Times New Roman" w:cs="Times New Roman"/>
          <w:noProof/>
          <w:sz w:val="24"/>
          <w:szCs w:val="24"/>
          <w:lang w:val="sq-AL"/>
        </w:rPr>
        <w:t>ë</w:t>
      </w:r>
      <w:r w:rsidR="005E71B7" w:rsidRPr="00641640">
        <w:rPr>
          <w:rFonts w:ascii="Times New Roman" w:hAnsi="Times New Roman" w:cs="Times New Roman"/>
          <w:noProof/>
          <w:sz w:val="24"/>
          <w:szCs w:val="24"/>
          <w:lang w:val="sq-AL"/>
        </w:rPr>
        <w:t xml:space="preserve"> trajtojn</w:t>
      </w:r>
      <w:r w:rsidR="00064AC5" w:rsidRPr="00641640">
        <w:rPr>
          <w:rFonts w:ascii="Times New Roman" w:hAnsi="Times New Roman" w:cs="Times New Roman"/>
          <w:noProof/>
          <w:sz w:val="24"/>
          <w:szCs w:val="24"/>
          <w:lang w:val="sq-AL"/>
        </w:rPr>
        <w:t>ë</w:t>
      </w:r>
      <w:r w:rsidR="005E71B7" w:rsidRPr="00641640">
        <w:rPr>
          <w:rFonts w:ascii="Times New Roman" w:hAnsi="Times New Roman" w:cs="Times New Roman"/>
          <w:noProof/>
          <w:sz w:val="24"/>
          <w:szCs w:val="24"/>
          <w:lang w:val="sq-AL"/>
        </w:rPr>
        <w:t xml:space="preserve"> fushat e nd</w:t>
      </w:r>
      <w:r w:rsidR="00064AC5" w:rsidRPr="00641640">
        <w:rPr>
          <w:rFonts w:ascii="Times New Roman" w:hAnsi="Times New Roman" w:cs="Times New Roman"/>
          <w:noProof/>
          <w:sz w:val="24"/>
          <w:szCs w:val="24"/>
          <w:lang w:val="sq-AL"/>
        </w:rPr>
        <w:t>ë</w:t>
      </w:r>
      <w:r w:rsidR="005E71B7" w:rsidRPr="00641640">
        <w:rPr>
          <w:rFonts w:ascii="Times New Roman" w:hAnsi="Times New Roman" w:cs="Times New Roman"/>
          <w:noProof/>
          <w:sz w:val="24"/>
          <w:szCs w:val="24"/>
          <w:lang w:val="sq-AL"/>
        </w:rPr>
        <w:t>rhyrjes n</w:t>
      </w:r>
      <w:r w:rsidR="00064AC5" w:rsidRPr="00641640">
        <w:rPr>
          <w:rFonts w:ascii="Times New Roman" w:hAnsi="Times New Roman" w:cs="Times New Roman"/>
          <w:noProof/>
          <w:sz w:val="24"/>
          <w:szCs w:val="24"/>
          <w:lang w:val="sq-AL"/>
        </w:rPr>
        <w:t>ë</w:t>
      </w:r>
      <w:r w:rsidR="005E71B7" w:rsidRPr="00641640">
        <w:rPr>
          <w:rFonts w:ascii="Times New Roman" w:hAnsi="Times New Roman" w:cs="Times New Roman"/>
          <w:noProof/>
          <w:sz w:val="24"/>
          <w:szCs w:val="24"/>
          <w:lang w:val="sq-AL"/>
        </w:rPr>
        <w:t xml:space="preserve"> kuad</w:t>
      </w:r>
      <w:r w:rsidR="00064AC5" w:rsidRPr="00641640">
        <w:rPr>
          <w:rFonts w:ascii="Times New Roman" w:hAnsi="Times New Roman" w:cs="Times New Roman"/>
          <w:noProof/>
          <w:sz w:val="24"/>
          <w:szCs w:val="24"/>
          <w:lang w:val="sq-AL"/>
        </w:rPr>
        <w:t>ë</w:t>
      </w:r>
      <w:r w:rsidR="005E71B7" w:rsidRPr="00641640">
        <w:rPr>
          <w:rFonts w:ascii="Times New Roman" w:hAnsi="Times New Roman" w:cs="Times New Roman"/>
          <w:noProof/>
          <w:sz w:val="24"/>
          <w:szCs w:val="24"/>
          <w:lang w:val="sq-AL"/>
        </w:rPr>
        <w:t>r t</w:t>
      </w:r>
      <w:r w:rsidR="00064AC5" w:rsidRPr="00641640">
        <w:rPr>
          <w:rFonts w:ascii="Times New Roman" w:hAnsi="Times New Roman" w:cs="Times New Roman"/>
          <w:noProof/>
          <w:sz w:val="24"/>
          <w:szCs w:val="24"/>
          <w:lang w:val="sq-AL"/>
        </w:rPr>
        <w:t>ë</w:t>
      </w:r>
      <w:r w:rsidR="005E71B7" w:rsidRPr="00641640">
        <w:rPr>
          <w:rFonts w:ascii="Times New Roman" w:hAnsi="Times New Roman" w:cs="Times New Roman"/>
          <w:noProof/>
          <w:sz w:val="24"/>
          <w:szCs w:val="24"/>
          <w:lang w:val="sq-AL"/>
        </w:rPr>
        <w:t xml:space="preserve"> </w:t>
      </w:r>
      <w:r w:rsidR="00C659F2" w:rsidRPr="00641640">
        <w:rPr>
          <w:rFonts w:ascii="Times New Roman" w:hAnsi="Times New Roman" w:cs="Times New Roman"/>
          <w:noProof/>
          <w:sz w:val="24"/>
          <w:szCs w:val="24"/>
          <w:lang w:val="sq-AL"/>
        </w:rPr>
        <w:t>reformës së administratës publike.</w:t>
      </w:r>
    </w:p>
    <w:p w14:paraId="00E93B20" w14:textId="6332EA98" w:rsidR="00122415" w:rsidRPr="00641640" w:rsidRDefault="00854523"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color w:val="000000"/>
          <w:sz w:val="24"/>
          <w:szCs w:val="24"/>
          <w:lang w:val="sq-AL"/>
        </w:rPr>
        <w:t>N</w:t>
      </w:r>
      <w:r w:rsidRPr="00641640">
        <w:rPr>
          <w:rFonts w:ascii="Times New Roman" w:hAnsi="Times New Roman" w:cs="Times New Roman"/>
          <w:noProof/>
          <w:sz w:val="24"/>
          <w:szCs w:val="24"/>
          <w:lang w:val="sq-AL"/>
        </w:rPr>
        <w:t>ë</w:t>
      </w:r>
      <w:r w:rsidRPr="00641640">
        <w:rPr>
          <w:rFonts w:ascii="Times New Roman" w:hAnsi="Times New Roman" w:cs="Times New Roman"/>
          <w:noProof/>
          <w:color w:val="000000"/>
          <w:sz w:val="24"/>
          <w:szCs w:val="24"/>
          <w:lang w:val="sq-AL"/>
        </w:rPr>
        <w:t xml:space="preserve"> fillim t</w:t>
      </w:r>
      <w:r w:rsidRPr="00641640">
        <w:rPr>
          <w:rFonts w:ascii="Times New Roman" w:hAnsi="Times New Roman" w:cs="Times New Roman"/>
          <w:noProof/>
          <w:sz w:val="24"/>
          <w:szCs w:val="24"/>
          <w:lang w:val="sq-AL"/>
        </w:rPr>
        <w:t>ë</w:t>
      </w:r>
      <w:r w:rsidRPr="00641640">
        <w:rPr>
          <w:rFonts w:ascii="Times New Roman" w:hAnsi="Times New Roman" w:cs="Times New Roman"/>
          <w:noProof/>
          <w:color w:val="000000"/>
          <w:sz w:val="24"/>
          <w:szCs w:val="24"/>
          <w:lang w:val="sq-AL"/>
        </w:rPr>
        <w:t xml:space="preserve"> vitit 2024, </w:t>
      </w:r>
      <w:r w:rsidR="00684445" w:rsidRPr="00641640">
        <w:rPr>
          <w:rFonts w:ascii="Times New Roman" w:hAnsi="Times New Roman" w:cs="Times New Roman"/>
          <w:noProof/>
          <w:color w:val="000000"/>
          <w:sz w:val="24"/>
          <w:szCs w:val="24"/>
          <w:lang w:val="sq-AL"/>
        </w:rPr>
        <w:t>p</w:t>
      </w:r>
      <w:r w:rsidR="00684445" w:rsidRPr="00641640">
        <w:rPr>
          <w:rFonts w:ascii="Times New Roman" w:hAnsi="Times New Roman" w:cs="Times New Roman"/>
          <w:noProof/>
          <w:sz w:val="24"/>
          <w:szCs w:val="24"/>
          <w:lang w:val="sq-AL"/>
        </w:rPr>
        <w:t>ë</w:t>
      </w:r>
      <w:r w:rsidR="00684445" w:rsidRPr="00641640">
        <w:rPr>
          <w:rFonts w:ascii="Times New Roman" w:hAnsi="Times New Roman" w:cs="Times New Roman"/>
          <w:noProof/>
          <w:color w:val="000000"/>
          <w:sz w:val="24"/>
          <w:szCs w:val="24"/>
          <w:lang w:val="sq-AL"/>
        </w:rPr>
        <w:t>rmes VKM</w:t>
      </w:r>
      <w:r w:rsidR="009D2D28" w:rsidRPr="00641640">
        <w:rPr>
          <w:rFonts w:ascii="Times New Roman" w:hAnsi="Times New Roman" w:cs="Times New Roman"/>
          <w:noProof/>
          <w:color w:val="000000"/>
          <w:sz w:val="24"/>
          <w:szCs w:val="24"/>
          <w:lang w:val="sq-AL"/>
        </w:rPr>
        <w:t>-së</w:t>
      </w:r>
      <w:r w:rsidR="00684445" w:rsidRPr="00641640">
        <w:rPr>
          <w:rFonts w:ascii="Times New Roman" w:hAnsi="Times New Roman" w:cs="Times New Roman"/>
          <w:noProof/>
          <w:color w:val="000000"/>
          <w:sz w:val="24"/>
          <w:szCs w:val="24"/>
          <w:lang w:val="sq-AL"/>
        </w:rPr>
        <w:t xml:space="preserve"> </w:t>
      </w:r>
      <w:r w:rsidR="009D2D28" w:rsidRPr="00641640">
        <w:rPr>
          <w:rFonts w:ascii="Times New Roman" w:hAnsi="Times New Roman" w:cs="Times New Roman"/>
          <w:noProof/>
          <w:color w:val="000000"/>
          <w:sz w:val="24"/>
          <w:szCs w:val="24"/>
          <w:lang w:val="sq-AL"/>
        </w:rPr>
        <w:t>n</w:t>
      </w:r>
      <w:r w:rsidR="00684445" w:rsidRPr="00641640">
        <w:rPr>
          <w:rFonts w:ascii="Times New Roman" w:hAnsi="Times New Roman" w:cs="Times New Roman"/>
          <w:noProof/>
          <w:color w:val="000000"/>
          <w:sz w:val="24"/>
          <w:szCs w:val="24"/>
          <w:lang w:val="sq-AL"/>
        </w:rPr>
        <w:t xml:space="preserve">r. 29, datë 17.1.2024, </w:t>
      </w:r>
      <w:r w:rsidR="005E71B7" w:rsidRPr="00641640">
        <w:rPr>
          <w:rFonts w:ascii="Times New Roman" w:hAnsi="Times New Roman" w:cs="Times New Roman"/>
          <w:noProof/>
          <w:color w:val="000000"/>
          <w:sz w:val="24"/>
          <w:szCs w:val="24"/>
          <w:lang w:val="sq-AL"/>
        </w:rPr>
        <w:t>“</w:t>
      </w:r>
      <w:r w:rsidR="005E71B7" w:rsidRPr="003E26C5">
        <w:rPr>
          <w:rFonts w:ascii="Times New Roman" w:hAnsi="Times New Roman" w:cs="Times New Roman"/>
          <w:i/>
          <w:iCs/>
          <w:noProof/>
          <w:color w:val="000000"/>
          <w:sz w:val="24"/>
          <w:szCs w:val="24"/>
          <w:lang w:val="sq-AL"/>
        </w:rPr>
        <w:t>Për përcaktimin e fushës së përgjegjësisë shtetërore të Ministrit të Shtetit për Administratën Publike dhe Antikorrupsionin</w:t>
      </w:r>
      <w:r w:rsidR="005E71B7" w:rsidRPr="00641640">
        <w:rPr>
          <w:rFonts w:ascii="Times New Roman" w:hAnsi="Times New Roman" w:cs="Times New Roman"/>
          <w:noProof/>
          <w:color w:val="000000"/>
          <w:sz w:val="24"/>
          <w:szCs w:val="24"/>
          <w:lang w:val="sq-AL"/>
        </w:rPr>
        <w:t>”, Q</w:t>
      </w:r>
      <w:r w:rsidRPr="00641640">
        <w:rPr>
          <w:rFonts w:ascii="Times New Roman" w:hAnsi="Times New Roman" w:cs="Times New Roman"/>
          <w:noProof/>
          <w:color w:val="000000"/>
          <w:sz w:val="24"/>
          <w:szCs w:val="24"/>
          <w:lang w:val="sq-AL"/>
        </w:rPr>
        <w:t xml:space="preserve">everia </w:t>
      </w:r>
      <w:r w:rsidR="005E71B7" w:rsidRPr="00641640">
        <w:rPr>
          <w:rFonts w:ascii="Times New Roman" w:hAnsi="Times New Roman" w:cs="Times New Roman"/>
          <w:noProof/>
          <w:color w:val="000000"/>
          <w:sz w:val="24"/>
          <w:szCs w:val="24"/>
          <w:lang w:val="sq-AL"/>
        </w:rPr>
        <w:t xml:space="preserve">Shqiptare miratoi krijimin e </w:t>
      </w:r>
      <w:r w:rsidRPr="00641640">
        <w:rPr>
          <w:rFonts w:ascii="Times New Roman" w:hAnsi="Times New Roman" w:cs="Times New Roman"/>
          <w:noProof/>
          <w:color w:val="000000"/>
          <w:sz w:val="24"/>
          <w:szCs w:val="24"/>
          <w:lang w:val="sq-AL"/>
        </w:rPr>
        <w:t>nj</w:t>
      </w:r>
      <w:r w:rsidRPr="00641640">
        <w:rPr>
          <w:rFonts w:ascii="Times New Roman" w:hAnsi="Times New Roman" w:cs="Times New Roman"/>
          <w:noProof/>
          <w:sz w:val="24"/>
          <w:szCs w:val="24"/>
          <w:lang w:val="sq-AL"/>
        </w:rPr>
        <w:t>ë</w:t>
      </w:r>
      <w:r w:rsidRPr="00641640">
        <w:rPr>
          <w:rFonts w:ascii="Times New Roman" w:hAnsi="Times New Roman" w:cs="Times New Roman"/>
          <w:noProof/>
          <w:color w:val="000000"/>
          <w:sz w:val="24"/>
          <w:szCs w:val="24"/>
          <w:lang w:val="sq-AL"/>
        </w:rPr>
        <w:t xml:space="preserve"> pozicion</w:t>
      </w:r>
      <w:r w:rsidR="006D3DAD" w:rsidRPr="00641640">
        <w:rPr>
          <w:rFonts w:ascii="Times New Roman" w:hAnsi="Times New Roman" w:cs="Times New Roman"/>
          <w:noProof/>
          <w:color w:val="000000"/>
          <w:sz w:val="24"/>
          <w:szCs w:val="24"/>
          <w:lang w:val="sq-AL"/>
        </w:rPr>
        <w:t>i</w:t>
      </w:r>
      <w:r w:rsidRPr="00641640">
        <w:rPr>
          <w:rFonts w:ascii="Times New Roman" w:hAnsi="Times New Roman" w:cs="Times New Roman"/>
          <w:noProof/>
          <w:color w:val="000000"/>
          <w:sz w:val="24"/>
          <w:szCs w:val="24"/>
          <w:lang w:val="sq-AL"/>
        </w:rPr>
        <w:t xml:space="preserve"> t</w:t>
      </w:r>
      <w:r w:rsidRPr="00641640">
        <w:rPr>
          <w:rFonts w:ascii="Times New Roman" w:hAnsi="Times New Roman" w:cs="Times New Roman"/>
          <w:noProof/>
          <w:sz w:val="24"/>
          <w:szCs w:val="24"/>
          <w:lang w:val="sq-AL"/>
        </w:rPr>
        <w:t>ë</w:t>
      </w:r>
      <w:r w:rsidRPr="00641640">
        <w:rPr>
          <w:rFonts w:ascii="Times New Roman" w:hAnsi="Times New Roman" w:cs="Times New Roman"/>
          <w:noProof/>
          <w:color w:val="000000"/>
          <w:sz w:val="24"/>
          <w:szCs w:val="24"/>
          <w:lang w:val="sq-AL"/>
        </w:rPr>
        <w:t xml:space="preserve"> ri ministror me p</w:t>
      </w:r>
      <w:r w:rsidRPr="00641640">
        <w:rPr>
          <w:rFonts w:ascii="Times New Roman" w:hAnsi="Times New Roman" w:cs="Times New Roman"/>
          <w:noProof/>
          <w:sz w:val="24"/>
          <w:szCs w:val="24"/>
          <w:lang w:val="sq-AL"/>
        </w:rPr>
        <w:t>ë</w:t>
      </w:r>
      <w:r w:rsidRPr="00641640">
        <w:rPr>
          <w:rFonts w:ascii="Times New Roman" w:hAnsi="Times New Roman" w:cs="Times New Roman"/>
          <w:noProof/>
          <w:color w:val="000000"/>
          <w:sz w:val="24"/>
          <w:szCs w:val="24"/>
          <w:lang w:val="sq-AL"/>
        </w:rPr>
        <w:t>rgjegj</w:t>
      </w:r>
      <w:r w:rsidRPr="00641640">
        <w:rPr>
          <w:rFonts w:ascii="Times New Roman" w:hAnsi="Times New Roman" w:cs="Times New Roman"/>
          <w:noProof/>
          <w:sz w:val="24"/>
          <w:szCs w:val="24"/>
          <w:lang w:val="sq-AL"/>
        </w:rPr>
        <w:t>ë</w:t>
      </w:r>
      <w:r w:rsidRPr="00641640">
        <w:rPr>
          <w:rFonts w:ascii="Times New Roman" w:hAnsi="Times New Roman" w:cs="Times New Roman"/>
          <w:noProof/>
          <w:color w:val="000000"/>
          <w:sz w:val="24"/>
          <w:szCs w:val="24"/>
          <w:lang w:val="sq-AL"/>
        </w:rPr>
        <w:t>sin</w:t>
      </w:r>
      <w:r w:rsidRPr="00641640">
        <w:rPr>
          <w:rFonts w:ascii="Times New Roman" w:hAnsi="Times New Roman" w:cs="Times New Roman"/>
          <w:noProof/>
          <w:sz w:val="24"/>
          <w:szCs w:val="24"/>
          <w:lang w:val="sq-AL"/>
        </w:rPr>
        <w:t>ë</w:t>
      </w:r>
      <w:r w:rsidRPr="00641640">
        <w:rPr>
          <w:rFonts w:ascii="Times New Roman" w:hAnsi="Times New Roman" w:cs="Times New Roman"/>
          <w:noProof/>
          <w:color w:val="000000"/>
          <w:sz w:val="24"/>
          <w:szCs w:val="24"/>
          <w:lang w:val="sq-AL"/>
        </w:rPr>
        <w:t xml:space="preserve"> p</w:t>
      </w:r>
      <w:r w:rsidRPr="00641640">
        <w:rPr>
          <w:rFonts w:ascii="Times New Roman" w:hAnsi="Times New Roman" w:cs="Times New Roman"/>
          <w:noProof/>
          <w:sz w:val="24"/>
          <w:szCs w:val="24"/>
          <w:lang w:val="sq-AL"/>
        </w:rPr>
        <w:t>ë</w:t>
      </w:r>
      <w:r w:rsidRPr="00641640">
        <w:rPr>
          <w:rFonts w:ascii="Times New Roman" w:hAnsi="Times New Roman" w:cs="Times New Roman"/>
          <w:noProof/>
          <w:color w:val="000000"/>
          <w:sz w:val="24"/>
          <w:szCs w:val="24"/>
          <w:lang w:val="sq-AL"/>
        </w:rPr>
        <w:t xml:space="preserve">r </w:t>
      </w:r>
      <w:r w:rsidR="006D3DAD" w:rsidRPr="00641640">
        <w:rPr>
          <w:rFonts w:ascii="Times New Roman" w:hAnsi="Times New Roman" w:cs="Times New Roman"/>
          <w:noProof/>
          <w:color w:val="000000"/>
          <w:sz w:val="24"/>
          <w:szCs w:val="24"/>
          <w:lang w:val="sq-AL"/>
        </w:rPr>
        <w:t>udh</w:t>
      </w:r>
      <w:r w:rsidR="00064AC5" w:rsidRPr="00641640">
        <w:rPr>
          <w:rFonts w:ascii="Times New Roman" w:hAnsi="Times New Roman" w:cs="Times New Roman"/>
          <w:noProof/>
          <w:color w:val="000000"/>
          <w:sz w:val="24"/>
          <w:szCs w:val="24"/>
          <w:lang w:val="sq-AL"/>
        </w:rPr>
        <w:t>ë</w:t>
      </w:r>
      <w:r w:rsidR="006D3DAD" w:rsidRPr="00641640">
        <w:rPr>
          <w:rFonts w:ascii="Times New Roman" w:hAnsi="Times New Roman" w:cs="Times New Roman"/>
          <w:noProof/>
          <w:color w:val="000000"/>
          <w:sz w:val="24"/>
          <w:szCs w:val="24"/>
          <w:lang w:val="sq-AL"/>
        </w:rPr>
        <w:t xml:space="preserve">heqjen e </w:t>
      </w:r>
      <w:r w:rsidRPr="00641640">
        <w:rPr>
          <w:rFonts w:ascii="Times New Roman" w:hAnsi="Times New Roman" w:cs="Times New Roman"/>
          <w:noProof/>
          <w:color w:val="000000"/>
          <w:sz w:val="24"/>
          <w:szCs w:val="24"/>
          <w:lang w:val="sq-AL"/>
        </w:rPr>
        <w:t>reform</w:t>
      </w:r>
      <w:r w:rsidRPr="00641640">
        <w:rPr>
          <w:rFonts w:ascii="Times New Roman" w:hAnsi="Times New Roman" w:cs="Times New Roman"/>
          <w:noProof/>
          <w:sz w:val="24"/>
          <w:szCs w:val="24"/>
          <w:lang w:val="sq-AL"/>
        </w:rPr>
        <w:t>ë</w:t>
      </w:r>
      <w:r w:rsidR="006D3DAD" w:rsidRPr="00641640">
        <w:rPr>
          <w:rFonts w:ascii="Times New Roman" w:hAnsi="Times New Roman" w:cs="Times New Roman"/>
          <w:noProof/>
          <w:color w:val="000000"/>
          <w:sz w:val="24"/>
          <w:szCs w:val="24"/>
          <w:lang w:val="sq-AL"/>
        </w:rPr>
        <w:t xml:space="preserve">s </w:t>
      </w:r>
      <w:r w:rsidRPr="00641640">
        <w:rPr>
          <w:rFonts w:ascii="Times New Roman" w:hAnsi="Times New Roman" w:cs="Times New Roman"/>
          <w:noProof/>
          <w:color w:val="000000"/>
          <w:sz w:val="24"/>
          <w:szCs w:val="24"/>
          <w:lang w:val="sq-AL"/>
        </w:rPr>
        <w:t>n</w:t>
      </w:r>
      <w:r w:rsidRPr="00641640">
        <w:rPr>
          <w:rFonts w:ascii="Times New Roman" w:hAnsi="Times New Roman" w:cs="Times New Roman"/>
          <w:noProof/>
          <w:sz w:val="24"/>
          <w:szCs w:val="24"/>
          <w:lang w:val="sq-AL"/>
        </w:rPr>
        <w:t>ë</w:t>
      </w:r>
      <w:r w:rsidRPr="00641640">
        <w:rPr>
          <w:rFonts w:ascii="Times New Roman" w:hAnsi="Times New Roman" w:cs="Times New Roman"/>
          <w:noProof/>
          <w:color w:val="000000"/>
          <w:sz w:val="24"/>
          <w:szCs w:val="24"/>
          <w:lang w:val="sq-AL"/>
        </w:rPr>
        <w:t xml:space="preserve"> administrat</w:t>
      </w:r>
      <w:r w:rsidRPr="00641640">
        <w:rPr>
          <w:rFonts w:ascii="Times New Roman" w:hAnsi="Times New Roman" w:cs="Times New Roman"/>
          <w:noProof/>
          <w:sz w:val="24"/>
          <w:szCs w:val="24"/>
          <w:lang w:val="sq-AL"/>
        </w:rPr>
        <w:t>ë</w:t>
      </w:r>
      <w:r w:rsidRPr="00641640">
        <w:rPr>
          <w:rFonts w:ascii="Times New Roman" w:hAnsi="Times New Roman" w:cs="Times New Roman"/>
          <w:noProof/>
          <w:color w:val="000000"/>
          <w:sz w:val="24"/>
          <w:szCs w:val="24"/>
          <w:lang w:val="sq-AL"/>
        </w:rPr>
        <w:t>n publike</w:t>
      </w:r>
      <w:r w:rsidR="006D3DAD" w:rsidRPr="00641640">
        <w:rPr>
          <w:rFonts w:ascii="Times New Roman" w:hAnsi="Times New Roman" w:cs="Times New Roman"/>
          <w:noProof/>
          <w:color w:val="000000"/>
          <w:sz w:val="24"/>
          <w:szCs w:val="24"/>
          <w:lang w:val="sq-AL"/>
        </w:rPr>
        <w:t>, bashk</w:t>
      </w:r>
      <w:r w:rsidR="00064AC5" w:rsidRPr="00641640">
        <w:rPr>
          <w:rFonts w:ascii="Times New Roman" w:hAnsi="Times New Roman" w:cs="Times New Roman"/>
          <w:noProof/>
          <w:color w:val="000000"/>
          <w:sz w:val="24"/>
          <w:szCs w:val="24"/>
          <w:lang w:val="sq-AL"/>
        </w:rPr>
        <w:t>ë</w:t>
      </w:r>
      <w:r w:rsidR="006D3DAD" w:rsidRPr="00641640">
        <w:rPr>
          <w:rFonts w:ascii="Times New Roman" w:hAnsi="Times New Roman" w:cs="Times New Roman"/>
          <w:noProof/>
          <w:color w:val="000000"/>
          <w:sz w:val="24"/>
          <w:szCs w:val="24"/>
          <w:lang w:val="sq-AL"/>
        </w:rPr>
        <w:t>risht me kompetenc</w:t>
      </w:r>
      <w:r w:rsidR="00064AC5" w:rsidRPr="00641640">
        <w:rPr>
          <w:rFonts w:ascii="Times New Roman" w:hAnsi="Times New Roman" w:cs="Times New Roman"/>
          <w:noProof/>
          <w:color w:val="000000"/>
          <w:sz w:val="24"/>
          <w:szCs w:val="24"/>
          <w:lang w:val="sq-AL"/>
        </w:rPr>
        <w:t>ë</w:t>
      </w:r>
      <w:r w:rsidR="006D3DAD" w:rsidRPr="00641640">
        <w:rPr>
          <w:rFonts w:ascii="Times New Roman" w:hAnsi="Times New Roman" w:cs="Times New Roman"/>
          <w:noProof/>
          <w:color w:val="000000"/>
          <w:sz w:val="24"/>
          <w:szCs w:val="24"/>
          <w:lang w:val="sq-AL"/>
        </w:rPr>
        <w:t>n p</w:t>
      </w:r>
      <w:r w:rsidR="00064AC5" w:rsidRPr="00641640">
        <w:rPr>
          <w:rFonts w:ascii="Times New Roman" w:hAnsi="Times New Roman" w:cs="Times New Roman"/>
          <w:noProof/>
          <w:color w:val="000000"/>
          <w:sz w:val="24"/>
          <w:szCs w:val="24"/>
          <w:lang w:val="sq-AL"/>
        </w:rPr>
        <w:t>ë</w:t>
      </w:r>
      <w:r w:rsidR="006D3DAD" w:rsidRPr="00641640">
        <w:rPr>
          <w:rFonts w:ascii="Times New Roman" w:hAnsi="Times New Roman" w:cs="Times New Roman"/>
          <w:noProof/>
          <w:color w:val="000000"/>
          <w:sz w:val="24"/>
          <w:szCs w:val="24"/>
          <w:lang w:val="sq-AL"/>
        </w:rPr>
        <w:t>r garantimin e zbatimit t</w:t>
      </w:r>
      <w:r w:rsidR="00064AC5" w:rsidRPr="00641640">
        <w:rPr>
          <w:rFonts w:ascii="Times New Roman" w:hAnsi="Times New Roman" w:cs="Times New Roman"/>
          <w:noProof/>
          <w:color w:val="000000"/>
          <w:sz w:val="24"/>
          <w:szCs w:val="24"/>
          <w:lang w:val="sq-AL"/>
        </w:rPr>
        <w:t>ë</w:t>
      </w:r>
      <w:r w:rsidR="006D3DAD" w:rsidRPr="00641640">
        <w:rPr>
          <w:rFonts w:ascii="Times New Roman" w:hAnsi="Times New Roman" w:cs="Times New Roman"/>
          <w:noProof/>
          <w:color w:val="000000"/>
          <w:sz w:val="24"/>
          <w:szCs w:val="24"/>
          <w:lang w:val="sq-AL"/>
        </w:rPr>
        <w:t xml:space="preserve"> parimeve t</w:t>
      </w:r>
      <w:r w:rsidR="00064AC5" w:rsidRPr="00641640">
        <w:rPr>
          <w:rFonts w:ascii="Times New Roman" w:hAnsi="Times New Roman" w:cs="Times New Roman"/>
          <w:noProof/>
          <w:color w:val="000000"/>
          <w:sz w:val="24"/>
          <w:szCs w:val="24"/>
          <w:lang w:val="sq-AL"/>
        </w:rPr>
        <w:t>ë</w:t>
      </w:r>
      <w:r w:rsidR="006D3DAD" w:rsidRPr="00641640">
        <w:rPr>
          <w:rFonts w:ascii="Times New Roman" w:hAnsi="Times New Roman" w:cs="Times New Roman"/>
          <w:noProof/>
          <w:color w:val="000000"/>
          <w:sz w:val="24"/>
          <w:szCs w:val="24"/>
          <w:lang w:val="sq-AL"/>
        </w:rPr>
        <w:t xml:space="preserve"> qeverisjes s</w:t>
      </w:r>
      <w:r w:rsidR="00064AC5" w:rsidRPr="00641640">
        <w:rPr>
          <w:rFonts w:ascii="Times New Roman" w:hAnsi="Times New Roman" w:cs="Times New Roman"/>
          <w:noProof/>
          <w:color w:val="000000"/>
          <w:sz w:val="24"/>
          <w:szCs w:val="24"/>
          <w:lang w:val="sq-AL"/>
        </w:rPr>
        <w:t>ë</w:t>
      </w:r>
      <w:r w:rsidR="006D3DAD" w:rsidRPr="00641640">
        <w:rPr>
          <w:rFonts w:ascii="Times New Roman" w:hAnsi="Times New Roman" w:cs="Times New Roman"/>
          <w:noProof/>
          <w:color w:val="000000"/>
          <w:sz w:val="24"/>
          <w:szCs w:val="24"/>
          <w:lang w:val="sq-AL"/>
        </w:rPr>
        <w:t xml:space="preserve"> mir</w:t>
      </w:r>
      <w:r w:rsidR="00064AC5" w:rsidRPr="00641640">
        <w:rPr>
          <w:rFonts w:ascii="Times New Roman" w:hAnsi="Times New Roman" w:cs="Times New Roman"/>
          <w:noProof/>
          <w:color w:val="000000"/>
          <w:sz w:val="24"/>
          <w:szCs w:val="24"/>
          <w:lang w:val="sq-AL"/>
        </w:rPr>
        <w:t>ë</w:t>
      </w:r>
      <w:r w:rsidR="006D3DAD" w:rsidRPr="00641640">
        <w:rPr>
          <w:rFonts w:ascii="Times New Roman" w:hAnsi="Times New Roman" w:cs="Times New Roman"/>
          <w:noProof/>
          <w:color w:val="000000"/>
          <w:sz w:val="24"/>
          <w:szCs w:val="24"/>
          <w:lang w:val="sq-AL"/>
        </w:rPr>
        <w:t>.</w:t>
      </w:r>
      <w:r w:rsidRPr="00641640">
        <w:rPr>
          <w:rFonts w:ascii="Times New Roman" w:hAnsi="Times New Roman" w:cs="Times New Roman"/>
          <w:noProof/>
          <w:color w:val="000000"/>
          <w:sz w:val="24"/>
          <w:szCs w:val="24"/>
          <w:lang w:val="sq-AL"/>
        </w:rPr>
        <w:t xml:space="preserve"> Ministr</w:t>
      </w:r>
      <w:r w:rsidR="000A012C" w:rsidRPr="00641640">
        <w:rPr>
          <w:rFonts w:ascii="Times New Roman" w:hAnsi="Times New Roman" w:cs="Times New Roman"/>
          <w:noProof/>
          <w:color w:val="000000"/>
          <w:sz w:val="24"/>
          <w:szCs w:val="24"/>
          <w:lang w:val="sq-AL"/>
        </w:rPr>
        <w:t>i i</w:t>
      </w:r>
      <w:r w:rsidRPr="00641640">
        <w:rPr>
          <w:rFonts w:ascii="Times New Roman" w:hAnsi="Times New Roman" w:cs="Times New Roman"/>
          <w:noProof/>
          <w:color w:val="000000"/>
          <w:sz w:val="24"/>
          <w:szCs w:val="24"/>
          <w:lang w:val="sq-AL"/>
        </w:rPr>
        <w:t xml:space="preserve"> Shtetit për Administratën Publike dhe Antikorrupsionin udh</w:t>
      </w:r>
      <w:r w:rsidRPr="00641640">
        <w:rPr>
          <w:rFonts w:ascii="Times New Roman" w:hAnsi="Times New Roman" w:cs="Times New Roman"/>
          <w:noProof/>
          <w:sz w:val="24"/>
          <w:szCs w:val="24"/>
          <w:lang w:val="sq-AL"/>
        </w:rPr>
        <w:t>ë</w:t>
      </w:r>
      <w:r w:rsidRPr="00641640">
        <w:rPr>
          <w:rFonts w:ascii="Times New Roman" w:hAnsi="Times New Roman" w:cs="Times New Roman"/>
          <w:noProof/>
          <w:color w:val="000000"/>
          <w:sz w:val="24"/>
          <w:szCs w:val="24"/>
          <w:lang w:val="sq-AL"/>
        </w:rPr>
        <w:t>hoqi pun</w:t>
      </w:r>
      <w:r w:rsidR="007F00FB" w:rsidRPr="00641640">
        <w:rPr>
          <w:rFonts w:ascii="Times New Roman" w:hAnsi="Times New Roman" w:cs="Times New Roman"/>
          <w:noProof/>
          <w:color w:val="000000"/>
          <w:sz w:val="24"/>
          <w:szCs w:val="24"/>
          <w:lang w:val="sq-AL"/>
        </w:rPr>
        <w:t>ë</w:t>
      </w:r>
      <w:r w:rsidRPr="00641640">
        <w:rPr>
          <w:rFonts w:ascii="Times New Roman" w:hAnsi="Times New Roman" w:cs="Times New Roman"/>
          <w:noProof/>
          <w:color w:val="000000"/>
          <w:sz w:val="24"/>
          <w:szCs w:val="24"/>
          <w:lang w:val="sq-AL"/>
        </w:rPr>
        <w:t xml:space="preserve">n </w:t>
      </w:r>
      <w:r w:rsidR="006D3DAD" w:rsidRPr="00641640">
        <w:rPr>
          <w:rFonts w:ascii="Times New Roman" w:hAnsi="Times New Roman" w:cs="Times New Roman"/>
          <w:noProof/>
          <w:color w:val="000000"/>
          <w:sz w:val="24"/>
          <w:szCs w:val="24"/>
          <w:lang w:val="sq-AL"/>
        </w:rPr>
        <w:t>p</w:t>
      </w:r>
      <w:r w:rsidR="00064AC5" w:rsidRPr="00641640">
        <w:rPr>
          <w:rFonts w:ascii="Times New Roman" w:hAnsi="Times New Roman" w:cs="Times New Roman"/>
          <w:noProof/>
          <w:color w:val="000000"/>
          <w:sz w:val="24"/>
          <w:szCs w:val="24"/>
          <w:lang w:val="sq-AL"/>
        </w:rPr>
        <w:t>ë</w:t>
      </w:r>
      <w:r w:rsidR="006D3DAD" w:rsidRPr="00641640">
        <w:rPr>
          <w:rFonts w:ascii="Times New Roman" w:hAnsi="Times New Roman" w:cs="Times New Roman"/>
          <w:noProof/>
          <w:color w:val="000000"/>
          <w:sz w:val="24"/>
          <w:szCs w:val="24"/>
          <w:lang w:val="sq-AL"/>
        </w:rPr>
        <w:t xml:space="preserve">r </w:t>
      </w:r>
      <w:r w:rsidR="00684445" w:rsidRPr="00641640">
        <w:rPr>
          <w:rFonts w:ascii="Times New Roman" w:hAnsi="Times New Roman" w:cs="Times New Roman"/>
          <w:noProof/>
          <w:color w:val="000000"/>
          <w:sz w:val="24"/>
          <w:szCs w:val="24"/>
          <w:lang w:val="sq-AL"/>
        </w:rPr>
        <w:t>finalizimin</w:t>
      </w:r>
      <w:r w:rsidRPr="00641640">
        <w:rPr>
          <w:rFonts w:ascii="Times New Roman" w:hAnsi="Times New Roman" w:cs="Times New Roman"/>
          <w:noProof/>
          <w:color w:val="000000"/>
          <w:sz w:val="24"/>
          <w:szCs w:val="24"/>
          <w:lang w:val="sq-AL"/>
        </w:rPr>
        <w:t xml:space="preserve"> </w:t>
      </w:r>
      <w:r w:rsidR="00684445" w:rsidRPr="00641640">
        <w:rPr>
          <w:rFonts w:ascii="Times New Roman" w:hAnsi="Times New Roman" w:cs="Times New Roman"/>
          <w:noProof/>
          <w:sz w:val="24"/>
          <w:szCs w:val="24"/>
          <w:lang w:val="sq-AL"/>
        </w:rPr>
        <w:t>e</w:t>
      </w:r>
      <w:r w:rsidRPr="00641640">
        <w:rPr>
          <w:rFonts w:ascii="Times New Roman" w:hAnsi="Times New Roman" w:cs="Times New Roman"/>
          <w:noProof/>
          <w:color w:val="000000"/>
          <w:sz w:val="24"/>
          <w:szCs w:val="24"/>
          <w:lang w:val="sq-AL"/>
        </w:rPr>
        <w:t xml:space="preserve"> </w:t>
      </w:r>
      <w:r w:rsidRPr="00641640">
        <w:rPr>
          <w:rFonts w:ascii="Times New Roman" w:hAnsi="Times New Roman" w:cs="Times New Roman"/>
          <w:noProof/>
          <w:sz w:val="24"/>
          <w:szCs w:val="24"/>
          <w:lang w:val="sq-AL"/>
        </w:rPr>
        <w:t>Strategjisë Ndërsektoriale të Reformës së Administratës Publike 202</w:t>
      </w:r>
      <w:r w:rsidR="009D2D28" w:rsidRPr="00641640">
        <w:rPr>
          <w:rFonts w:ascii="Times New Roman" w:hAnsi="Times New Roman" w:cs="Times New Roman"/>
          <w:noProof/>
          <w:sz w:val="24"/>
          <w:szCs w:val="24"/>
          <w:lang w:val="sq-AL"/>
        </w:rPr>
        <w:t>5</w:t>
      </w:r>
      <w:r w:rsidRPr="00641640">
        <w:rPr>
          <w:rFonts w:ascii="Times New Roman" w:hAnsi="Times New Roman" w:cs="Times New Roman"/>
          <w:noProof/>
          <w:sz w:val="24"/>
          <w:szCs w:val="24"/>
          <w:lang w:val="sq-AL"/>
        </w:rPr>
        <w:t>–2030</w:t>
      </w:r>
      <w:r w:rsidR="006D3DAD" w:rsidRPr="00641640">
        <w:rPr>
          <w:rFonts w:ascii="Times New Roman" w:hAnsi="Times New Roman" w:cs="Times New Roman"/>
          <w:noProof/>
          <w:sz w:val="24"/>
          <w:szCs w:val="24"/>
          <w:lang w:val="sq-AL"/>
        </w:rPr>
        <w:t xml:space="preserve"> dhe </w:t>
      </w:r>
      <w:r w:rsidRPr="00641640">
        <w:rPr>
          <w:rFonts w:ascii="Times New Roman" w:hAnsi="Times New Roman" w:cs="Times New Roman"/>
          <w:noProof/>
          <w:sz w:val="24"/>
          <w:szCs w:val="24"/>
          <w:lang w:val="sq-AL"/>
        </w:rPr>
        <w:t xml:space="preserve">procesin e konsultimit </w:t>
      </w:r>
      <w:r w:rsidR="00684445" w:rsidRPr="00641640">
        <w:rPr>
          <w:rFonts w:ascii="Times New Roman" w:hAnsi="Times New Roman" w:cs="Times New Roman"/>
          <w:noProof/>
          <w:sz w:val="24"/>
          <w:szCs w:val="24"/>
          <w:lang w:val="sq-AL"/>
        </w:rPr>
        <w:t xml:space="preserve">publik </w:t>
      </w:r>
      <w:r w:rsidRPr="00641640">
        <w:rPr>
          <w:rFonts w:ascii="Times New Roman" w:hAnsi="Times New Roman" w:cs="Times New Roman"/>
          <w:noProof/>
          <w:sz w:val="24"/>
          <w:szCs w:val="24"/>
          <w:lang w:val="sq-AL"/>
        </w:rPr>
        <w:t>t</w:t>
      </w:r>
      <w:r w:rsidR="007F00F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006D3DAD" w:rsidRPr="00641640">
        <w:rPr>
          <w:rFonts w:ascii="Times New Roman" w:hAnsi="Times New Roman" w:cs="Times New Roman"/>
          <w:noProof/>
          <w:sz w:val="24"/>
          <w:szCs w:val="24"/>
          <w:lang w:val="sq-AL"/>
        </w:rPr>
        <w:t>paket</w:t>
      </w:r>
      <w:r w:rsidR="00064AC5" w:rsidRPr="00641640">
        <w:rPr>
          <w:rFonts w:ascii="Times New Roman" w:hAnsi="Times New Roman" w:cs="Times New Roman"/>
          <w:noProof/>
          <w:sz w:val="24"/>
          <w:szCs w:val="24"/>
          <w:lang w:val="sq-AL"/>
        </w:rPr>
        <w:t>ë</w:t>
      </w:r>
      <w:r w:rsidR="006D3DAD" w:rsidRPr="00641640">
        <w:rPr>
          <w:rFonts w:ascii="Times New Roman" w:hAnsi="Times New Roman" w:cs="Times New Roman"/>
          <w:noProof/>
          <w:sz w:val="24"/>
          <w:szCs w:val="24"/>
          <w:lang w:val="sq-AL"/>
        </w:rPr>
        <w:t>s s</w:t>
      </w:r>
      <w:r w:rsidR="00064AC5" w:rsidRPr="00641640">
        <w:rPr>
          <w:rFonts w:ascii="Times New Roman" w:hAnsi="Times New Roman" w:cs="Times New Roman"/>
          <w:noProof/>
          <w:sz w:val="24"/>
          <w:szCs w:val="24"/>
          <w:lang w:val="sq-AL"/>
        </w:rPr>
        <w:t>ë</w:t>
      </w:r>
      <w:r w:rsidR="006D3DAD" w:rsidRPr="00641640">
        <w:rPr>
          <w:rFonts w:ascii="Times New Roman" w:hAnsi="Times New Roman" w:cs="Times New Roman"/>
          <w:noProof/>
          <w:sz w:val="24"/>
          <w:szCs w:val="24"/>
          <w:lang w:val="sq-AL"/>
        </w:rPr>
        <w:t xml:space="preserve"> finalizuar strategjike.</w:t>
      </w:r>
    </w:p>
    <w:p w14:paraId="4706309C" w14:textId="5D076CE3" w:rsidR="0038118E" w:rsidRPr="00641640" w:rsidRDefault="006D3DAD"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 </w:t>
      </w:r>
    </w:p>
    <w:p w14:paraId="12208CFE" w14:textId="1D12E734" w:rsidR="005E71B7" w:rsidRPr="00641640" w:rsidRDefault="00122415" w:rsidP="003A395D">
      <w:pPr>
        <w:spacing w:line="276" w:lineRule="auto"/>
        <w:jc w:val="both"/>
        <w:rPr>
          <w:rFonts w:ascii="Times New Roman" w:hAnsi="Times New Roman" w:cs="Times New Roman"/>
          <w:b/>
          <w:bCs/>
          <w:noProof/>
          <w:color w:val="C45911" w:themeColor="accent2" w:themeShade="BF"/>
          <w:sz w:val="24"/>
          <w:szCs w:val="24"/>
          <w:lang w:val="sq-AL"/>
        </w:rPr>
      </w:pPr>
      <w:bookmarkStart w:id="13" w:name="_Toc189510614"/>
      <w:r w:rsidRPr="00641640">
        <w:rPr>
          <w:rFonts w:ascii="Times New Roman" w:hAnsi="Times New Roman" w:cs="Times New Roman"/>
          <w:b/>
          <w:bCs/>
          <w:noProof/>
          <w:color w:val="C45911" w:themeColor="accent2" w:themeShade="BF"/>
          <w:sz w:val="24"/>
          <w:szCs w:val="24"/>
          <w:lang w:val="sq-AL"/>
        </w:rPr>
        <w:t>1.3</w:t>
      </w:r>
      <w:r w:rsidR="005436F5" w:rsidRPr="00641640">
        <w:rPr>
          <w:rFonts w:ascii="Times New Roman" w:hAnsi="Times New Roman" w:cs="Times New Roman"/>
          <w:b/>
          <w:bCs/>
          <w:noProof/>
          <w:color w:val="C45911" w:themeColor="accent2" w:themeShade="BF"/>
          <w:sz w:val="24"/>
          <w:szCs w:val="24"/>
          <w:lang w:val="sq-AL"/>
        </w:rPr>
        <w:t>.</w:t>
      </w:r>
      <w:r w:rsidRPr="00641640">
        <w:rPr>
          <w:rFonts w:ascii="Times New Roman" w:hAnsi="Times New Roman" w:cs="Times New Roman"/>
          <w:b/>
          <w:bCs/>
          <w:noProof/>
          <w:color w:val="C45911" w:themeColor="accent2" w:themeShade="BF"/>
          <w:sz w:val="24"/>
          <w:szCs w:val="24"/>
          <w:lang w:val="sq-AL"/>
        </w:rPr>
        <w:t xml:space="preserve"> </w:t>
      </w:r>
      <w:r w:rsidR="005E71B7" w:rsidRPr="00641640">
        <w:rPr>
          <w:rFonts w:ascii="Times New Roman" w:hAnsi="Times New Roman" w:cs="Times New Roman"/>
          <w:b/>
          <w:bCs/>
          <w:noProof/>
          <w:color w:val="C45911" w:themeColor="accent2" w:themeShade="BF"/>
          <w:sz w:val="24"/>
          <w:szCs w:val="24"/>
          <w:lang w:val="sq-AL"/>
        </w:rPr>
        <w:t>Struktura e Strategjisë Ndërsektoriale të RAP</w:t>
      </w:r>
      <w:bookmarkEnd w:id="13"/>
    </w:p>
    <w:p w14:paraId="15DD666C" w14:textId="42C06302" w:rsidR="0038118E" w:rsidRPr="00641640" w:rsidRDefault="005E71B7" w:rsidP="003A395D">
      <w:pPr>
        <w:spacing w:after="0"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Struktura e Strategjisë Ndërsektoriale </w:t>
      </w:r>
      <w:r w:rsidR="002D647C" w:rsidRPr="00641640">
        <w:rPr>
          <w:rFonts w:ascii="Times New Roman" w:hAnsi="Times New Roman" w:cs="Times New Roman"/>
          <w:noProof/>
          <w:sz w:val="24"/>
          <w:szCs w:val="24"/>
          <w:lang w:val="sq-AL"/>
        </w:rPr>
        <w:t xml:space="preserve">të RAP </w:t>
      </w:r>
      <w:r w:rsidR="00570D13">
        <w:rPr>
          <w:rFonts w:ascii="Times New Roman" w:hAnsi="Times New Roman" w:cs="Times New Roman"/>
          <w:noProof/>
          <w:sz w:val="24"/>
          <w:szCs w:val="24"/>
          <w:lang w:val="sq-AL"/>
        </w:rPr>
        <w:t xml:space="preserve">2025-2030 </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sht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hartuar n</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rputhje me </w:t>
      </w:r>
      <w:r w:rsidR="005D5D24">
        <w:rPr>
          <w:rFonts w:ascii="Times New Roman" w:hAnsi="Times New Roman" w:cs="Times New Roman"/>
          <w:noProof/>
          <w:sz w:val="24"/>
          <w:szCs w:val="24"/>
          <w:lang w:val="sq-AL"/>
        </w:rPr>
        <w:t>k</w:t>
      </w:r>
      <w:r w:rsidRPr="00641640">
        <w:rPr>
          <w:rFonts w:ascii="Times New Roman" w:hAnsi="Times New Roman" w:cs="Times New Roman"/>
          <w:noProof/>
          <w:sz w:val="24"/>
          <w:szCs w:val="24"/>
          <w:lang w:val="sq-AL"/>
        </w:rPr>
        <w:t xml:space="preserve">uadrin </w:t>
      </w:r>
      <w:r w:rsidR="005D5D24">
        <w:rPr>
          <w:rFonts w:ascii="Times New Roman" w:hAnsi="Times New Roman" w:cs="Times New Roman"/>
          <w:noProof/>
          <w:sz w:val="24"/>
          <w:szCs w:val="24"/>
          <w:lang w:val="sq-AL"/>
        </w:rPr>
        <w:t>s</w:t>
      </w:r>
      <w:r w:rsidRPr="00641640">
        <w:rPr>
          <w:rFonts w:ascii="Times New Roman" w:hAnsi="Times New Roman" w:cs="Times New Roman"/>
          <w:noProof/>
          <w:sz w:val="24"/>
          <w:szCs w:val="24"/>
          <w:lang w:val="sq-AL"/>
        </w:rPr>
        <w:t xml:space="preserve">trukturor për </w:t>
      </w:r>
      <w:r w:rsidR="005D5D24">
        <w:rPr>
          <w:rFonts w:ascii="Times New Roman" w:hAnsi="Times New Roman" w:cs="Times New Roman"/>
          <w:noProof/>
          <w:sz w:val="24"/>
          <w:szCs w:val="24"/>
          <w:lang w:val="sq-AL"/>
        </w:rPr>
        <w:t>h</w:t>
      </w:r>
      <w:r w:rsidRPr="00641640">
        <w:rPr>
          <w:rFonts w:ascii="Times New Roman" w:hAnsi="Times New Roman" w:cs="Times New Roman"/>
          <w:noProof/>
          <w:sz w:val="24"/>
          <w:szCs w:val="24"/>
          <w:lang w:val="sq-AL"/>
        </w:rPr>
        <w:t xml:space="preserve">artimin e Strategjive Sektoriale/Ndërsektoriale në </w:t>
      </w:r>
      <w:r w:rsidR="00970378">
        <w:rPr>
          <w:rFonts w:ascii="Times New Roman" w:hAnsi="Times New Roman" w:cs="Times New Roman"/>
          <w:noProof/>
          <w:sz w:val="24"/>
          <w:szCs w:val="24"/>
          <w:lang w:val="sq-AL"/>
        </w:rPr>
        <w:t>p</w:t>
      </w:r>
      <w:r w:rsidRPr="00641640">
        <w:rPr>
          <w:rFonts w:ascii="Times New Roman" w:hAnsi="Times New Roman" w:cs="Times New Roman"/>
          <w:noProof/>
          <w:sz w:val="24"/>
          <w:szCs w:val="24"/>
          <w:lang w:val="sq-AL"/>
        </w:rPr>
        <w:t>ërputhje me Standardet e Sistemit IPSIS.</w:t>
      </w:r>
      <w:r w:rsidR="006D3DAD" w:rsidRPr="00641640">
        <w:rPr>
          <w:rFonts w:ascii="Times New Roman" w:hAnsi="Times New Roman" w:cs="Times New Roman"/>
          <w:noProof/>
          <w:sz w:val="24"/>
          <w:szCs w:val="24"/>
          <w:lang w:val="sq-AL"/>
        </w:rPr>
        <w:t xml:space="preserve"> Dokumenti </w:t>
      </w:r>
      <w:r w:rsidR="00064AC5" w:rsidRPr="00641640">
        <w:rPr>
          <w:rFonts w:ascii="Times New Roman" w:hAnsi="Times New Roman" w:cs="Times New Roman"/>
          <w:noProof/>
          <w:sz w:val="24"/>
          <w:szCs w:val="24"/>
          <w:lang w:val="sq-AL"/>
        </w:rPr>
        <w:t>ë</w:t>
      </w:r>
      <w:r w:rsidR="006D3DAD" w:rsidRPr="00641640">
        <w:rPr>
          <w:rFonts w:ascii="Times New Roman" w:hAnsi="Times New Roman" w:cs="Times New Roman"/>
          <w:noProof/>
          <w:sz w:val="24"/>
          <w:szCs w:val="24"/>
          <w:lang w:val="sq-AL"/>
        </w:rPr>
        <w:t>sht</w:t>
      </w:r>
      <w:r w:rsidR="00064AC5" w:rsidRPr="00641640">
        <w:rPr>
          <w:rFonts w:ascii="Times New Roman" w:hAnsi="Times New Roman" w:cs="Times New Roman"/>
          <w:noProof/>
          <w:sz w:val="24"/>
          <w:szCs w:val="24"/>
          <w:lang w:val="sq-AL"/>
        </w:rPr>
        <w:t>ë</w:t>
      </w:r>
      <w:r w:rsidR="006D3DAD" w:rsidRPr="00641640">
        <w:rPr>
          <w:rFonts w:ascii="Times New Roman" w:hAnsi="Times New Roman" w:cs="Times New Roman"/>
          <w:noProof/>
          <w:sz w:val="24"/>
          <w:szCs w:val="24"/>
          <w:lang w:val="sq-AL"/>
        </w:rPr>
        <w:t xml:space="preserve"> </w:t>
      </w:r>
      <w:r w:rsidR="0038118E" w:rsidRPr="00641640">
        <w:rPr>
          <w:rFonts w:ascii="Times New Roman" w:hAnsi="Times New Roman" w:cs="Times New Roman"/>
          <w:noProof/>
          <w:sz w:val="24"/>
          <w:szCs w:val="24"/>
          <w:lang w:val="sq-AL"/>
        </w:rPr>
        <w:t>strukturuar</w:t>
      </w:r>
      <w:r w:rsidR="00684445" w:rsidRPr="00641640">
        <w:rPr>
          <w:rFonts w:ascii="Times New Roman" w:hAnsi="Times New Roman" w:cs="Times New Roman"/>
          <w:noProof/>
          <w:sz w:val="24"/>
          <w:szCs w:val="24"/>
          <w:lang w:val="sq-AL"/>
        </w:rPr>
        <w:t xml:space="preserve"> </w:t>
      </w:r>
      <w:r w:rsidR="0038118E" w:rsidRPr="00641640">
        <w:rPr>
          <w:rFonts w:ascii="Times New Roman" w:hAnsi="Times New Roman" w:cs="Times New Roman"/>
          <w:noProof/>
          <w:sz w:val="24"/>
          <w:szCs w:val="24"/>
          <w:lang w:val="sq-AL"/>
        </w:rPr>
        <w:t xml:space="preserve">në </w:t>
      </w:r>
      <w:r w:rsidR="0019070C" w:rsidRPr="00641640">
        <w:rPr>
          <w:rFonts w:ascii="Times New Roman" w:hAnsi="Times New Roman" w:cs="Times New Roman"/>
          <w:noProof/>
          <w:sz w:val="24"/>
          <w:szCs w:val="24"/>
          <w:lang w:val="sq-AL"/>
        </w:rPr>
        <w:t xml:space="preserve">pesë </w:t>
      </w:r>
      <w:r w:rsidR="006D3DAD" w:rsidRPr="00641640">
        <w:rPr>
          <w:rFonts w:ascii="Times New Roman" w:hAnsi="Times New Roman" w:cs="Times New Roman"/>
          <w:noProof/>
          <w:sz w:val="24"/>
          <w:szCs w:val="24"/>
          <w:lang w:val="sq-AL"/>
        </w:rPr>
        <w:t>Q</w:t>
      </w:r>
      <w:r w:rsidR="0019070C" w:rsidRPr="00641640">
        <w:rPr>
          <w:rFonts w:ascii="Times New Roman" w:hAnsi="Times New Roman" w:cs="Times New Roman"/>
          <w:noProof/>
          <w:sz w:val="24"/>
          <w:szCs w:val="24"/>
          <w:lang w:val="sq-AL"/>
        </w:rPr>
        <w:t xml:space="preserve">ëllime të </w:t>
      </w:r>
      <w:r w:rsidR="006D3DAD" w:rsidRPr="00641640">
        <w:rPr>
          <w:rFonts w:ascii="Times New Roman" w:hAnsi="Times New Roman" w:cs="Times New Roman"/>
          <w:noProof/>
          <w:sz w:val="24"/>
          <w:szCs w:val="24"/>
          <w:lang w:val="sq-AL"/>
        </w:rPr>
        <w:t>P</w:t>
      </w:r>
      <w:r w:rsidR="0019070C" w:rsidRPr="00641640">
        <w:rPr>
          <w:rFonts w:ascii="Times New Roman" w:hAnsi="Times New Roman" w:cs="Times New Roman"/>
          <w:noProof/>
          <w:sz w:val="24"/>
          <w:szCs w:val="24"/>
          <w:lang w:val="sq-AL"/>
        </w:rPr>
        <w:t>olitik</w:t>
      </w:r>
      <w:r w:rsidR="00064AC5" w:rsidRPr="00641640">
        <w:rPr>
          <w:rFonts w:ascii="Times New Roman" w:hAnsi="Times New Roman" w:cs="Times New Roman"/>
          <w:noProof/>
          <w:sz w:val="24"/>
          <w:szCs w:val="24"/>
          <w:lang w:val="sq-AL"/>
        </w:rPr>
        <w:t>ë</w:t>
      </w:r>
      <w:r w:rsidR="006D3DAD" w:rsidRPr="00641640">
        <w:rPr>
          <w:rFonts w:ascii="Times New Roman" w:hAnsi="Times New Roman" w:cs="Times New Roman"/>
          <w:noProof/>
          <w:sz w:val="24"/>
          <w:szCs w:val="24"/>
          <w:lang w:val="sq-AL"/>
        </w:rPr>
        <w:t>s</w:t>
      </w:r>
      <w:r w:rsidR="0019070C" w:rsidRPr="00641640">
        <w:rPr>
          <w:rFonts w:ascii="Times New Roman" w:hAnsi="Times New Roman" w:cs="Times New Roman"/>
          <w:noProof/>
          <w:sz w:val="24"/>
          <w:szCs w:val="24"/>
          <w:lang w:val="sq-AL"/>
        </w:rPr>
        <w:t xml:space="preserve"> </w:t>
      </w:r>
      <w:r w:rsidR="006D3DAD" w:rsidRPr="00641640">
        <w:rPr>
          <w:rFonts w:ascii="Times New Roman" w:hAnsi="Times New Roman" w:cs="Times New Roman"/>
          <w:noProof/>
          <w:sz w:val="24"/>
          <w:szCs w:val="24"/>
          <w:lang w:val="sq-AL"/>
        </w:rPr>
        <w:t>sektoriale</w:t>
      </w:r>
      <w:r w:rsidR="0038118E" w:rsidRPr="00641640">
        <w:rPr>
          <w:rFonts w:ascii="Times New Roman" w:hAnsi="Times New Roman" w:cs="Times New Roman"/>
          <w:noProof/>
          <w:sz w:val="24"/>
          <w:szCs w:val="24"/>
          <w:lang w:val="sq-AL"/>
        </w:rPr>
        <w:t xml:space="preserve">, </w:t>
      </w:r>
      <w:r w:rsidR="006D3DAD"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6D3DAD" w:rsidRPr="00641640">
        <w:rPr>
          <w:rFonts w:ascii="Times New Roman" w:hAnsi="Times New Roman" w:cs="Times New Roman"/>
          <w:noProof/>
          <w:sz w:val="24"/>
          <w:szCs w:val="24"/>
          <w:lang w:val="sq-AL"/>
        </w:rPr>
        <w:t xml:space="preserve"> cilat</w:t>
      </w:r>
      <w:r w:rsidR="00684445" w:rsidRPr="00641640">
        <w:rPr>
          <w:rFonts w:ascii="Times New Roman" w:hAnsi="Times New Roman" w:cs="Times New Roman"/>
          <w:noProof/>
          <w:sz w:val="24"/>
          <w:szCs w:val="24"/>
          <w:lang w:val="sq-AL"/>
        </w:rPr>
        <w:t xml:space="preserve"> pasqyrohen n</w:t>
      </w:r>
      <w:r w:rsidR="007F00FB" w:rsidRPr="00641640">
        <w:rPr>
          <w:rFonts w:ascii="Times New Roman" w:hAnsi="Times New Roman" w:cs="Times New Roman"/>
          <w:noProof/>
          <w:sz w:val="24"/>
          <w:szCs w:val="24"/>
          <w:lang w:val="sq-AL"/>
        </w:rPr>
        <w:t>ë</w:t>
      </w:r>
      <w:r w:rsidR="00684445" w:rsidRPr="00641640">
        <w:rPr>
          <w:rFonts w:ascii="Times New Roman" w:hAnsi="Times New Roman" w:cs="Times New Roman"/>
          <w:noProof/>
          <w:sz w:val="24"/>
          <w:szCs w:val="24"/>
          <w:lang w:val="sq-AL"/>
        </w:rPr>
        <w:t xml:space="preserve"> </w:t>
      </w:r>
      <w:r w:rsidR="006D3DAD" w:rsidRPr="00641640">
        <w:rPr>
          <w:rFonts w:ascii="Times New Roman" w:hAnsi="Times New Roman" w:cs="Times New Roman"/>
          <w:noProof/>
          <w:sz w:val="24"/>
          <w:szCs w:val="24"/>
          <w:lang w:val="sq-AL"/>
        </w:rPr>
        <w:t>O</w:t>
      </w:r>
      <w:r w:rsidR="0019070C" w:rsidRPr="00641640">
        <w:rPr>
          <w:rFonts w:ascii="Times New Roman" w:hAnsi="Times New Roman" w:cs="Times New Roman"/>
          <w:noProof/>
          <w:sz w:val="24"/>
          <w:szCs w:val="24"/>
          <w:lang w:val="sq-AL"/>
        </w:rPr>
        <w:t xml:space="preserve">bjektivat </w:t>
      </w:r>
      <w:r w:rsidR="006D3DAD" w:rsidRPr="00641640">
        <w:rPr>
          <w:rFonts w:ascii="Times New Roman" w:hAnsi="Times New Roman" w:cs="Times New Roman"/>
          <w:noProof/>
          <w:sz w:val="24"/>
          <w:szCs w:val="24"/>
          <w:lang w:val="sq-AL"/>
        </w:rPr>
        <w:t>S</w:t>
      </w:r>
      <w:r w:rsidR="0019070C" w:rsidRPr="00641640">
        <w:rPr>
          <w:rFonts w:ascii="Times New Roman" w:hAnsi="Times New Roman" w:cs="Times New Roman"/>
          <w:noProof/>
          <w:sz w:val="24"/>
          <w:szCs w:val="24"/>
          <w:lang w:val="sq-AL"/>
        </w:rPr>
        <w:t xml:space="preserve">pecifikë të </w:t>
      </w:r>
      <w:r w:rsidR="006D3DAD" w:rsidRPr="00641640">
        <w:rPr>
          <w:rFonts w:ascii="Times New Roman" w:hAnsi="Times New Roman" w:cs="Times New Roman"/>
          <w:noProof/>
          <w:sz w:val="24"/>
          <w:szCs w:val="24"/>
          <w:lang w:val="sq-AL"/>
        </w:rPr>
        <w:t>r</w:t>
      </w:r>
      <w:r w:rsidR="0019070C" w:rsidRPr="00641640">
        <w:rPr>
          <w:rFonts w:ascii="Times New Roman" w:hAnsi="Times New Roman" w:cs="Times New Roman"/>
          <w:noProof/>
          <w:sz w:val="24"/>
          <w:szCs w:val="24"/>
          <w:lang w:val="sq-AL"/>
        </w:rPr>
        <w:t>eformës në administratën publike</w:t>
      </w:r>
      <w:r w:rsidR="00684445" w:rsidRPr="00641640">
        <w:rPr>
          <w:rFonts w:ascii="Times New Roman" w:hAnsi="Times New Roman" w:cs="Times New Roman"/>
          <w:noProof/>
          <w:sz w:val="24"/>
          <w:szCs w:val="24"/>
          <w:lang w:val="sq-AL"/>
        </w:rPr>
        <w:t xml:space="preserve"> dhe</w:t>
      </w:r>
      <w:r w:rsidR="0019070C" w:rsidRPr="00641640">
        <w:rPr>
          <w:rFonts w:ascii="Times New Roman" w:hAnsi="Times New Roman" w:cs="Times New Roman"/>
          <w:noProof/>
          <w:sz w:val="24"/>
          <w:szCs w:val="24"/>
          <w:lang w:val="sq-AL"/>
        </w:rPr>
        <w:t xml:space="preserve"> </w:t>
      </w:r>
      <w:r w:rsidR="0038118E" w:rsidRPr="00641640">
        <w:rPr>
          <w:rFonts w:ascii="Times New Roman" w:hAnsi="Times New Roman" w:cs="Times New Roman"/>
          <w:noProof/>
          <w:sz w:val="24"/>
          <w:szCs w:val="24"/>
          <w:lang w:val="sq-AL"/>
        </w:rPr>
        <w:t>komponentë</w:t>
      </w:r>
      <w:r w:rsidR="006D3DAD" w:rsidRPr="00641640">
        <w:rPr>
          <w:rFonts w:ascii="Times New Roman" w:hAnsi="Times New Roman" w:cs="Times New Roman"/>
          <w:noProof/>
          <w:sz w:val="24"/>
          <w:szCs w:val="24"/>
          <w:lang w:val="sq-AL"/>
        </w:rPr>
        <w:t>t e</w:t>
      </w:r>
      <w:r w:rsidR="0019070C" w:rsidRPr="00641640">
        <w:rPr>
          <w:rFonts w:ascii="Times New Roman" w:hAnsi="Times New Roman" w:cs="Times New Roman"/>
          <w:noProof/>
          <w:sz w:val="24"/>
          <w:szCs w:val="24"/>
          <w:lang w:val="sq-AL"/>
        </w:rPr>
        <w:t xml:space="preserve"> përcaktuar në funk</w:t>
      </w:r>
      <w:r w:rsidR="006D3DAD" w:rsidRPr="00641640">
        <w:rPr>
          <w:rFonts w:ascii="Times New Roman" w:hAnsi="Times New Roman" w:cs="Times New Roman"/>
          <w:noProof/>
          <w:sz w:val="24"/>
          <w:szCs w:val="24"/>
          <w:lang w:val="sq-AL"/>
        </w:rPr>
        <w:t>s</w:t>
      </w:r>
      <w:r w:rsidR="0019070C" w:rsidRPr="00641640">
        <w:rPr>
          <w:rFonts w:ascii="Times New Roman" w:hAnsi="Times New Roman" w:cs="Times New Roman"/>
          <w:noProof/>
          <w:sz w:val="24"/>
          <w:szCs w:val="24"/>
          <w:lang w:val="sq-AL"/>
        </w:rPr>
        <w:t xml:space="preserve">ion të </w:t>
      </w:r>
      <w:r w:rsidR="006D3DAD" w:rsidRPr="00641640">
        <w:rPr>
          <w:rFonts w:ascii="Times New Roman" w:hAnsi="Times New Roman" w:cs="Times New Roman"/>
          <w:noProof/>
          <w:sz w:val="24"/>
          <w:szCs w:val="24"/>
          <w:lang w:val="sq-AL"/>
        </w:rPr>
        <w:t>realizimit t</w:t>
      </w:r>
      <w:r w:rsidR="0038118E" w:rsidRPr="00641640">
        <w:rPr>
          <w:rFonts w:ascii="Times New Roman" w:hAnsi="Times New Roman" w:cs="Times New Roman"/>
          <w:noProof/>
          <w:sz w:val="24"/>
          <w:szCs w:val="24"/>
          <w:lang w:val="sq-AL"/>
        </w:rPr>
        <w:t xml:space="preserve">ë </w:t>
      </w:r>
      <w:r w:rsidR="00684445" w:rsidRPr="00641640">
        <w:rPr>
          <w:rFonts w:ascii="Times New Roman" w:hAnsi="Times New Roman" w:cs="Times New Roman"/>
          <w:noProof/>
          <w:sz w:val="24"/>
          <w:szCs w:val="24"/>
          <w:lang w:val="sq-AL"/>
        </w:rPr>
        <w:t>tyre</w:t>
      </w:r>
      <w:r w:rsidR="0038118E" w:rsidRPr="00641640">
        <w:rPr>
          <w:rFonts w:ascii="Times New Roman" w:hAnsi="Times New Roman" w:cs="Times New Roman"/>
          <w:noProof/>
          <w:sz w:val="24"/>
          <w:szCs w:val="24"/>
          <w:lang w:val="sq-AL"/>
        </w:rPr>
        <w:t>.</w:t>
      </w:r>
    </w:p>
    <w:p w14:paraId="72EA2029" w14:textId="03AB3107" w:rsidR="0019070C" w:rsidRPr="00641640" w:rsidRDefault="0019070C" w:rsidP="003A395D">
      <w:pPr>
        <w:spacing w:after="0" w:line="276" w:lineRule="auto"/>
        <w:rPr>
          <w:rFonts w:ascii="Times New Roman" w:hAnsi="Times New Roman" w:cs="Times New Roman"/>
          <w:noProof/>
          <w:sz w:val="24"/>
          <w:szCs w:val="24"/>
          <w:lang w:val="sq-AL"/>
        </w:rPr>
      </w:pPr>
    </w:p>
    <w:p w14:paraId="2CD08616" w14:textId="77777777" w:rsidR="00DE0BFD" w:rsidRPr="00641640" w:rsidRDefault="00DE0BFD" w:rsidP="003A395D">
      <w:pPr>
        <w:spacing w:after="0" w:line="276" w:lineRule="auto"/>
        <w:rPr>
          <w:rFonts w:ascii="Times New Roman" w:hAnsi="Times New Roman" w:cs="Times New Roman"/>
          <w:noProof/>
          <w:sz w:val="24"/>
          <w:szCs w:val="24"/>
          <w:lang w:val="sq-AL"/>
        </w:rPr>
      </w:pPr>
    </w:p>
    <w:p w14:paraId="70C81437" w14:textId="77777777" w:rsidR="00DE0BFD" w:rsidRPr="00641640" w:rsidRDefault="00DE0BFD" w:rsidP="00DB78D9">
      <w:pPr>
        <w:spacing w:after="0"/>
        <w:rPr>
          <w:rFonts w:ascii="Times New Roman" w:hAnsi="Times New Roman" w:cs="Times New Roman"/>
          <w:noProof/>
          <w:sz w:val="24"/>
          <w:szCs w:val="24"/>
          <w:lang w:val="sq-AL"/>
        </w:rPr>
      </w:pPr>
    </w:p>
    <w:p w14:paraId="457F9D6A" w14:textId="77777777" w:rsidR="00DE0BFD" w:rsidRPr="00641640" w:rsidRDefault="00DE0BFD" w:rsidP="00DB78D9">
      <w:pPr>
        <w:spacing w:after="0"/>
        <w:rPr>
          <w:rFonts w:ascii="Times New Roman" w:hAnsi="Times New Roman" w:cs="Times New Roman"/>
          <w:noProof/>
          <w:sz w:val="24"/>
          <w:szCs w:val="24"/>
          <w:lang w:val="sq-AL"/>
        </w:rPr>
      </w:pPr>
    </w:p>
    <w:p w14:paraId="242BD1E5" w14:textId="77777777" w:rsidR="00DE0BFD" w:rsidRPr="00641640" w:rsidRDefault="00DE0BFD" w:rsidP="00DB78D9">
      <w:pPr>
        <w:spacing w:after="0"/>
        <w:rPr>
          <w:rFonts w:ascii="Times New Roman" w:hAnsi="Times New Roman" w:cs="Times New Roman"/>
          <w:noProof/>
          <w:sz w:val="24"/>
          <w:szCs w:val="24"/>
          <w:lang w:val="sq-AL"/>
        </w:rPr>
      </w:pPr>
    </w:p>
    <w:p w14:paraId="3D055A43" w14:textId="77777777" w:rsidR="00F355A7" w:rsidRPr="00641640" w:rsidRDefault="00F355A7" w:rsidP="00DB78D9">
      <w:pPr>
        <w:spacing w:after="0"/>
        <w:rPr>
          <w:rFonts w:ascii="Times New Roman" w:hAnsi="Times New Roman" w:cs="Times New Roman"/>
          <w:noProof/>
          <w:sz w:val="24"/>
          <w:szCs w:val="24"/>
          <w:lang w:val="sq-AL"/>
        </w:rPr>
      </w:pPr>
    </w:p>
    <w:p w14:paraId="46C46441" w14:textId="77777777" w:rsidR="00DE0BFD" w:rsidRPr="00641640" w:rsidRDefault="00DE0BFD" w:rsidP="00DB78D9">
      <w:pPr>
        <w:spacing w:after="0"/>
        <w:rPr>
          <w:rFonts w:ascii="Times New Roman" w:hAnsi="Times New Roman" w:cs="Times New Roman"/>
          <w:noProof/>
          <w:sz w:val="24"/>
          <w:szCs w:val="24"/>
          <w:lang w:val="sq-AL"/>
        </w:rPr>
      </w:pPr>
    </w:p>
    <w:p w14:paraId="7A26C753" w14:textId="2DC76CC6" w:rsidR="0038118E" w:rsidRPr="00641640" w:rsidRDefault="0038118E" w:rsidP="003B2C6E">
      <w:pPr>
        <w:pStyle w:val="T-normal"/>
        <w:spacing w:after="60"/>
        <w:rPr>
          <w:rFonts w:ascii="Times New Roman" w:hAnsi="Times New Roman" w:cs="Times New Roman"/>
          <w:i/>
          <w:iCs/>
          <w:noProof/>
          <w:sz w:val="24"/>
          <w:szCs w:val="24"/>
          <w:lang w:val="sq-AL"/>
        </w:rPr>
      </w:pPr>
      <w:r w:rsidRPr="00641640">
        <w:rPr>
          <w:rFonts w:ascii="Times New Roman" w:hAnsi="Times New Roman" w:cs="Times New Roman"/>
          <w:i/>
          <w:iCs/>
          <w:noProof/>
          <w:sz w:val="24"/>
          <w:szCs w:val="24"/>
          <w:lang w:val="sq-AL"/>
        </w:rPr>
        <w:lastRenderedPageBreak/>
        <w:t xml:space="preserve">Figura 1.1 </w:t>
      </w:r>
      <w:r w:rsidR="004B2070" w:rsidRPr="00641640">
        <w:rPr>
          <w:rFonts w:ascii="Times New Roman" w:hAnsi="Times New Roman" w:cs="Times New Roman"/>
          <w:i/>
          <w:iCs/>
          <w:noProof/>
          <w:sz w:val="24"/>
          <w:szCs w:val="24"/>
          <w:lang w:val="sq-AL"/>
        </w:rPr>
        <w:t>Struktura</w:t>
      </w:r>
      <w:r w:rsidRPr="00641640">
        <w:rPr>
          <w:rFonts w:ascii="Times New Roman" w:hAnsi="Times New Roman" w:cs="Times New Roman"/>
          <w:i/>
          <w:iCs/>
          <w:noProof/>
          <w:sz w:val="24"/>
          <w:szCs w:val="24"/>
          <w:lang w:val="sq-AL"/>
        </w:rPr>
        <w:t xml:space="preserve"> e </w:t>
      </w:r>
      <w:r w:rsidR="007549D0" w:rsidRPr="00641640">
        <w:rPr>
          <w:rFonts w:ascii="Times New Roman" w:hAnsi="Times New Roman" w:cs="Times New Roman"/>
          <w:i/>
          <w:iCs/>
          <w:noProof/>
          <w:sz w:val="24"/>
          <w:szCs w:val="24"/>
          <w:lang w:val="sq-AL"/>
        </w:rPr>
        <w:t>S</w:t>
      </w:r>
      <w:r w:rsidRPr="00641640">
        <w:rPr>
          <w:rFonts w:ascii="Times New Roman" w:hAnsi="Times New Roman" w:cs="Times New Roman"/>
          <w:i/>
          <w:iCs/>
          <w:noProof/>
          <w:sz w:val="24"/>
          <w:szCs w:val="24"/>
          <w:lang w:val="sq-AL"/>
        </w:rPr>
        <w:t xml:space="preserve">trategjisë </w:t>
      </w:r>
      <w:r w:rsidR="007549D0" w:rsidRPr="00641640">
        <w:rPr>
          <w:rFonts w:ascii="Times New Roman" w:hAnsi="Times New Roman" w:cs="Times New Roman"/>
          <w:i/>
          <w:iCs/>
          <w:noProof/>
          <w:sz w:val="24"/>
          <w:szCs w:val="24"/>
          <w:lang w:val="sq-AL"/>
        </w:rPr>
        <w:t>N</w:t>
      </w:r>
      <w:r w:rsidR="007E2EED" w:rsidRPr="00641640">
        <w:rPr>
          <w:rFonts w:ascii="Times New Roman" w:hAnsi="Times New Roman" w:cs="Times New Roman"/>
          <w:i/>
          <w:iCs/>
          <w:noProof/>
          <w:sz w:val="24"/>
          <w:szCs w:val="24"/>
          <w:lang w:val="sq-AL"/>
        </w:rPr>
        <w:t>dër</w:t>
      </w:r>
      <w:r w:rsidRPr="00641640">
        <w:rPr>
          <w:rFonts w:ascii="Times New Roman" w:hAnsi="Times New Roman" w:cs="Times New Roman"/>
          <w:i/>
          <w:iCs/>
          <w:noProof/>
          <w:sz w:val="24"/>
          <w:szCs w:val="24"/>
          <w:lang w:val="sq-AL"/>
        </w:rPr>
        <w:t xml:space="preserve">sektoriale të </w:t>
      </w:r>
      <w:r w:rsidR="007E2EED" w:rsidRPr="00641640">
        <w:rPr>
          <w:rFonts w:ascii="Times New Roman" w:hAnsi="Times New Roman" w:cs="Times New Roman"/>
          <w:i/>
          <w:iCs/>
          <w:noProof/>
          <w:sz w:val="24"/>
          <w:szCs w:val="24"/>
          <w:lang w:val="sq-AL"/>
        </w:rPr>
        <w:t>RAP</w:t>
      </w:r>
    </w:p>
    <w:tbl>
      <w:tblPr>
        <w:tblStyle w:val="TableGridIDEA5"/>
        <w:tblW w:w="5079"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28" w:type="dxa"/>
          <w:left w:w="57" w:type="dxa"/>
          <w:bottom w:w="28" w:type="dxa"/>
          <w:right w:w="57" w:type="dxa"/>
        </w:tblCellMar>
        <w:tblLook w:val="04A0" w:firstRow="1" w:lastRow="0" w:firstColumn="1" w:lastColumn="0" w:noHBand="0" w:noVBand="1"/>
      </w:tblPr>
      <w:tblGrid>
        <w:gridCol w:w="1833"/>
        <w:gridCol w:w="1985"/>
        <w:gridCol w:w="1701"/>
        <w:gridCol w:w="1984"/>
        <w:gridCol w:w="1985"/>
      </w:tblGrid>
      <w:tr w:rsidR="00DC1FE3" w:rsidRPr="00072E54" w14:paraId="25D83315" w14:textId="77777777" w:rsidTr="00DC1FE3">
        <w:trPr>
          <w:trHeight w:val="1326"/>
        </w:trPr>
        <w:tc>
          <w:tcPr>
            <w:tcW w:w="1833" w:type="dxa"/>
            <w:shd w:val="clear" w:color="auto" w:fill="A8D08D" w:themeFill="accent6" w:themeFillTint="99"/>
          </w:tcPr>
          <w:p w14:paraId="654E5E64" w14:textId="77777777" w:rsidR="00DC1FE3" w:rsidRPr="00641640" w:rsidRDefault="00DC1FE3" w:rsidP="00915413">
            <w:pPr>
              <w:spacing w:line="180" w:lineRule="exact"/>
              <w:jc w:val="center"/>
              <w:rPr>
                <w:rFonts w:ascii="Times New Roman" w:hAnsi="Times New Roman" w:cs="Times New Roman"/>
                <w:b/>
                <w:bCs/>
                <w:i/>
                <w:noProof/>
                <w:lang w:val="sq-AL"/>
              </w:rPr>
            </w:pPr>
          </w:p>
          <w:p w14:paraId="3CB9BC54" w14:textId="59848D04" w:rsidR="007E2EED" w:rsidRPr="00641640" w:rsidRDefault="0019070C" w:rsidP="00915413">
            <w:pPr>
              <w:spacing w:line="180" w:lineRule="exact"/>
              <w:jc w:val="center"/>
              <w:rPr>
                <w:rFonts w:ascii="Times New Roman" w:hAnsi="Times New Roman" w:cs="Times New Roman"/>
                <w:b/>
                <w:bCs/>
                <w:i/>
                <w:noProof/>
                <w:lang w:val="sq-AL"/>
              </w:rPr>
            </w:pPr>
            <w:r w:rsidRPr="00641640">
              <w:rPr>
                <w:rFonts w:ascii="Times New Roman" w:hAnsi="Times New Roman" w:cs="Times New Roman"/>
                <w:b/>
                <w:bCs/>
                <w:i/>
                <w:noProof/>
                <w:lang w:val="sq-AL"/>
              </w:rPr>
              <w:t>Q</w:t>
            </w:r>
            <w:r w:rsidR="00904ECB" w:rsidRPr="00641640">
              <w:rPr>
                <w:rFonts w:ascii="Times New Roman" w:hAnsi="Times New Roman" w:cs="Times New Roman"/>
                <w:b/>
                <w:bCs/>
                <w:i/>
                <w:noProof/>
                <w:lang w:val="sq-AL"/>
              </w:rPr>
              <w:t>ë</w:t>
            </w:r>
            <w:r w:rsidRPr="00641640">
              <w:rPr>
                <w:rFonts w:ascii="Times New Roman" w:hAnsi="Times New Roman" w:cs="Times New Roman"/>
                <w:b/>
                <w:bCs/>
                <w:i/>
                <w:noProof/>
                <w:lang w:val="sq-AL"/>
              </w:rPr>
              <w:t>llimi i Politik</w:t>
            </w:r>
            <w:r w:rsidR="00904ECB" w:rsidRPr="00641640">
              <w:rPr>
                <w:rFonts w:ascii="Times New Roman" w:hAnsi="Times New Roman" w:cs="Times New Roman"/>
                <w:b/>
                <w:bCs/>
                <w:i/>
                <w:noProof/>
                <w:lang w:val="sq-AL"/>
              </w:rPr>
              <w:t>ës</w:t>
            </w:r>
            <w:r w:rsidR="007E2EED" w:rsidRPr="00641640">
              <w:rPr>
                <w:rFonts w:ascii="Times New Roman" w:hAnsi="Times New Roman" w:cs="Times New Roman"/>
                <w:b/>
                <w:bCs/>
                <w:i/>
                <w:noProof/>
                <w:lang w:val="sq-AL"/>
              </w:rPr>
              <w:t xml:space="preserve"> 1</w:t>
            </w:r>
          </w:p>
          <w:p w14:paraId="69277F7C" w14:textId="77777777" w:rsidR="007E2EED" w:rsidRPr="00641640" w:rsidRDefault="007E2EED" w:rsidP="00915413">
            <w:pPr>
              <w:spacing w:line="180" w:lineRule="exact"/>
              <w:jc w:val="center"/>
              <w:rPr>
                <w:rFonts w:ascii="Times New Roman" w:hAnsi="Times New Roman" w:cs="Times New Roman"/>
                <w:b/>
                <w:bCs/>
                <w:i/>
                <w:noProof/>
                <w:lang w:val="sq-AL"/>
              </w:rPr>
            </w:pPr>
          </w:p>
          <w:p w14:paraId="3C7AC20D" w14:textId="06ED3BFC" w:rsidR="007E2EED" w:rsidRPr="00641640" w:rsidRDefault="00DC1FE3" w:rsidP="00DC1FE3">
            <w:pPr>
              <w:spacing w:line="180" w:lineRule="exact"/>
              <w:jc w:val="center"/>
              <w:rPr>
                <w:rFonts w:ascii="Times New Roman" w:hAnsi="Times New Roman" w:cs="Times New Roman"/>
                <w:b/>
                <w:bCs/>
                <w:i/>
                <w:noProof/>
                <w:lang w:val="sq-AL"/>
              </w:rPr>
            </w:pPr>
            <w:r w:rsidRPr="00641640">
              <w:rPr>
                <w:rFonts w:ascii="Times New Roman" w:hAnsi="Times New Roman" w:cs="Times New Roman"/>
                <w:b/>
                <w:bCs/>
                <w:i/>
                <w:noProof/>
                <w:lang w:val="sq-AL"/>
              </w:rPr>
              <w:t>Zhvillimi dhe k</w:t>
            </w:r>
            <w:r w:rsidR="007E2EED" w:rsidRPr="00641640">
              <w:rPr>
                <w:rFonts w:ascii="Times New Roman" w:hAnsi="Times New Roman" w:cs="Times New Roman"/>
                <w:b/>
                <w:bCs/>
                <w:i/>
                <w:noProof/>
                <w:lang w:val="sq-AL"/>
              </w:rPr>
              <w:t xml:space="preserve">oordinimi i </w:t>
            </w:r>
            <w:r w:rsidRPr="00641640">
              <w:rPr>
                <w:rFonts w:ascii="Times New Roman" w:hAnsi="Times New Roman" w:cs="Times New Roman"/>
                <w:b/>
                <w:bCs/>
                <w:i/>
                <w:noProof/>
                <w:lang w:val="sq-AL"/>
              </w:rPr>
              <w:t>p</w:t>
            </w:r>
            <w:r w:rsidR="007E2EED" w:rsidRPr="00641640">
              <w:rPr>
                <w:rFonts w:ascii="Times New Roman" w:hAnsi="Times New Roman" w:cs="Times New Roman"/>
                <w:b/>
                <w:bCs/>
                <w:i/>
                <w:noProof/>
                <w:lang w:val="sq-AL"/>
              </w:rPr>
              <w:t>olitikave</w:t>
            </w:r>
          </w:p>
        </w:tc>
        <w:tc>
          <w:tcPr>
            <w:tcW w:w="1985" w:type="dxa"/>
            <w:shd w:val="clear" w:color="auto" w:fill="A8D08D" w:themeFill="accent6" w:themeFillTint="99"/>
          </w:tcPr>
          <w:p w14:paraId="0A8806F6" w14:textId="77777777" w:rsidR="00DC1FE3" w:rsidRPr="00641640" w:rsidRDefault="00DC1FE3" w:rsidP="00915413">
            <w:pPr>
              <w:spacing w:line="180" w:lineRule="exact"/>
              <w:jc w:val="center"/>
              <w:rPr>
                <w:rFonts w:ascii="Times New Roman" w:hAnsi="Times New Roman" w:cs="Times New Roman"/>
                <w:b/>
                <w:bCs/>
                <w:i/>
                <w:noProof/>
                <w:lang w:val="sq-AL"/>
              </w:rPr>
            </w:pPr>
          </w:p>
          <w:p w14:paraId="4C7336E7" w14:textId="4D22CA7D" w:rsidR="007E2EED" w:rsidRPr="00641640" w:rsidRDefault="00904ECB" w:rsidP="00915413">
            <w:pPr>
              <w:spacing w:line="180" w:lineRule="exact"/>
              <w:jc w:val="center"/>
              <w:rPr>
                <w:rFonts w:ascii="Times New Roman" w:hAnsi="Times New Roman" w:cs="Times New Roman"/>
                <w:b/>
                <w:bCs/>
                <w:i/>
                <w:noProof/>
                <w:lang w:val="sq-AL"/>
              </w:rPr>
            </w:pPr>
            <w:r w:rsidRPr="00641640">
              <w:rPr>
                <w:rFonts w:ascii="Times New Roman" w:hAnsi="Times New Roman" w:cs="Times New Roman"/>
                <w:b/>
                <w:bCs/>
                <w:i/>
                <w:noProof/>
                <w:lang w:val="sq-AL"/>
              </w:rPr>
              <w:t>Qëllimi i Politikës</w:t>
            </w:r>
            <w:r w:rsidR="007E2EED" w:rsidRPr="00641640">
              <w:rPr>
                <w:rFonts w:ascii="Times New Roman" w:hAnsi="Times New Roman" w:cs="Times New Roman"/>
                <w:b/>
                <w:bCs/>
                <w:i/>
                <w:noProof/>
                <w:lang w:val="sq-AL"/>
              </w:rPr>
              <w:t xml:space="preserve"> 2</w:t>
            </w:r>
          </w:p>
          <w:p w14:paraId="49D64466" w14:textId="77777777" w:rsidR="007E2EED" w:rsidRPr="00641640" w:rsidRDefault="007E2EED" w:rsidP="00915413">
            <w:pPr>
              <w:spacing w:line="180" w:lineRule="exact"/>
              <w:jc w:val="center"/>
              <w:rPr>
                <w:rFonts w:ascii="Times New Roman" w:hAnsi="Times New Roman" w:cs="Times New Roman"/>
                <w:b/>
                <w:bCs/>
                <w:i/>
                <w:noProof/>
                <w:lang w:val="sq-AL"/>
              </w:rPr>
            </w:pPr>
          </w:p>
          <w:p w14:paraId="7B0E0F03" w14:textId="53C4975C" w:rsidR="007E2EED" w:rsidRPr="00641640" w:rsidRDefault="00DC1FE3" w:rsidP="00DC1FE3">
            <w:pPr>
              <w:spacing w:line="180" w:lineRule="exact"/>
              <w:jc w:val="center"/>
              <w:rPr>
                <w:rFonts w:ascii="Times New Roman" w:hAnsi="Times New Roman" w:cs="Times New Roman"/>
                <w:b/>
                <w:bCs/>
                <w:i/>
                <w:noProof/>
                <w:lang w:val="sq-AL"/>
              </w:rPr>
            </w:pPr>
            <w:r w:rsidRPr="00641640">
              <w:rPr>
                <w:rFonts w:ascii="Times New Roman" w:hAnsi="Times New Roman" w:cs="Times New Roman"/>
                <w:b/>
                <w:bCs/>
                <w:i/>
                <w:noProof/>
                <w:lang w:val="sq-AL"/>
              </w:rPr>
              <w:t>Shërbimi civil dhe menaxhimi i burimeve n</w:t>
            </w:r>
            <w:r w:rsidR="007E2EED" w:rsidRPr="00641640">
              <w:rPr>
                <w:rFonts w:ascii="Times New Roman" w:hAnsi="Times New Roman" w:cs="Times New Roman"/>
                <w:b/>
                <w:bCs/>
                <w:i/>
                <w:noProof/>
                <w:lang w:val="sq-AL"/>
              </w:rPr>
              <w:t>jerëzore</w:t>
            </w:r>
          </w:p>
        </w:tc>
        <w:tc>
          <w:tcPr>
            <w:tcW w:w="1701" w:type="dxa"/>
            <w:shd w:val="clear" w:color="auto" w:fill="A8D08D" w:themeFill="accent6" w:themeFillTint="99"/>
          </w:tcPr>
          <w:p w14:paraId="1F7FBCAC" w14:textId="77777777" w:rsidR="00DC1FE3" w:rsidRPr="00641640" w:rsidRDefault="00DC1FE3" w:rsidP="00915413">
            <w:pPr>
              <w:spacing w:line="180" w:lineRule="exact"/>
              <w:jc w:val="center"/>
              <w:rPr>
                <w:rFonts w:ascii="Times New Roman" w:hAnsi="Times New Roman" w:cs="Times New Roman"/>
                <w:b/>
                <w:bCs/>
                <w:i/>
                <w:noProof/>
                <w:lang w:val="sq-AL"/>
              </w:rPr>
            </w:pPr>
          </w:p>
          <w:p w14:paraId="6562D0C9" w14:textId="4ABEF6CD" w:rsidR="007E2EED" w:rsidRPr="00641640" w:rsidRDefault="00904ECB" w:rsidP="00915413">
            <w:pPr>
              <w:spacing w:line="180" w:lineRule="exact"/>
              <w:jc w:val="center"/>
              <w:rPr>
                <w:rFonts w:ascii="Times New Roman" w:hAnsi="Times New Roman" w:cs="Times New Roman"/>
                <w:b/>
                <w:bCs/>
                <w:i/>
                <w:noProof/>
                <w:lang w:val="sq-AL"/>
              </w:rPr>
            </w:pPr>
            <w:r w:rsidRPr="00641640">
              <w:rPr>
                <w:rFonts w:ascii="Times New Roman" w:hAnsi="Times New Roman" w:cs="Times New Roman"/>
                <w:b/>
                <w:bCs/>
                <w:i/>
                <w:noProof/>
                <w:lang w:val="sq-AL"/>
              </w:rPr>
              <w:t>Qëllimi i Politikës</w:t>
            </w:r>
            <w:r w:rsidR="007E2EED" w:rsidRPr="00641640">
              <w:rPr>
                <w:rFonts w:ascii="Times New Roman" w:hAnsi="Times New Roman" w:cs="Times New Roman"/>
                <w:b/>
                <w:bCs/>
                <w:i/>
                <w:noProof/>
                <w:lang w:val="sq-AL"/>
              </w:rPr>
              <w:t xml:space="preserve"> 3</w:t>
            </w:r>
          </w:p>
          <w:p w14:paraId="519E7BB2" w14:textId="77777777" w:rsidR="007E2EED" w:rsidRPr="00641640" w:rsidRDefault="007E2EED" w:rsidP="00915413">
            <w:pPr>
              <w:spacing w:line="180" w:lineRule="exact"/>
              <w:jc w:val="center"/>
              <w:rPr>
                <w:rFonts w:ascii="Times New Roman" w:hAnsi="Times New Roman" w:cs="Times New Roman"/>
                <w:b/>
                <w:bCs/>
                <w:i/>
                <w:noProof/>
                <w:lang w:val="sq-AL"/>
              </w:rPr>
            </w:pPr>
          </w:p>
          <w:p w14:paraId="1AF0A209" w14:textId="7AFD04AA" w:rsidR="007E2EED" w:rsidRPr="00641640" w:rsidRDefault="00DC1FE3" w:rsidP="00DC1FE3">
            <w:pPr>
              <w:spacing w:line="180" w:lineRule="exact"/>
              <w:jc w:val="center"/>
              <w:rPr>
                <w:rFonts w:ascii="Times New Roman" w:hAnsi="Times New Roman" w:cs="Times New Roman"/>
                <w:b/>
                <w:bCs/>
                <w:i/>
                <w:noProof/>
                <w:lang w:val="sq-AL"/>
              </w:rPr>
            </w:pPr>
            <w:r w:rsidRPr="00641640">
              <w:rPr>
                <w:rFonts w:ascii="Times New Roman" w:hAnsi="Times New Roman" w:cs="Times New Roman"/>
                <w:b/>
                <w:bCs/>
                <w:i/>
                <w:noProof/>
                <w:lang w:val="sq-AL"/>
              </w:rPr>
              <w:t>Ofrimi i sh</w:t>
            </w:r>
            <w:r w:rsidR="007E2EED" w:rsidRPr="00641640">
              <w:rPr>
                <w:rFonts w:ascii="Times New Roman" w:hAnsi="Times New Roman" w:cs="Times New Roman"/>
                <w:b/>
                <w:bCs/>
                <w:i/>
                <w:noProof/>
                <w:lang w:val="sq-AL"/>
              </w:rPr>
              <w:t xml:space="preserve">ërbimeve dhe </w:t>
            </w:r>
            <w:r w:rsidRPr="00641640">
              <w:rPr>
                <w:rFonts w:ascii="Times New Roman" w:hAnsi="Times New Roman" w:cs="Times New Roman"/>
                <w:b/>
                <w:bCs/>
                <w:i/>
                <w:noProof/>
                <w:lang w:val="sq-AL"/>
              </w:rPr>
              <w:t>d</w:t>
            </w:r>
            <w:r w:rsidR="007E2EED" w:rsidRPr="00641640">
              <w:rPr>
                <w:rFonts w:ascii="Times New Roman" w:hAnsi="Times New Roman" w:cs="Times New Roman"/>
                <w:b/>
                <w:bCs/>
                <w:i/>
                <w:noProof/>
                <w:lang w:val="sq-AL"/>
              </w:rPr>
              <w:t>igjitalizimi</w:t>
            </w:r>
          </w:p>
        </w:tc>
        <w:tc>
          <w:tcPr>
            <w:tcW w:w="1984" w:type="dxa"/>
            <w:shd w:val="clear" w:color="auto" w:fill="A8D08D" w:themeFill="accent6" w:themeFillTint="99"/>
          </w:tcPr>
          <w:p w14:paraId="0275D9E5" w14:textId="77777777" w:rsidR="00DC1FE3" w:rsidRPr="00641640" w:rsidRDefault="00DC1FE3" w:rsidP="00915413">
            <w:pPr>
              <w:spacing w:line="180" w:lineRule="exact"/>
              <w:jc w:val="center"/>
              <w:rPr>
                <w:rFonts w:ascii="Times New Roman" w:hAnsi="Times New Roman" w:cs="Times New Roman"/>
                <w:b/>
                <w:bCs/>
                <w:i/>
                <w:noProof/>
                <w:lang w:val="sq-AL"/>
              </w:rPr>
            </w:pPr>
          </w:p>
          <w:p w14:paraId="1C850625" w14:textId="1B0EE4B3" w:rsidR="007E2EED" w:rsidRPr="00641640" w:rsidRDefault="00904ECB" w:rsidP="00915413">
            <w:pPr>
              <w:spacing w:line="180" w:lineRule="exact"/>
              <w:jc w:val="center"/>
              <w:rPr>
                <w:rFonts w:ascii="Times New Roman" w:hAnsi="Times New Roman" w:cs="Times New Roman"/>
                <w:b/>
                <w:bCs/>
                <w:i/>
                <w:noProof/>
                <w:lang w:val="sq-AL"/>
              </w:rPr>
            </w:pPr>
            <w:r w:rsidRPr="00641640">
              <w:rPr>
                <w:rFonts w:ascii="Times New Roman" w:hAnsi="Times New Roman" w:cs="Times New Roman"/>
                <w:b/>
                <w:bCs/>
                <w:i/>
                <w:noProof/>
                <w:lang w:val="sq-AL"/>
              </w:rPr>
              <w:t>Qëllimi i Politikës</w:t>
            </w:r>
            <w:r w:rsidR="007E2EED" w:rsidRPr="00641640">
              <w:rPr>
                <w:rFonts w:ascii="Times New Roman" w:hAnsi="Times New Roman" w:cs="Times New Roman"/>
                <w:b/>
                <w:bCs/>
                <w:i/>
                <w:noProof/>
                <w:lang w:val="sq-AL"/>
              </w:rPr>
              <w:t xml:space="preserve"> 4</w:t>
            </w:r>
          </w:p>
          <w:p w14:paraId="67E2EF82" w14:textId="77777777" w:rsidR="007E2EED" w:rsidRPr="00641640" w:rsidRDefault="007E2EED" w:rsidP="00915413">
            <w:pPr>
              <w:spacing w:line="180" w:lineRule="exact"/>
              <w:jc w:val="center"/>
              <w:rPr>
                <w:rFonts w:ascii="Times New Roman" w:hAnsi="Times New Roman" w:cs="Times New Roman"/>
                <w:b/>
                <w:bCs/>
                <w:i/>
                <w:noProof/>
                <w:lang w:val="sq-AL"/>
              </w:rPr>
            </w:pPr>
          </w:p>
          <w:p w14:paraId="364968DF" w14:textId="1D8F094D" w:rsidR="007E2EED" w:rsidRPr="00641640" w:rsidRDefault="007E2EED" w:rsidP="00915413">
            <w:pPr>
              <w:spacing w:line="180" w:lineRule="exact"/>
              <w:jc w:val="center"/>
              <w:rPr>
                <w:rFonts w:ascii="Times New Roman" w:hAnsi="Times New Roman" w:cs="Times New Roman"/>
                <w:b/>
                <w:bCs/>
                <w:i/>
                <w:noProof/>
                <w:lang w:val="sq-AL"/>
              </w:rPr>
            </w:pPr>
            <w:r w:rsidRPr="00641640">
              <w:rPr>
                <w:rFonts w:ascii="Times New Roman" w:hAnsi="Times New Roman" w:cs="Times New Roman"/>
                <w:b/>
                <w:bCs/>
                <w:i/>
                <w:noProof/>
                <w:lang w:val="sq-AL"/>
              </w:rPr>
              <w:t xml:space="preserve">Organizimi, </w:t>
            </w:r>
            <w:r w:rsidR="001C53B6" w:rsidRPr="00641640">
              <w:rPr>
                <w:rFonts w:ascii="Times New Roman" w:hAnsi="Times New Roman" w:cs="Times New Roman"/>
                <w:b/>
                <w:bCs/>
                <w:i/>
                <w:noProof/>
                <w:lang w:val="sq-AL"/>
              </w:rPr>
              <w:t>llogaridhënia</w:t>
            </w:r>
            <w:r w:rsidRPr="00641640">
              <w:rPr>
                <w:rFonts w:ascii="Times New Roman" w:hAnsi="Times New Roman" w:cs="Times New Roman"/>
                <w:b/>
                <w:bCs/>
                <w:i/>
                <w:noProof/>
                <w:lang w:val="sq-AL"/>
              </w:rPr>
              <w:t xml:space="preserve"> dhe mbikëqyrja e administrat</w:t>
            </w:r>
            <w:r w:rsidR="009A29DC" w:rsidRPr="00641640">
              <w:rPr>
                <w:rFonts w:ascii="Times New Roman" w:hAnsi="Times New Roman" w:cs="Times New Roman"/>
                <w:b/>
                <w:bCs/>
                <w:i/>
                <w:noProof/>
                <w:lang w:val="sq-AL"/>
              </w:rPr>
              <w:t>ë</w:t>
            </w:r>
            <w:r w:rsidRPr="00641640">
              <w:rPr>
                <w:rFonts w:ascii="Times New Roman" w:hAnsi="Times New Roman" w:cs="Times New Roman"/>
                <w:b/>
                <w:bCs/>
                <w:i/>
                <w:noProof/>
                <w:lang w:val="sq-AL"/>
              </w:rPr>
              <w:t>s</w:t>
            </w:r>
          </w:p>
        </w:tc>
        <w:tc>
          <w:tcPr>
            <w:tcW w:w="1985" w:type="dxa"/>
            <w:shd w:val="clear" w:color="auto" w:fill="A8D08D" w:themeFill="accent6" w:themeFillTint="99"/>
          </w:tcPr>
          <w:p w14:paraId="7E34DDA3" w14:textId="77777777" w:rsidR="00DC1FE3" w:rsidRPr="00641640" w:rsidRDefault="00DC1FE3" w:rsidP="00915413">
            <w:pPr>
              <w:spacing w:line="180" w:lineRule="exact"/>
              <w:jc w:val="center"/>
              <w:rPr>
                <w:rFonts w:ascii="Times New Roman" w:hAnsi="Times New Roman" w:cs="Times New Roman"/>
                <w:b/>
                <w:bCs/>
                <w:i/>
                <w:noProof/>
                <w:lang w:val="sq-AL"/>
              </w:rPr>
            </w:pPr>
          </w:p>
          <w:p w14:paraId="39490C07" w14:textId="33082EA2" w:rsidR="007E2EED" w:rsidRPr="00641640" w:rsidRDefault="00904ECB" w:rsidP="00915413">
            <w:pPr>
              <w:spacing w:line="180" w:lineRule="exact"/>
              <w:jc w:val="center"/>
              <w:rPr>
                <w:rFonts w:ascii="Times New Roman" w:hAnsi="Times New Roman" w:cs="Times New Roman"/>
                <w:b/>
                <w:bCs/>
                <w:i/>
                <w:noProof/>
                <w:lang w:val="sq-AL"/>
              </w:rPr>
            </w:pPr>
            <w:r w:rsidRPr="00641640">
              <w:rPr>
                <w:rFonts w:ascii="Times New Roman" w:hAnsi="Times New Roman" w:cs="Times New Roman"/>
                <w:b/>
                <w:bCs/>
                <w:i/>
                <w:noProof/>
                <w:lang w:val="sq-AL"/>
              </w:rPr>
              <w:t>Qëllimi i Politikës</w:t>
            </w:r>
            <w:r w:rsidR="007E2EED" w:rsidRPr="00641640">
              <w:rPr>
                <w:rFonts w:ascii="Times New Roman" w:hAnsi="Times New Roman" w:cs="Times New Roman"/>
                <w:b/>
                <w:bCs/>
                <w:i/>
                <w:noProof/>
                <w:lang w:val="sq-AL"/>
              </w:rPr>
              <w:t xml:space="preserve"> 5</w:t>
            </w:r>
          </w:p>
          <w:p w14:paraId="5DB0B43F" w14:textId="77777777" w:rsidR="007E2EED" w:rsidRPr="00641640" w:rsidRDefault="007E2EED" w:rsidP="00915413">
            <w:pPr>
              <w:spacing w:line="180" w:lineRule="exact"/>
              <w:jc w:val="center"/>
              <w:rPr>
                <w:rFonts w:ascii="Times New Roman" w:hAnsi="Times New Roman" w:cs="Times New Roman"/>
                <w:b/>
                <w:bCs/>
                <w:i/>
                <w:noProof/>
                <w:lang w:val="sq-AL"/>
              </w:rPr>
            </w:pPr>
          </w:p>
          <w:p w14:paraId="425F3A4A" w14:textId="213BB74E" w:rsidR="007E2EED" w:rsidRPr="00641640" w:rsidRDefault="007E2EED" w:rsidP="00915413">
            <w:pPr>
              <w:spacing w:line="180" w:lineRule="exact"/>
              <w:jc w:val="center"/>
              <w:rPr>
                <w:rFonts w:ascii="Times New Roman" w:hAnsi="Times New Roman" w:cs="Times New Roman"/>
                <w:b/>
                <w:bCs/>
                <w:i/>
                <w:noProof/>
                <w:lang w:val="sq-AL"/>
              </w:rPr>
            </w:pPr>
            <w:r w:rsidRPr="00641640">
              <w:rPr>
                <w:rFonts w:ascii="Times New Roman" w:hAnsi="Times New Roman" w:cs="Times New Roman"/>
                <w:b/>
                <w:bCs/>
                <w:i/>
                <w:noProof/>
                <w:lang w:val="sq-AL"/>
              </w:rPr>
              <w:t xml:space="preserve">Administrata e </w:t>
            </w:r>
            <w:r w:rsidR="0010739B" w:rsidRPr="00641640">
              <w:rPr>
                <w:rFonts w:ascii="Times New Roman" w:hAnsi="Times New Roman" w:cs="Times New Roman"/>
                <w:b/>
                <w:bCs/>
                <w:i/>
                <w:noProof/>
                <w:lang w:val="sq-AL"/>
              </w:rPr>
              <w:t>gjelbër</w:t>
            </w:r>
            <w:r w:rsidR="00DC1FE3" w:rsidRPr="00641640">
              <w:rPr>
                <w:rFonts w:ascii="Times New Roman" w:hAnsi="Times New Roman" w:cs="Times New Roman"/>
                <w:b/>
                <w:bCs/>
                <w:i/>
                <w:noProof/>
                <w:lang w:val="sq-AL"/>
              </w:rPr>
              <w:t xml:space="preserve"> publike</w:t>
            </w:r>
          </w:p>
        </w:tc>
      </w:tr>
      <w:tr w:rsidR="00DC1FE3" w:rsidRPr="00072E54" w14:paraId="76FF7C84" w14:textId="77777777" w:rsidTr="00DC1FE3">
        <w:trPr>
          <w:trHeight w:val="2228"/>
        </w:trPr>
        <w:tc>
          <w:tcPr>
            <w:tcW w:w="1833" w:type="dxa"/>
            <w:shd w:val="clear" w:color="auto" w:fill="E2EFD9" w:themeFill="accent6" w:themeFillTint="33"/>
            <w:vAlign w:val="center"/>
          </w:tcPr>
          <w:p w14:paraId="053412DC" w14:textId="30B1D94D" w:rsidR="007E2EED" w:rsidRPr="00641640" w:rsidRDefault="00DC1FE3" w:rsidP="00915413">
            <w:pPr>
              <w:spacing w:line="180" w:lineRule="exact"/>
              <w:jc w:val="center"/>
              <w:rPr>
                <w:rFonts w:ascii="Times New Roman" w:hAnsi="Times New Roman" w:cs="Times New Roman"/>
                <w:i/>
                <w:noProof/>
                <w:lang w:val="sq-AL"/>
              </w:rPr>
            </w:pPr>
            <w:r w:rsidRPr="00641640">
              <w:rPr>
                <w:rFonts w:ascii="Times New Roman" w:hAnsi="Times New Roman" w:cs="Times New Roman"/>
                <w:i/>
                <w:noProof/>
                <w:lang w:val="sq-AL"/>
              </w:rPr>
              <w:t>Planifikimi dhe koordinimi efikas i politikave në nivel kombëtar</w:t>
            </w:r>
          </w:p>
        </w:tc>
        <w:tc>
          <w:tcPr>
            <w:tcW w:w="1985" w:type="dxa"/>
            <w:shd w:val="clear" w:color="auto" w:fill="E2EFD9" w:themeFill="accent6" w:themeFillTint="33"/>
            <w:vAlign w:val="center"/>
          </w:tcPr>
          <w:p w14:paraId="39C427E9" w14:textId="245C74B4" w:rsidR="007E2EED" w:rsidRPr="00641640" w:rsidRDefault="00DC1FE3" w:rsidP="00E342EA">
            <w:pPr>
              <w:spacing w:line="180" w:lineRule="exact"/>
              <w:jc w:val="center"/>
              <w:rPr>
                <w:rFonts w:ascii="Times New Roman" w:hAnsi="Times New Roman" w:cs="Times New Roman"/>
                <w:i/>
                <w:noProof/>
                <w:lang w:val="sq-AL"/>
              </w:rPr>
            </w:pPr>
            <w:r w:rsidRPr="00641640">
              <w:rPr>
                <w:rFonts w:ascii="Times New Roman" w:hAnsi="Times New Roman" w:cs="Times New Roman"/>
                <w:i/>
                <w:noProof/>
                <w:lang w:val="sq-AL"/>
              </w:rPr>
              <w:t>Pranimi meritokratik, konkurrues dhe transparent në shërbimin civil</w:t>
            </w:r>
          </w:p>
        </w:tc>
        <w:tc>
          <w:tcPr>
            <w:tcW w:w="1701" w:type="dxa"/>
            <w:shd w:val="clear" w:color="auto" w:fill="E2EFD9" w:themeFill="accent6" w:themeFillTint="33"/>
            <w:vAlign w:val="center"/>
          </w:tcPr>
          <w:p w14:paraId="353BF302" w14:textId="7911937A" w:rsidR="007E2EED" w:rsidRPr="00641640" w:rsidRDefault="00DC1FE3" w:rsidP="00E342EA">
            <w:pPr>
              <w:spacing w:line="180" w:lineRule="exact"/>
              <w:jc w:val="center"/>
              <w:rPr>
                <w:rFonts w:ascii="Times New Roman" w:hAnsi="Times New Roman" w:cs="Times New Roman"/>
                <w:i/>
                <w:noProof/>
                <w:lang w:val="sq-AL"/>
              </w:rPr>
            </w:pPr>
            <w:r w:rsidRPr="00641640">
              <w:rPr>
                <w:rFonts w:ascii="Times New Roman" w:hAnsi="Times New Roman" w:cs="Times New Roman"/>
                <w:i/>
                <w:noProof/>
                <w:lang w:val="sq-AL"/>
              </w:rPr>
              <w:t xml:space="preserve">Ri-inxhinierimi i shërbimeve dhe thjeshtimi i procedurave administrative  </w:t>
            </w:r>
          </w:p>
        </w:tc>
        <w:tc>
          <w:tcPr>
            <w:tcW w:w="1984" w:type="dxa"/>
            <w:shd w:val="clear" w:color="auto" w:fill="E2EFD9" w:themeFill="accent6" w:themeFillTint="33"/>
            <w:vAlign w:val="center"/>
          </w:tcPr>
          <w:p w14:paraId="57E653A4" w14:textId="2D03797F" w:rsidR="007E2EED" w:rsidRPr="00641640" w:rsidRDefault="00DC1FE3" w:rsidP="00040DAA">
            <w:pPr>
              <w:spacing w:line="180" w:lineRule="exact"/>
              <w:jc w:val="center"/>
              <w:rPr>
                <w:rFonts w:ascii="Times New Roman" w:hAnsi="Times New Roman" w:cs="Times New Roman"/>
                <w:i/>
                <w:noProof/>
                <w:lang w:val="sq-AL"/>
              </w:rPr>
            </w:pPr>
            <w:r w:rsidRPr="00641640">
              <w:rPr>
                <w:rFonts w:ascii="Times New Roman" w:hAnsi="Times New Roman" w:cs="Times New Roman"/>
                <w:i/>
                <w:noProof/>
                <w:lang w:val="sq-AL"/>
              </w:rPr>
              <w:t>Mirëorganizimi i administratës publike, me institucione që performojnë mbështetur në kritere të qarta organizative dhe në përputhje me kuadrin ligjor ekzistues.</w:t>
            </w:r>
          </w:p>
        </w:tc>
        <w:tc>
          <w:tcPr>
            <w:tcW w:w="1985" w:type="dxa"/>
            <w:shd w:val="clear" w:color="auto" w:fill="E2EFD9" w:themeFill="accent6" w:themeFillTint="33"/>
            <w:vAlign w:val="center"/>
          </w:tcPr>
          <w:p w14:paraId="3A239218" w14:textId="41606CE5" w:rsidR="007E2EED" w:rsidRPr="00641640" w:rsidRDefault="00DC1FE3" w:rsidP="00915413">
            <w:pPr>
              <w:spacing w:line="180" w:lineRule="exact"/>
              <w:jc w:val="center"/>
              <w:rPr>
                <w:rFonts w:ascii="Times New Roman" w:hAnsi="Times New Roman" w:cs="Times New Roman"/>
                <w:i/>
                <w:noProof/>
                <w:lang w:val="sq-AL"/>
              </w:rPr>
            </w:pPr>
            <w:r w:rsidRPr="00641640">
              <w:rPr>
                <w:rFonts w:ascii="Times New Roman" w:hAnsi="Times New Roman" w:cs="Times New Roman"/>
                <w:i/>
                <w:noProof/>
                <w:lang w:val="sq-AL"/>
              </w:rPr>
              <w:t>Angazhimi i administratës publike drejt vetëgjelbërimit të veprimtarisë institucionale</w:t>
            </w:r>
          </w:p>
        </w:tc>
      </w:tr>
      <w:tr w:rsidR="00DC1FE3" w:rsidRPr="00072E54" w14:paraId="4829ED6A" w14:textId="77777777" w:rsidTr="00DC1FE3">
        <w:trPr>
          <w:trHeight w:val="1677"/>
        </w:trPr>
        <w:tc>
          <w:tcPr>
            <w:tcW w:w="1833" w:type="dxa"/>
            <w:shd w:val="clear" w:color="auto" w:fill="E2EFD9" w:themeFill="accent6" w:themeFillTint="33"/>
            <w:vAlign w:val="center"/>
          </w:tcPr>
          <w:p w14:paraId="36C60368" w14:textId="08790CD8" w:rsidR="007E2EED" w:rsidRPr="00641640" w:rsidRDefault="00DC1FE3" w:rsidP="0011222A">
            <w:pPr>
              <w:spacing w:line="180" w:lineRule="exact"/>
              <w:jc w:val="center"/>
              <w:rPr>
                <w:rFonts w:ascii="Times New Roman" w:hAnsi="Times New Roman" w:cs="Times New Roman"/>
                <w:i/>
                <w:noProof/>
                <w:lang w:val="sq-AL"/>
              </w:rPr>
            </w:pPr>
            <w:r w:rsidRPr="00641640">
              <w:rPr>
                <w:rFonts w:ascii="Times New Roman" w:hAnsi="Times New Roman" w:cs="Times New Roman"/>
                <w:i/>
                <w:noProof/>
                <w:lang w:val="sq-AL"/>
              </w:rPr>
              <w:t xml:space="preserve">Koordinimi efikas i procesit të integrimit evropian </w:t>
            </w:r>
          </w:p>
        </w:tc>
        <w:tc>
          <w:tcPr>
            <w:tcW w:w="1985" w:type="dxa"/>
            <w:shd w:val="clear" w:color="auto" w:fill="E2EFD9" w:themeFill="accent6" w:themeFillTint="33"/>
            <w:vAlign w:val="center"/>
          </w:tcPr>
          <w:p w14:paraId="657D7E14" w14:textId="0CD11D18" w:rsidR="007E2EED" w:rsidRPr="00641640" w:rsidRDefault="00DC1FE3" w:rsidP="0011222A">
            <w:pPr>
              <w:spacing w:line="180" w:lineRule="exact"/>
              <w:jc w:val="center"/>
              <w:rPr>
                <w:rFonts w:ascii="Times New Roman" w:hAnsi="Times New Roman" w:cs="Times New Roman"/>
                <w:i/>
                <w:noProof/>
                <w:lang w:val="sq-AL"/>
              </w:rPr>
            </w:pPr>
            <w:r w:rsidRPr="00641640">
              <w:rPr>
                <w:rFonts w:ascii="Times New Roman" w:hAnsi="Times New Roman" w:cs="Times New Roman"/>
                <w:i/>
                <w:noProof/>
                <w:lang w:val="sq-AL"/>
              </w:rPr>
              <w:t xml:space="preserve">Pozicionimi i administratës publike si një punëdhënës i besueshëm, tërheqës dhe konkurrues në tregun e punës. </w:t>
            </w:r>
          </w:p>
        </w:tc>
        <w:tc>
          <w:tcPr>
            <w:tcW w:w="1701" w:type="dxa"/>
            <w:shd w:val="clear" w:color="auto" w:fill="E2EFD9" w:themeFill="accent6" w:themeFillTint="33"/>
            <w:vAlign w:val="center"/>
          </w:tcPr>
          <w:p w14:paraId="1A5AA22E" w14:textId="03813537" w:rsidR="007E2EED" w:rsidRPr="00641640" w:rsidRDefault="00DC1FE3" w:rsidP="00E342EA">
            <w:pPr>
              <w:spacing w:line="180" w:lineRule="exact"/>
              <w:jc w:val="center"/>
              <w:rPr>
                <w:rFonts w:ascii="Times New Roman" w:hAnsi="Times New Roman" w:cs="Times New Roman"/>
                <w:i/>
                <w:noProof/>
                <w:lang w:val="sq-AL"/>
              </w:rPr>
            </w:pPr>
            <w:r w:rsidRPr="00641640">
              <w:rPr>
                <w:rFonts w:ascii="Times New Roman" w:hAnsi="Times New Roman" w:cs="Times New Roman"/>
                <w:i/>
                <w:noProof/>
                <w:lang w:val="sq-AL"/>
              </w:rPr>
              <w:t>Aftësitë digjitale të shoqërisë së gjerë</w:t>
            </w:r>
          </w:p>
        </w:tc>
        <w:tc>
          <w:tcPr>
            <w:tcW w:w="1984" w:type="dxa"/>
            <w:shd w:val="clear" w:color="auto" w:fill="E2EFD9" w:themeFill="accent6" w:themeFillTint="33"/>
            <w:vAlign w:val="center"/>
          </w:tcPr>
          <w:p w14:paraId="220C7B2E" w14:textId="269EC7A5" w:rsidR="007E2EED" w:rsidRPr="00641640" w:rsidRDefault="00DC1FE3" w:rsidP="00040DAA">
            <w:pPr>
              <w:spacing w:line="180" w:lineRule="exact"/>
              <w:jc w:val="center"/>
              <w:rPr>
                <w:rFonts w:ascii="Times New Roman" w:hAnsi="Times New Roman" w:cs="Times New Roman"/>
                <w:i/>
                <w:noProof/>
                <w:lang w:val="sq-AL"/>
              </w:rPr>
            </w:pPr>
            <w:r w:rsidRPr="00641640">
              <w:rPr>
                <w:rFonts w:ascii="Times New Roman" w:hAnsi="Times New Roman" w:cs="Times New Roman"/>
                <w:i/>
                <w:noProof/>
                <w:lang w:val="sq-AL"/>
              </w:rPr>
              <w:t>Rritja e llogaridhënies së brendshme në administratën publike</w:t>
            </w:r>
          </w:p>
        </w:tc>
        <w:tc>
          <w:tcPr>
            <w:tcW w:w="1985" w:type="dxa"/>
            <w:shd w:val="clear" w:color="auto" w:fill="E2EFD9" w:themeFill="accent6" w:themeFillTint="33"/>
            <w:vAlign w:val="center"/>
          </w:tcPr>
          <w:p w14:paraId="53DE5D97" w14:textId="4EABD25A" w:rsidR="007E2EED" w:rsidRPr="00641640" w:rsidRDefault="00DC1FE3" w:rsidP="00915413">
            <w:pPr>
              <w:spacing w:line="180" w:lineRule="exact"/>
              <w:jc w:val="center"/>
              <w:rPr>
                <w:rFonts w:ascii="Times New Roman" w:hAnsi="Times New Roman" w:cs="Times New Roman"/>
                <w:i/>
                <w:noProof/>
                <w:lang w:val="sq-AL"/>
              </w:rPr>
            </w:pPr>
            <w:r w:rsidRPr="00641640">
              <w:rPr>
                <w:rFonts w:ascii="Times New Roman" w:hAnsi="Times New Roman" w:cs="Times New Roman"/>
                <w:i/>
                <w:noProof/>
                <w:lang w:val="sq-AL"/>
              </w:rPr>
              <w:t>Partneriteti për administratën e gjelbër</w:t>
            </w:r>
          </w:p>
        </w:tc>
      </w:tr>
      <w:tr w:rsidR="00DC1FE3" w:rsidRPr="00641640" w14:paraId="63357FF0" w14:textId="77777777" w:rsidTr="001420A5">
        <w:trPr>
          <w:trHeight w:val="2022"/>
        </w:trPr>
        <w:tc>
          <w:tcPr>
            <w:tcW w:w="1833" w:type="dxa"/>
            <w:shd w:val="clear" w:color="auto" w:fill="E2EFD9" w:themeFill="accent6" w:themeFillTint="33"/>
            <w:vAlign w:val="center"/>
          </w:tcPr>
          <w:p w14:paraId="67D3CC2A" w14:textId="78093560" w:rsidR="007E2EED" w:rsidRPr="00641640" w:rsidRDefault="00DC1FE3" w:rsidP="00DC1FE3">
            <w:pPr>
              <w:spacing w:line="180" w:lineRule="exact"/>
              <w:jc w:val="center"/>
              <w:rPr>
                <w:rFonts w:ascii="Times New Roman" w:hAnsi="Times New Roman" w:cs="Times New Roman"/>
                <w:i/>
                <w:noProof/>
                <w:lang w:val="sq-AL"/>
              </w:rPr>
            </w:pPr>
            <w:r w:rsidRPr="00641640">
              <w:rPr>
                <w:rFonts w:ascii="Times New Roman" w:hAnsi="Times New Roman" w:cs="Times New Roman"/>
                <w:i/>
                <w:noProof/>
                <w:lang w:val="sq-AL"/>
              </w:rPr>
              <w:t>Ligjbërje dhe politibërje gjithëpërfshirëse dhe transparente, bazuar në të dhëna dhe që garanton përputhje me acquis-në dhe standardet evropiane</w:t>
            </w:r>
          </w:p>
        </w:tc>
        <w:tc>
          <w:tcPr>
            <w:tcW w:w="1985" w:type="dxa"/>
            <w:shd w:val="clear" w:color="auto" w:fill="E2EFD9" w:themeFill="accent6" w:themeFillTint="33"/>
            <w:vAlign w:val="center"/>
          </w:tcPr>
          <w:p w14:paraId="434C4837" w14:textId="7AF68865" w:rsidR="007E2EED" w:rsidRPr="00641640" w:rsidRDefault="00DC1FE3" w:rsidP="0011222A">
            <w:pPr>
              <w:spacing w:line="180" w:lineRule="exact"/>
              <w:jc w:val="center"/>
              <w:rPr>
                <w:rFonts w:ascii="Times New Roman" w:hAnsi="Times New Roman" w:cs="Times New Roman"/>
                <w:i/>
                <w:noProof/>
                <w:lang w:val="sq-AL"/>
              </w:rPr>
            </w:pPr>
            <w:r w:rsidRPr="00641640">
              <w:rPr>
                <w:rFonts w:ascii="Times New Roman" w:hAnsi="Times New Roman" w:cs="Times New Roman"/>
                <w:bCs/>
                <w:i/>
                <w:noProof/>
                <w:lang w:val="sq-AL"/>
              </w:rPr>
              <w:t>Rritja e kapaciteteve të administratës publike</w:t>
            </w:r>
            <w:r w:rsidRPr="00641640">
              <w:rPr>
                <w:rFonts w:ascii="Times New Roman" w:hAnsi="Times New Roman" w:cs="Times New Roman"/>
                <w:i/>
                <w:noProof/>
                <w:lang w:val="sq-AL"/>
              </w:rPr>
              <w:t xml:space="preserve"> </w:t>
            </w:r>
          </w:p>
        </w:tc>
        <w:tc>
          <w:tcPr>
            <w:tcW w:w="1701" w:type="dxa"/>
            <w:shd w:val="clear" w:color="auto" w:fill="E2EFD9" w:themeFill="accent6" w:themeFillTint="33"/>
            <w:vAlign w:val="center"/>
          </w:tcPr>
          <w:p w14:paraId="607B4177" w14:textId="68573382" w:rsidR="007E2EED" w:rsidRPr="00641640" w:rsidRDefault="007E2EED" w:rsidP="00DC1FE3">
            <w:pPr>
              <w:spacing w:line="180" w:lineRule="exact"/>
              <w:jc w:val="center"/>
              <w:rPr>
                <w:rFonts w:ascii="Times New Roman" w:hAnsi="Times New Roman" w:cs="Times New Roman"/>
                <w:i/>
                <w:noProof/>
                <w:lang w:val="sq-AL"/>
              </w:rPr>
            </w:pPr>
          </w:p>
        </w:tc>
        <w:tc>
          <w:tcPr>
            <w:tcW w:w="1984" w:type="dxa"/>
            <w:shd w:val="clear" w:color="auto" w:fill="E2EFD9" w:themeFill="accent6" w:themeFillTint="33"/>
            <w:vAlign w:val="center"/>
          </w:tcPr>
          <w:p w14:paraId="738B6A1D" w14:textId="705FFEA4" w:rsidR="007E2EED" w:rsidRPr="00641640" w:rsidRDefault="00E342EA" w:rsidP="00DC1FE3">
            <w:pPr>
              <w:spacing w:line="180" w:lineRule="exact"/>
              <w:jc w:val="center"/>
              <w:rPr>
                <w:rFonts w:ascii="Times New Roman" w:hAnsi="Times New Roman" w:cs="Times New Roman"/>
                <w:i/>
                <w:noProof/>
                <w:lang w:val="sq-AL"/>
              </w:rPr>
            </w:pPr>
            <w:r w:rsidRPr="00641640">
              <w:rPr>
                <w:rFonts w:ascii="Times New Roman" w:hAnsi="Times New Roman" w:cs="Times New Roman"/>
                <w:i/>
                <w:noProof/>
                <w:lang w:val="sq-AL"/>
              </w:rPr>
              <w:t>Institucione</w:t>
            </w:r>
            <w:r w:rsidR="005306DA" w:rsidRPr="00641640">
              <w:rPr>
                <w:rFonts w:ascii="Times New Roman" w:hAnsi="Times New Roman" w:cs="Times New Roman"/>
                <w:i/>
                <w:noProof/>
                <w:lang w:val="sq-AL"/>
              </w:rPr>
              <w:t xml:space="preserve"> </w:t>
            </w:r>
            <w:r w:rsidRPr="00641640">
              <w:rPr>
                <w:rFonts w:ascii="Times New Roman" w:hAnsi="Times New Roman" w:cs="Times New Roman"/>
                <w:i/>
                <w:noProof/>
                <w:lang w:val="sq-AL"/>
              </w:rPr>
              <w:t>publike</w:t>
            </w:r>
            <w:r w:rsidR="00DC1FE3" w:rsidRPr="00641640">
              <w:rPr>
                <w:rFonts w:ascii="Times New Roman" w:hAnsi="Times New Roman" w:cs="Times New Roman"/>
                <w:i/>
                <w:noProof/>
                <w:lang w:val="sq-AL"/>
              </w:rPr>
              <w:t xml:space="preserve"> transparente</w:t>
            </w:r>
            <w:r w:rsidRPr="00641640">
              <w:rPr>
                <w:rFonts w:ascii="Times New Roman" w:hAnsi="Times New Roman" w:cs="Times New Roman"/>
                <w:i/>
                <w:noProof/>
                <w:lang w:val="sq-AL"/>
              </w:rPr>
              <w:t xml:space="preserve"> </w:t>
            </w:r>
          </w:p>
        </w:tc>
        <w:tc>
          <w:tcPr>
            <w:tcW w:w="1985" w:type="dxa"/>
            <w:shd w:val="clear" w:color="auto" w:fill="E2EFD9" w:themeFill="accent6" w:themeFillTint="33"/>
            <w:vAlign w:val="center"/>
          </w:tcPr>
          <w:p w14:paraId="4672CC5A" w14:textId="497E0BAB" w:rsidR="007E2EED" w:rsidRPr="00641640" w:rsidRDefault="005F72B9" w:rsidP="00915413">
            <w:pPr>
              <w:spacing w:line="180" w:lineRule="exact"/>
              <w:jc w:val="center"/>
              <w:rPr>
                <w:rFonts w:ascii="Times New Roman" w:hAnsi="Times New Roman" w:cs="Times New Roman"/>
                <w:i/>
                <w:noProof/>
                <w:lang w:val="sq-AL"/>
              </w:rPr>
            </w:pPr>
            <w:r>
              <w:rPr>
                <w:rFonts w:ascii="Times New Roman" w:hAnsi="Times New Roman" w:cs="Times New Roman"/>
                <w:i/>
                <w:noProof/>
                <w:lang w:val="sq-AL"/>
              </w:rPr>
              <w:t xml:space="preserve">Transformim i kapitalit njerëzor </w:t>
            </w:r>
            <w:r w:rsidR="005760BF">
              <w:rPr>
                <w:rFonts w:ascii="Times New Roman" w:hAnsi="Times New Roman" w:cs="Times New Roman"/>
                <w:i/>
                <w:noProof/>
                <w:lang w:val="sq-AL"/>
              </w:rPr>
              <w:t>të sektorit publik për tranzicionin ekologjik</w:t>
            </w:r>
          </w:p>
        </w:tc>
      </w:tr>
      <w:tr w:rsidR="00DC1FE3" w:rsidRPr="00641640" w14:paraId="41C8E872" w14:textId="77777777" w:rsidTr="00DC1FE3">
        <w:trPr>
          <w:trHeight w:val="1370"/>
        </w:trPr>
        <w:tc>
          <w:tcPr>
            <w:tcW w:w="1833" w:type="dxa"/>
            <w:shd w:val="clear" w:color="auto" w:fill="E2EFD9" w:themeFill="accent6" w:themeFillTint="33"/>
            <w:vAlign w:val="center"/>
          </w:tcPr>
          <w:p w14:paraId="673E3DB2" w14:textId="77777777" w:rsidR="00DC1FE3" w:rsidRPr="00641640" w:rsidRDefault="00DC1FE3" w:rsidP="00DC1FE3">
            <w:pPr>
              <w:spacing w:line="180" w:lineRule="exact"/>
              <w:jc w:val="center"/>
              <w:rPr>
                <w:rFonts w:ascii="Times New Roman" w:hAnsi="Times New Roman" w:cs="Times New Roman"/>
                <w:i/>
                <w:noProof/>
                <w:lang w:val="sq-AL"/>
              </w:rPr>
            </w:pPr>
          </w:p>
        </w:tc>
        <w:tc>
          <w:tcPr>
            <w:tcW w:w="1985" w:type="dxa"/>
            <w:shd w:val="clear" w:color="auto" w:fill="E2EFD9" w:themeFill="accent6" w:themeFillTint="33"/>
            <w:vAlign w:val="center"/>
          </w:tcPr>
          <w:p w14:paraId="59D1BE6A" w14:textId="783BBE8F" w:rsidR="00DC1FE3" w:rsidRPr="00641640" w:rsidRDefault="00DC1FE3" w:rsidP="0011222A">
            <w:pPr>
              <w:spacing w:line="180" w:lineRule="exact"/>
              <w:jc w:val="center"/>
              <w:rPr>
                <w:rFonts w:ascii="Times New Roman" w:hAnsi="Times New Roman" w:cs="Times New Roman"/>
                <w:bCs/>
                <w:i/>
                <w:noProof/>
                <w:lang w:val="sq-AL"/>
              </w:rPr>
            </w:pPr>
            <w:r w:rsidRPr="00641640">
              <w:rPr>
                <w:rFonts w:ascii="Times New Roman" w:hAnsi="Times New Roman" w:cs="Times New Roman"/>
                <w:bCs/>
                <w:i/>
                <w:noProof/>
                <w:lang w:val="sq-AL"/>
              </w:rPr>
              <w:t>Sistemet elektronike për menaxhimin e burimeve njerëzore</w:t>
            </w:r>
          </w:p>
        </w:tc>
        <w:tc>
          <w:tcPr>
            <w:tcW w:w="1701" w:type="dxa"/>
            <w:shd w:val="clear" w:color="auto" w:fill="E2EFD9" w:themeFill="accent6" w:themeFillTint="33"/>
            <w:vAlign w:val="center"/>
          </w:tcPr>
          <w:p w14:paraId="5E82BFCC" w14:textId="77777777" w:rsidR="00DC1FE3" w:rsidRPr="00641640" w:rsidRDefault="00DC1FE3" w:rsidP="003B2C6E">
            <w:pPr>
              <w:spacing w:line="180" w:lineRule="exact"/>
              <w:jc w:val="center"/>
              <w:rPr>
                <w:rFonts w:ascii="Times New Roman" w:hAnsi="Times New Roman" w:cs="Times New Roman"/>
                <w:i/>
                <w:noProof/>
                <w:lang w:val="sq-AL"/>
              </w:rPr>
            </w:pPr>
          </w:p>
        </w:tc>
        <w:tc>
          <w:tcPr>
            <w:tcW w:w="1984" w:type="dxa"/>
            <w:shd w:val="clear" w:color="auto" w:fill="E2EFD9" w:themeFill="accent6" w:themeFillTint="33"/>
            <w:vAlign w:val="center"/>
          </w:tcPr>
          <w:p w14:paraId="5904E666" w14:textId="15E4F103" w:rsidR="00DC1FE3" w:rsidRPr="00641640" w:rsidRDefault="00DC1FE3" w:rsidP="005306DA">
            <w:pPr>
              <w:spacing w:line="180" w:lineRule="exact"/>
              <w:jc w:val="center"/>
              <w:rPr>
                <w:rFonts w:ascii="Times New Roman" w:hAnsi="Times New Roman" w:cs="Times New Roman"/>
                <w:i/>
                <w:noProof/>
                <w:lang w:val="sq-AL"/>
              </w:rPr>
            </w:pPr>
            <w:r w:rsidRPr="00641640">
              <w:rPr>
                <w:rFonts w:ascii="Times New Roman" w:hAnsi="Times New Roman" w:cs="Times New Roman"/>
                <w:i/>
                <w:noProof/>
                <w:lang w:val="sq-AL"/>
              </w:rPr>
              <w:t>Fuqizimi i llogaridhënies së jashtme të administratës publike</w:t>
            </w:r>
          </w:p>
        </w:tc>
        <w:tc>
          <w:tcPr>
            <w:tcW w:w="1985" w:type="dxa"/>
            <w:shd w:val="clear" w:color="auto" w:fill="E2EFD9" w:themeFill="accent6" w:themeFillTint="33"/>
            <w:vAlign w:val="center"/>
          </w:tcPr>
          <w:p w14:paraId="2C07C979" w14:textId="5500BB81" w:rsidR="00DC1FE3" w:rsidRPr="00641640" w:rsidRDefault="0096538B" w:rsidP="00915413">
            <w:pPr>
              <w:spacing w:line="180" w:lineRule="exact"/>
              <w:jc w:val="center"/>
              <w:rPr>
                <w:rFonts w:ascii="Times New Roman" w:hAnsi="Times New Roman" w:cs="Times New Roman"/>
                <w:i/>
                <w:noProof/>
                <w:lang w:val="sq-AL"/>
              </w:rPr>
            </w:pPr>
            <w:r>
              <w:rPr>
                <w:rFonts w:ascii="Times New Roman" w:hAnsi="Times New Roman" w:cs="Times New Roman"/>
                <w:i/>
                <w:noProof/>
                <w:lang w:val="sq-AL"/>
              </w:rPr>
              <w:t>Përshpejtimi i prokurimit të gjelbër publik</w:t>
            </w:r>
            <w:r w:rsidR="00B8524E">
              <w:rPr>
                <w:rFonts w:ascii="Times New Roman" w:hAnsi="Times New Roman" w:cs="Times New Roman"/>
                <w:i/>
                <w:noProof/>
                <w:lang w:val="sq-AL"/>
              </w:rPr>
              <w:t xml:space="preserve"> dhe zbatimi i parimeve të ekonomisë qarkulluese</w:t>
            </w:r>
          </w:p>
        </w:tc>
      </w:tr>
    </w:tbl>
    <w:p w14:paraId="7C30AAED" w14:textId="77777777" w:rsidR="00F8471F" w:rsidRPr="00641640" w:rsidRDefault="00F8471F" w:rsidP="00DB78D9">
      <w:pPr>
        <w:spacing w:after="0"/>
        <w:rPr>
          <w:rStyle w:val="IntenseReference"/>
          <w:rFonts w:ascii="Times New Roman" w:hAnsi="Times New Roman" w:cs="Times New Roman"/>
          <w:i/>
          <w:iCs/>
          <w:noProof/>
          <w:sz w:val="22"/>
          <w:szCs w:val="22"/>
          <w:lang w:val="sq-AL"/>
        </w:rPr>
      </w:pPr>
    </w:p>
    <w:p w14:paraId="490D5F82" w14:textId="4E189BEA" w:rsidR="004B2070" w:rsidRPr="00641640" w:rsidRDefault="004B2070"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Strategjia Ndërsektoriale </w:t>
      </w:r>
      <w:r w:rsidR="00537685"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537685" w:rsidRPr="00641640">
        <w:rPr>
          <w:rFonts w:ascii="Times New Roman" w:hAnsi="Times New Roman" w:cs="Times New Roman"/>
          <w:noProof/>
          <w:sz w:val="24"/>
          <w:szCs w:val="24"/>
          <w:lang w:val="sq-AL"/>
        </w:rPr>
        <w:t xml:space="preserve">r RAP </w:t>
      </w:r>
      <w:r w:rsidR="00C9060F" w:rsidRPr="00641640">
        <w:rPr>
          <w:rFonts w:ascii="Times New Roman" w:hAnsi="Times New Roman" w:cs="Times New Roman"/>
          <w:noProof/>
          <w:sz w:val="24"/>
          <w:szCs w:val="24"/>
          <w:lang w:val="sq-AL"/>
        </w:rPr>
        <w:t>mb</w:t>
      </w:r>
      <w:r w:rsidR="007F00FB" w:rsidRPr="00641640">
        <w:rPr>
          <w:rFonts w:ascii="Times New Roman" w:hAnsi="Times New Roman" w:cs="Times New Roman"/>
          <w:noProof/>
          <w:sz w:val="24"/>
          <w:szCs w:val="24"/>
          <w:lang w:val="sq-AL"/>
        </w:rPr>
        <w:t>ë</w:t>
      </w:r>
      <w:r w:rsidR="00C9060F" w:rsidRPr="00641640">
        <w:rPr>
          <w:rFonts w:ascii="Times New Roman" w:hAnsi="Times New Roman" w:cs="Times New Roman"/>
          <w:noProof/>
          <w:sz w:val="24"/>
          <w:szCs w:val="24"/>
          <w:lang w:val="sq-AL"/>
        </w:rPr>
        <w:t>shtetet n</w:t>
      </w:r>
      <w:r w:rsidR="007F00FB" w:rsidRPr="00641640">
        <w:rPr>
          <w:rFonts w:ascii="Times New Roman" w:hAnsi="Times New Roman" w:cs="Times New Roman"/>
          <w:noProof/>
          <w:sz w:val="24"/>
          <w:szCs w:val="24"/>
          <w:lang w:val="sq-AL"/>
        </w:rPr>
        <w:t>ë</w:t>
      </w:r>
      <w:r w:rsidR="00F8471F" w:rsidRPr="00641640">
        <w:rPr>
          <w:rFonts w:ascii="Times New Roman" w:hAnsi="Times New Roman" w:cs="Times New Roman"/>
          <w:noProof/>
          <w:sz w:val="24"/>
          <w:szCs w:val="24"/>
          <w:lang w:val="sq-AL"/>
        </w:rPr>
        <w:t xml:space="preserve"> një analizë </w:t>
      </w:r>
      <w:r w:rsidR="00C9060F" w:rsidRPr="00641640">
        <w:rPr>
          <w:rFonts w:ascii="Times New Roman" w:hAnsi="Times New Roman" w:cs="Times New Roman"/>
          <w:noProof/>
          <w:sz w:val="24"/>
          <w:szCs w:val="24"/>
          <w:lang w:val="sq-AL"/>
        </w:rPr>
        <w:t>t</w:t>
      </w:r>
      <w:r w:rsidR="007F00FB" w:rsidRPr="00641640">
        <w:rPr>
          <w:rFonts w:ascii="Times New Roman" w:hAnsi="Times New Roman" w:cs="Times New Roman"/>
          <w:noProof/>
          <w:sz w:val="24"/>
          <w:szCs w:val="24"/>
          <w:lang w:val="sq-AL"/>
        </w:rPr>
        <w:t>ë</w:t>
      </w:r>
      <w:r w:rsidR="00F8471F" w:rsidRPr="00641640">
        <w:rPr>
          <w:rFonts w:ascii="Times New Roman" w:hAnsi="Times New Roman" w:cs="Times New Roman"/>
          <w:noProof/>
          <w:sz w:val="24"/>
          <w:szCs w:val="24"/>
          <w:lang w:val="sq-AL"/>
        </w:rPr>
        <w:t xml:space="preserve"> hollësishme për </w:t>
      </w:r>
      <w:r w:rsidR="00537685" w:rsidRPr="00641640">
        <w:rPr>
          <w:rFonts w:ascii="Times New Roman" w:hAnsi="Times New Roman" w:cs="Times New Roman"/>
          <w:noProof/>
          <w:sz w:val="24"/>
          <w:szCs w:val="24"/>
          <w:lang w:val="sq-AL"/>
        </w:rPr>
        <w:t>secilin</w:t>
      </w:r>
      <w:r w:rsidR="00F8471F" w:rsidRPr="00641640">
        <w:rPr>
          <w:rFonts w:ascii="Times New Roman" w:hAnsi="Times New Roman" w:cs="Times New Roman"/>
          <w:noProof/>
          <w:sz w:val="24"/>
          <w:szCs w:val="24"/>
          <w:lang w:val="sq-AL"/>
        </w:rPr>
        <w:t xml:space="preserve"> </w:t>
      </w:r>
      <w:r w:rsidR="00537685" w:rsidRPr="00641640">
        <w:rPr>
          <w:rFonts w:ascii="Times New Roman" w:hAnsi="Times New Roman" w:cs="Times New Roman"/>
          <w:noProof/>
          <w:sz w:val="24"/>
          <w:szCs w:val="24"/>
          <w:lang w:val="sq-AL"/>
        </w:rPr>
        <w:t>Q</w:t>
      </w:r>
      <w:r w:rsidR="00F8471F" w:rsidRPr="00641640">
        <w:rPr>
          <w:rFonts w:ascii="Times New Roman" w:hAnsi="Times New Roman" w:cs="Times New Roman"/>
          <w:noProof/>
          <w:sz w:val="24"/>
          <w:szCs w:val="24"/>
          <w:lang w:val="sq-AL"/>
        </w:rPr>
        <w:t xml:space="preserve">ëllim </w:t>
      </w:r>
      <w:r w:rsidR="00537685"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537685" w:rsidRPr="00641640">
        <w:rPr>
          <w:rFonts w:ascii="Times New Roman" w:hAnsi="Times New Roman" w:cs="Times New Roman"/>
          <w:noProof/>
          <w:sz w:val="24"/>
          <w:szCs w:val="24"/>
          <w:lang w:val="sq-AL"/>
        </w:rPr>
        <w:t xml:space="preserve"> P</w:t>
      </w:r>
      <w:r w:rsidR="00F8471F" w:rsidRPr="00641640">
        <w:rPr>
          <w:rFonts w:ascii="Times New Roman" w:hAnsi="Times New Roman" w:cs="Times New Roman"/>
          <w:noProof/>
          <w:sz w:val="24"/>
          <w:szCs w:val="24"/>
          <w:lang w:val="sq-AL"/>
        </w:rPr>
        <w:t>olitik</w:t>
      </w:r>
      <w:r w:rsidR="00064AC5" w:rsidRPr="00641640">
        <w:rPr>
          <w:rFonts w:ascii="Times New Roman" w:hAnsi="Times New Roman" w:cs="Times New Roman"/>
          <w:noProof/>
          <w:sz w:val="24"/>
          <w:szCs w:val="24"/>
          <w:lang w:val="sq-AL"/>
        </w:rPr>
        <w:t>ë</w:t>
      </w:r>
      <w:r w:rsidR="00537685" w:rsidRPr="00641640">
        <w:rPr>
          <w:rFonts w:ascii="Times New Roman" w:hAnsi="Times New Roman" w:cs="Times New Roman"/>
          <w:noProof/>
          <w:sz w:val="24"/>
          <w:szCs w:val="24"/>
          <w:lang w:val="sq-AL"/>
        </w:rPr>
        <w:t>s</w:t>
      </w:r>
      <w:r w:rsidR="005306DA" w:rsidRPr="00641640">
        <w:rPr>
          <w:rFonts w:ascii="Times New Roman" w:hAnsi="Times New Roman" w:cs="Times New Roman"/>
          <w:noProof/>
          <w:sz w:val="24"/>
          <w:szCs w:val="24"/>
          <w:lang w:val="sq-AL"/>
        </w:rPr>
        <w:t>,</w:t>
      </w:r>
      <w:r w:rsidR="00C9060F" w:rsidRPr="00641640">
        <w:rPr>
          <w:rFonts w:ascii="Times New Roman" w:hAnsi="Times New Roman" w:cs="Times New Roman"/>
          <w:noProof/>
          <w:sz w:val="24"/>
          <w:szCs w:val="24"/>
          <w:lang w:val="sq-AL"/>
        </w:rPr>
        <w:t xml:space="preserve"> </w:t>
      </w:r>
      <w:r w:rsidR="001751FD"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 xml:space="preserve"> cilat detajohen </w:t>
      </w:r>
      <w:r w:rsidR="00537685" w:rsidRPr="00641640">
        <w:rPr>
          <w:rFonts w:ascii="Times New Roman" w:hAnsi="Times New Roman" w:cs="Times New Roman"/>
          <w:noProof/>
          <w:sz w:val="24"/>
          <w:szCs w:val="24"/>
          <w:lang w:val="sq-AL"/>
        </w:rPr>
        <w:t>m</w:t>
      </w:r>
      <w:r w:rsidR="00064AC5" w:rsidRPr="00641640">
        <w:rPr>
          <w:rFonts w:ascii="Times New Roman" w:hAnsi="Times New Roman" w:cs="Times New Roman"/>
          <w:noProof/>
          <w:sz w:val="24"/>
          <w:szCs w:val="24"/>
          <w:lang w:val="sq-AL"/>
        </w:rPr>
        <w:t>ë</w:t>
      </w:r>
      <w:r w:rsidR="00537685" w:rsidRPr="00641640">
        <w:rPr>
          <w:rFonts w:ascii="Times New Roman" w:hAnsi="Times New Roman" w:cs="Times New Roman"/>
          <w:noProof/>
          <w:sz w:val="24"/>
          <w:szCs w:val="24"/>
          <w:lang w:val="sq-AL"/>
        </w:rPr>
        <w:t xml:space="preserve"> tej </w:t>
      </w:r>
      <w:r w:rsidR="00C9060F" w:rsidRPr="00641640">
        <w:rPr>
          <w:rFonts w:ascii="Times New Roman" w:hAnsi="Times New Roman" w:cs="Times New Roman"/>
          <w:noProof/>
          <w:sz w:val="24"/>
          <w:szCs w:val="24"/>
          <w:lang w:val="sq-AL"/>
        </w:rPr>
        <w:t>n</w:t>
      </w:r>
      <w:r w:rsidR="007F00F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një Plan Veprimi me masa</w:t>
      </w:r>
      <w:r w:rsidR="00C9060F" w:rsidRPr="00641640">
        <w:rPr>
          <w:rFonts w:ascii="Times New Roman" w:hAnsi="Times New Roman" w:cs="Times New Roman"/>
          <w:noProof/>
          <w:sz w:val="24"/>
          <w:szCs w:val="24"/>
          <w:lang w:val="sq-AL"/>
        </w:rPr>
        <w:t xml:space="preserve"> konkrete</w:t>
      </w:r>
      <w:r w:rsidRPr="00641640">
        <w:rPr>
          <w:rFonts w:ascii="Times New Roman" w:hAnsi="Times New Roman" w:cs="Times New Roman"/>
          <w:noProof/>
          <w:sz w:val="24"/>
          <w:szCs w:val="24"/>
          <w:lang w:val="sq-AL"/>
        </w:rPr>
        <w:t xml:space="preserve">, afate </w:t>
      </w:r>
      <w:r w:rsidR="00537685"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537685" w:rsidRPr="00641640">
        <w:rPr>
          <w:rFonts w:ascii="Times New Roman" w:hAnsi="Times New Roman" w:cs="Times New Roman"/>
          <w:noProof/>
          <w:sz w:val="24"/>
          <w:szCs w:val="24"/>
          <w:lang w:val="sq-AL"/>
        </w:rPr>
        <w:t xml:space="preserve"> p</w:t>
      </w:r>
      <w:r w:rsidR="00064AC5" w:rsidRPr="00641640">
        <w:rPr>
          <w:rFonts w:ascii="Times New Roman" w:hAnsi="Times New Roman" w:cs="Times New Roman"/>
          <w:noProof/>
          <w:sz w:val="24"/>
          <w:szCs w:val="24"/>
          <w:lang w:val="sq-AL"/>
        </w:rPr>
        <w:t>ë</w:t>
      </w:r>
      <w:r w:rsidR="00537685" w:rsidRPr="00641640">
        <w:rPr>
          <w:rFonts w:ascii="Times New Roman" w:hAnsi="Times New Roman" w:cs="Times New Roman"/>
          <w:noProof/>
          <w:sz w:val="24"/>
          <w:szCs w:val="24"/>
          <w:lang w:val="sq-AL"/>
        </w:rPr>
        <w:t xml:space="preserve">rcaktuara </w:t>
      </w:r>
      <w:r w:rsidRPr="00641640">
        <w:rPr>
          <w:rFonts w:ascii="Times New Roman" w:hAnsi="Times New Roman" w:cs="Times New Roman"/>
          <w:noProof/>
          <w:sz w:val="24"/>
          <w:szCs w:val="24"/>
          <w:lang w:val="sq-AL"/>
        </w:rPr>
        <w:t>kohore</w:t>
      </w:r>
      <w:r w:rsidR="00C9060F"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përgjegjësi </w:t>
      </w:r>
      <w:r w:rsidR="00537685"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537685" w:rsidRPr="00641640">
        <w:rPr>
          <w:rFonts w:ascii="Times New Roman" w:hAnsi="Times New Roman" w:cs="Times New Roman"/>
          <w:noProof/>
          <w:sz w:val="24"/>
          <w:szCs w:val="24"/>
          <w:lang w:val="sq-AL"/>
        </w:rPr>
        <w:t xml:space="preserve"> mir</w:t>
      </w:r>
      <w:r w:rsidR="00064AC5" w:rsidRPr="00641640">
        <w:rPr>
          <w:rFonts w:ascii="Times New Roman" w:hAnsi="Times New Roman" w:cs="Times New Roman"/>
          <w:noProof/>
          <w:sz w:val="24"/>
          <w:szCs w:val="24"/>
          <w:lang w:val="sq-AL"/>
        </w:rPr>
        <w:t>ë</w:t>
      </w:r>
      <w:r w:rsidR="00537685" w:rsidRPr="00641640">
        <w:rPr>
          <w:rFonts w:ascii="Times New Roman" w:hAnsi="Times New Roman" w:cs="Times New Roman"/>
          <w:noProof/>
          <w:sz w:val="24"/>
          <w:szCs w:val="24"/>
          <w:lang w:val="sq-AL"/>
        </w:rPr>
        <w:t xml:space="preserve">identifikuara </w:t>
      </w:r>
      <w:r w:rsidR="006D3DAD" w:rsidRPr="00641640">
        <w:rPr>
          <w:rFonts w:ascii="Times New Roman" w:hAnsi="Times New Roman" w:cs="Times New Roman"/>
          <w:noProof/>
          <w:sz w:val="24"/>
          <w:szCs w:val="24"/>
          <w:lang w:val="sq-AL"/>
        </w:rPr>
        <w:t>institucionale</w:t>
      </w:r>
      <w:r w:rsidR="006D3DAD" w:rsidRPr="00641640" w:rsidDel="00C9060F">
        <w:rPr>
          <w:rFonts w:ascii="Times New Roman" w:hAnsi="Times New Roman" w:cs="Times New Roman"/>
          <w:noProof/>
          <w:sz w:val="24"/>
          <w:szCs w:val="24"/>
          <w:lang w:val="sq-AL"/>
        </w:rPr>
        <w:t xml:space="preserve"> </w:t>
      </w:r>
      <w:r w:rsidR="00C9060F" w:rsidRPr="00641640">
        <w:rPr>
          <w:rFonts w:ascii="Times New Roman" w:hAnsi="Times New Roman" w:cs="Times New Roman"/>
          <w:noProof/>
          <w:sz w:val="24"/>
          <w:szCs w:val="24"/>
          <w:lang w:val="sq-AL"/>
        </w:rPr>
        <w:t>dhe</w:t>
      </w:r>
      <w:r w:rsidRPr="00641640">
        <w:rPr>
          <w:rFonts w:ascii="Times New Roman" w:hAnsi="Times New Roman" w:cs="Times New Roman"/>
          <w:noProof/>
          <w:sz w:val="24"/>
          <w:szCs w:val="24"/>
          <w:lang w:val="sq-AL"/>
        </w:rPr>
        <w:t xml:space="preserve"> </w:t>
      </w:r>
      <w:r w:rsidR="00C9060F" w:rsidRPr="00641640">
        <w:rPr>
          <w:rFonts w:ascii="Times New Roman" w:hAnsi="Times New Roman" w:cs="Times New Roman"/>
          <w:noProof/>
          <w:sz w:val="24"/>
          <w:szCs w:val="24"/>
          <w:lang w:val="sq-AL"/>
        </w:rPr>
        <w:t>sistem</w:t>
      </w:r>
      <w:r w:rsidRPr="00641640">
        <w:rPr>
          <w:rFonts w:ascii="Times New Roman" w:hAnsi="Times New Roman" w:cs="Times New Roman"/>
          <w:noProof/>
          <w:sz w:val="24"/>
          <w:szCs w:val="24"/>
          <w:lang w:val="sq-AL"/>
        </w:rPr>
        <w:t xml:space="preserve"> </w:t>
      </w:r>
      <w:r w:rsidR="00537685"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537685" w:rsidRPr="00641640">
        <w:rPr>
          <w:rFonts w:ascii="Times New Roman" w:hAnsi="Times New Roman" w:cs="Times New Roman"/>
          <w:noProof/>
          <w:sz w:val="24"/>
          <w:szCs w:val="24"/>
          <w:lang w:val="sq-AL"/>
        </w:rPr>
        <w:t xml:space="preserve"> qart</w:t>
      </w:r>
      <w:r w:rsidR="00064AC5" w:rsidRPr="00641640">
        <w:rPr>
          <w:rFonts w:ascii="Times New Roman" w:hAnsi="Times New Roman" w:cs="Times New Roman"/>
          <w:noProof/>
          <w:sz w:val="24"/>
          <w:szCs w:val="24"/>
          <w:lang w:val="sq-AL"/>
        </w:rPr>
        <w:t>ë</w:t>
      </w:r>
      <w:r w:rsidR="00537685"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monitorimi me qëllim </w:t>
      </w:r>
      <w:r w:rsidR="00C9060F" w:rsidRPr="00641640">
        <w:rPr>
          <w:rFonts w:ascii="Times New Roman" w:hAnsi="Times New Roman" w:cs="Times New Roman"/>
          <w:noProof/>
          <w:sz w:val="24"/>
          <w:szCs w:val="24"/>
          <w:lang w:val="sq-AL"/>
        </w:rPr>
        <w:t xml:space="preserve">optimizimin e </w:t>
      </w:r>
      <w:r w:rsidR="00F8471F" w:rsidRPr="00641640">
        <w:rPr>
          <w:rFonts w:ascii="Times New Roman" w:hAnsi="Times New Roman" w:cs="Times New Roman"/>
          <w:noProof/>
          <w:sz w:val="24"/>
          <w:szCs w:val="24"/>
          <w:lang w:val="sq-AL"/>
        </w:rPr>
        <w:t>arritje</w:t>
      </w:r>
      <w:r w:rsidR="00C9060F" w:rsidRPr="00641640">
        <w:rPr>
          <w:rFonts w:ascii="Times New Roman" w:hAnsi="Times New Roman" w:cs="Times New Roman"/>
          <w:noProof/>
          <w:sz w:val="24"/>
          <w:szCs w:val="24"/>
          <w:lang w:val="sq-AL"/>
        </w:rPr>
        <w:t>s</w:t>
      </w:r>
      <w:r w:rsidR="00F8471F" w:rsidRPr="00641640">
        <w:rPr>
          <w:rFonts w:ascii="Times New Roman" w:hAnsi="Times New Roman" w:cs="Times New Roman"/>
          <w:noProof/>
          <w:sz w:val="24"/>
          <w:szCs w:val="24"/>
          <w:lang w:val="sq-AL"/>
        </w:rPr>
        <w:t xml:space="preserve"> </w:t>
      </w:r>
      <w:r w:rsidR="00C9060F" w:rsidRPr="00641640">
        <w:rPr>
          <w:rFonts w:ascii="Times New Roman" w:hAnsi="Times New Roman" w:cs="Times New Roman"/>
          <w:noProof/>
          <w:sz w:val="24"/>
          <w:szCs w:val="24"/>
          <w:lang w:val="sq-AL"/>
        </w:rPr>
        <w:t>s</w:t>
      </w:r>
      <w:r w:rsidR="007F00FB" w:rsidRPr="00641640">
        <w:rPr>
          <w:rFonts w:ascii="Times New Roman" w:hAnsi="Times New Roman" w:cs="Times New Roman"/>
          <w:noProof/>
          <w:sz w:val="24"/>
          <w:szCs w:val="24"/>
          <w:lang w:val="sq-AL"/>
        </w:rPr>
        <w:t>ë</w:t>
      </w:r>
      <w:r w:rsidR="00F8471F" w:rsidRPr="00641640">
        <w:rPr>
          <w:rFonts w:ascii="Times New Roman" w:hAnsi="Times New Roman" w:cs="Times New Roman"/>
          <w:noProof/>
          <w:sz w:val="24"/>
          <w:szCs w:val="24"/>
          <w:lang w:val="sq-AL"/>
        </w:rPr>
        <w:t xml:space="preserve"> objektivave </w:t>
      </w:r>
      <w:r w:rsidR="00C9060F" w:rsidRPr="00641640">
        <w:rPr>
          <w:rFonts w:ascii="Times New Roman" w:hAnsi="Times New Roman" w:cs="Times New Roman"/>
          <w:noProof/>
          <w:sz w:val="24"/>
          <w:szCs w:val="24"/>
          <w:lang w:val="sq-AL"/>
        </w:rPr>
        <w:t>p</w:t>
      </w:r>
      <w:r w:rsidR="007F00FB" w:rsidRPr="00641640">
        <w:rPr>
          <w:rFonts w:ascii="Times New Roman" w:hAnsi="Times New Roman" w:cs="Times New Roman"/>
          <w:noProof/>
          <w:sz w:val="24"/>
          <w:szCs w:val="24"/>
          <w:lang w:val="sq-AL"/>
        </w:rPr>
        <w:t>ë</w:t>
      </w:r>
      <w:r w:rsidR="00C9060F" w:rsidRPr="00641640">
        <w:rPr>
          <w:rFonts w:ascii="Times New Roman" w:hAnsi="Times New Roman" w:cs="Times New Roman"/>
          <w:noProof/>
          <w:sz w:val="24"/>
          <w:szCs w:val="24"/>
          <w:lang w:val="sq-AL"/>
        </w:rPr>
        <w:t xml:space="preserve">rmes koordinimit </w:t>
      </w:r>
      <w:r w:rsidRPr="00641640">
        <w:rPr>
          <w:rFonts w:ascii="Times New Roman" w:hAnsi="Times New Roman" w:cs="Times New Roman"/>
          <w:noProof/>
          <w:sz w:val="24"/>
          <w:szCs w:val="24"/>
          <w:lang w:val="sq-AL"/>
        </w:rPr>
        <w:t>ndërinstitucional</w:t>
      </w:r>
      <w:r w:rsidR="006D3DAD" w:rsidRPr="00641640">
        <w:rPr>
          <w:rFonts w:ascii="Times New Roman" w:hAnsi="Times New Roman" w:cs="Times New Roman"/>
          <w:noProof/>
          <w:sz w:val="24"/>
          <w:szCs w:val="24"/>
          <w:lang w:val="sq-AL"/>
        </w:rPr>
        <w:t xml:space="preserve"> efektiv.</w:t>
      </w:r>
    </w:p>
    <w:p w14:paraId="69A75CC4" w14:textId="77777777" w:rsidR="00122415" w:rsidRPr="00641640" w:rsidRDefault="00122415" w:rsidP="003A395D">
      <w:pPr>
        <w:spacing w:line="276" w:lineRule="auto"/>
        <w:jc w:val="both"/>
        <w:rPr>
          <w:rFonts w:ascii="Times New Roman" w:hAnsi="Times New Roman" w:cs="Times New Roman"/>
          <w:noProof/>
          <w:sz w:val="24"/>
          <w:szCs w:val="24"/>
          <w:lang w:val="sq-AL"/>
        </w:rPr>
      </w:pPr>
    </w:p>
    <w:p w14:paraId="6EA6EBCD" w14:textId="1AF0F911" w:rsidR="004B2070" w:rsidRPr="00641640" w:rsidRDefault="004E668F" w:rsidP="003A395D">
      <w:pPr>
        <w:pStyle w:val="Heading2"/>
        <w:spacing w:line="276" w:lineRule="auto"/>
        <w:rPr>
          <w:rFonts w:ascii="Times New Roman" w:hAnsi="Times New Roman" w:cs="Times New Roman"/>
          <w:b/>
          <w:bCs/>
          <w:noProof/>
          <w:color w:val="C45911" w:themeColor="accent2" w:themeShade="BF"/>
          <w:sz w:val="24"/>
          <w:szCs w:val="24"/>
          <w:lang w:val="sq-AL"/>
        </w:rPr>
      </w:pPr>
      <w:r w:rsidRPr="00641640">
        <w:rPr>
          <w:rFonts w:ascii="Times New Roman" w:hAnsi="Times New Roman" w:cs="Times New Roman"/>
          <w:noProof/>
          <w:color w:val="C45911" w:themeColor="accent2" w:themeShade="BF"/>
          <w:sz w:val="24"/>
          <w:szCs w:val="24"/>
          <w:lang w:val="sq-AL"/>
        </w:rPr>
        <w:t xml:space="preserve"> </w:t>
      </w:r>
      <w:bookmarkStart w:id="14" w:name="_Toc189510615"/>
      <w:r w:rsidR="005B47C5" w:rsidRPr="00641640">
        <w:rPr>
          <w:rFonts w:ascii="Times New Roman" w:hAnsi="Times New Roman" w:cs="Times New Roman"/>
          <w:b/>
          <w:bCs/>
          <w:noProof/>
          <w:color w:val="C45911" w:themeColor="accent2" w:themeShade="BF"/>
          <w:sz w:val="24"/>
          <w:szCs w:val="24"/>
          <w:lang w:val="sq-AL"/>
        </w:rPr>
        <w:t>1.4</w:t>
      </w:r>
      <w:r w:rsidR="005436F5" w:rsidRPr="00641640">
        <w:rPr>
          <w:rFonts w:ascii="Times New Roman" w:hAnsi="Times New Roman" w:cs="Times New Roman"/>
          <w:b/>
          <w:bCs/>
          <w:noProof/>
          <w:color w:val="C45911" w:themeColor="accent2" w:themeShade="BF"/>
          <w:sz w:val="24"/>
          <w:szCs w:val="24"/>
          <w:lang w:val="sq-AL"/>
        </w:rPr>
        <w:t>.</w:t>
      </w:r>
      <w:r w:rsidR="005B47C5" w:rsidRPr="00641640">
        <w:rPr>
          <w:rFonts w:ascii="Times New Roman" w:hAnsi="Times New Roman" w:cs="Times New Roman"/>
          <w:b/>
          <w:bCs/>
          <w:noProof/>
          <w:color w:val="C45911" w:themeColor="accent2" w:themeShade="BF"/>
          <w:sz w:val="24"/>
          <w:szCs w:val="24"/>
          <w:lang w:val="sq-AL"/>
        </w:rPr>
        <w:t xml:space="preserve"> </w:t>
      </w:r>
      <w:r w:rsidR="004B2070" w:rsidRPr="00641640">
        <w:rPr>
          <w:rFonts w:ascii="Times New Roman" w:hAnsi="Times New Roman" w:cs="Times New Roman"/>
          <w:b/>
          <w:bCs/>
          <w:noProof/>
          <w:color w:val="C45911" w:themeColor="accent2" w:themeShade="BF"/>
          <w:sz w:val="24"/>
          <w:szCs w:val="24"/>
          <w:lang w:val="sq-AL"/>
        </w:rPr>
        <w:t>K</w:t>
      </w:r>
      <w:r w:rsidR="00656F3C" w:rsidRPr="00641640">
        <w:rPr>
          <w:rFonts w:ascii="Times New Roman" w:hAnsi="Times New Roman" w:cs="Times New Roman"/>
          <w:b/>
          <w:bCs/>
          <w:noProof/>
          <w:color w:val="C45911" w:themeColor="accent2" w:themeShade="BF"/>
          <w:sz w:val="24"/>
          <w:szCs w:val="24"/>
          <w:lang w:val="sq-AL"/>
        </w:rPr>
        <w:t>orniza</w:t>
      </w:r>
      <w:r w:rsidR="004B2070" w:rsidRPr="00641640">
        <w:rPr>
          <w:rFonts w:ascii="Times New Roman" w:hAnsi="Times New Roman" w:cs="Times New Roman"/>
          <w:b/>
          <w:bCs/>
          <w:noProof/>
          <w:color w:val="C45911" w:themeColor="accent2" w:themeShade="BF"/>
          <w:sz w:val="24"/>
          <w:szCs w:val="24"/>
          <w:lang w:val="sq-AL"/>
        </w:rPr>
        <w:t xml:space="preserve"> ligjor</w:t>
      </w:r>
      <w:r w:rsidR="00656F3C" w:rsidRPr="00641640">
        <w:rPr>
          <w:rFonts w:ascii="Times New Roman" w:hAnsi="Times New Roman" w:cs="Times New Roman"/>
          <w:b/>
          <w:bCs/>
          <w:noProof/>
          <w:color w:val="C45911" w:themeColor="accent2" w:themeShade="BF"/>
          <w:sz w:val="24"/>
          <w:szCs w:val="24"/>
          <w:lang w:val="sq-AL"/>
        </w:rPr>
        <w:t>e</w:t>
      </w:r>
      <w:r w:rsidR="004B2070" w:rsidRPr="00641640">
        <w:rPr>
          <w:rFonts w:ascii="Times New Roman" w:hAnsi="Times New Roman" w:cs="Times New Roman"/>
          <w:b/>
          <w:bCs/>
          <w:noProof/>
          <w:color w:val="C45911" w:themeColor="accent2" w:themeShade="BF"/>
          <w:sz w:val="24"/>
          <w:szCs w:val="24"/>
          <w:lang w:val="sq-AL"/>
        </w:rPr>
        <w:t xml:space="preserve"> dhe institucional</w:t>
      </w:r>
      <w:r w:rsidR="00656F3C" w:rsidRPr="00641640">
        <w:rPr>
          <w:rFonts w:ascii="Times New Roman" w:hAnsi="Times New Roman" w:cs="Times New Roman"/>
          <w:b/>
          <w:bCs/>
          <w:noProof/>
          <w:color w:val="C45911" w:themeColor="accent2" w:themeShade="BF"/>
          <w:sz w:val="24"/>
          <w:szCs w:val="24"/>
          <w:lang w:val="sq-AL"/>
        </w:rPr>
        <w:t>e</w:t>
      </w:r>
      <w:r w:rsidR="004B2070" w:rsidRPr="00641640">
        <w:rPr>
          <w:rFonts w:ascii="Times New Roman" w:hAnsi="Times New Roman" w:cs="Times New Roman"/>
          <w:b/>
          <w:bCs/>
          <w:noProof/>
          <w:color w:val="C45911" w:themeColor="accent2" w:themeShade="BF"/>
          <w:sz w:val="24"/>
          <w:szCs w:val="24"/>
          <w:lang w:val="sq-AL"/>
        </w:rPr>
        <w:t xml:space="preserve"> </w:t>
      </w:r>
      <w:r w:rsidR="001E56F1" w:rsidRPr="00641640">
        <w:rPr>
          <w:rFonts w:ascii="Times New Roman" w:hAnsi="Times New Roman" w:cs="Times New Roman"/>
          <w:b/>
          <w:bCs/>
          <w:noProof/>
          <w:color w:val="C45911" w:themeColor="accent2" w:themeShade="BF"/>
          <w:sz w:val="24"/>
          <w:szCs w:val="24"/>
          <w:lang w:val="sq-AL"/>
        </w:rPr>
        <w:t>e</w:t>
      </w:r>
      <w:r w:rsidR="004B2070" w:rsidRPr="00641640">
        <w:rPr>
          <w:rFonts w:ascii="Times New Roman" w:hAnsi="Times New Roman" w:cs="Times New Roman"/>
          <w:b/>
          <w:bCs/>
          <w:noProof/>
          <w:color w:val="C45911" w:themeColor="accent2" w:themeShade="BF"/>
          <w:sz w:val="24"/>
          <w:szCs w:val="24"/>
          <w:lang w:val="sq-AL"/>
        </w:rPr>
        <w:t xml:space="preserve"> </w:t>
      </w:r>
      <w:r w:rsidR="00656F3C" w:rsidRPr="00641640">
        <w:rPr>
          <w:rFonts w:ascii="Times New Roman" w:hAnsi="Times New Roman" w:cs="Times New Roman"/>
          <w:b/>
          <w:bCs/>
          <w:noProof/>
          <w:color w:val="C45911" w:themeColor="accent2" w:themeShade="BF"/>
          <w:sz w:val="24"/>
          <w:szCs w:val="24"/>
          <w:lang w:val="sq-AL"/>
        </w:rPr>
        <w:t>reformë</w:t>
      </w:r>
      <w:r w:rsidR="001E56F1" w:rsidRPr="00641640">
        <w:rPr>
          <w:rFonts w:ascii="Times New Roman" w:hAnsi="Times New Roman" w:cs="Times New Roman"/>
          <w:b/>
          <w:bCs/>
          <w:noProof/>
          <w:color w:val="C45911" w:themeColor="accent2" w:themeShade="BF"/>
          <w:sz w:val="24"/>
          <w:szCs w:val="24"/>
          <w:lang w:val="sq-AL"/>
        </w:rPr>
        <w:t>s</w:t>
      </w:r>
      <w:r w:rsidR="00656F3C" w:rsidRPr="00641640">
        <w:rPr>
          <w:rFonts w:ascii="Times New Roman" w:hAnsi="Times New Roman" w:cs="Times New Roman"/>
          <w:b/>
          <w:bCs/>
          <w:noProof/>
          <w:color w:val="C45911" w:themeColor="accent2" w:themeShade="BF"/>
          <w:sz w:val="24"/>
          <w:szCs w:val="24"/>
          <w:lang w:val="sq-AL"/>
        </w:rPr>
        <w:t xml:space="preserve"> </w:t>
      </w:r>
      <w:r w:rsidR="001E56F1" w:rsidRPr="00641640">
        <w:rPr>
          <w:rFonts w:ascii="Times New Roman" w:hAnsi="Times New Roman" w:cs="Times New Roman"/>
          <w:b/>
          <w:bCs/>
          <w:noProof/>
          <w:color w:val="C45911" w:themeColor="accent2" w:themeShade="BF"/>
          <w:sz w:val="24"/>
          <w:szCs w:val="24"/>
          <w:lang w:val="sq-AL"/>
        </w:rPr>
        <w:t>s</w:t>
      </w:r>
      <w:r w:rsidR="00656F3C" w:rsidRPr="00641640">
        <w:rPr>
          <w:rFonts w:ascii="Times New Roman" w:hAnsi="Times New Roman" w:cs="Times New Roman"/>
          <w:b/>
          <w:bCs/>
          <w:noProof/>
          <w:color w:val="C45911" w:themeColor="accent2" w:themeShade="BF"/>
          <w:sz w:val="24"/>
          <w:szCs w:val="24"/>
          <w:lang w:val="sq-AL"/>
        </w:rPr>
        <w:t>ë administratë</w:t>
      </w:r>
      <w:r w:rsidR="001E56F1" w:rsidRPr="00641640">
        <w:rPr>
          <w:rFonts w:ascii="Times New Roman" w:hAnsi="Times New Roman" w:cs="Times New Roman"/>
          <w:b/>
          <w:bCs/>
          <w:noProof/>
          <w:color w:val="C45911" w:themeColor="accent2" w:themeShade="BF"/>
          <w:sz w:val="24"/>
          <w:szCs w:val="24"/>
          <w:lang w:val="sq-AL"/>
        </w:rPr>
        <w:t>s</w:t>
      </w:r>
      <w:r w:rsidR="00656F3C" w:rsidRPr="00641640">
        <w:rPr>
          <w:rFonts w:ascii="Times New Roman" w:hAnsi="Times New Roman" w:cs="Times New Roman"/>
          <w:b/>
          <w:bCs/>
          <w:noProof/>
          <w:color w:val="C45911" w:themeColor="accent2" w:themeShade="BF"/>
          <w:sz w:val="24"/>
          <w:szCs w:val="24"/>
          <w:lang w:val="sq-AL"/>
        </w:rPr>
        <w:t xml:space="preserve"> publike</w:t>
      </w:r>
      <w:bookmarkEnd w:id="14"/>
      <w:r w:rsidR="004B2070" w:rsidRPr="00641640">
        <w:rPr>
          <w:rFonts w:ascii="Times New Roman" w:hAnsi="Times New Roman" w:cs="Times New Roman"/>
          <w:b/>
          <w:bCs/>
          <w:noProof/>
          <w:color w:val="C45911" w:themeColor="accent2" w:themeShade="BF"/>
          <w:sz w:val="24"/>
          <w:szCs w:val="24"/>
          <w:lang w:val="sq-AL"/>
        </w:rPr>
        <w:t xml:space="preserve"> </w:t>
      </w:r>
    </w:p>
    <w:p w14:paraId="6EBDA096" w14:textId="7ADC4533" w:rsidR="00FD1BAC" w:rsidRPr="00641640" w:rsidRDefault="00FD1BAC" w:rsidP="003A395D">
      <w:pPr>
        <w:spacing w:after="0" w:line="276" w:lineRule="auto"/>
        <w:rPr>
          <w:rStyle w:val="IntenseReference"/>
          <w:rFonts w:ascii="Times New Roman" w:hAnsi="Times New Roman" w:cs="Times New Roman"/>
          <w:noProof/>
          <w:sz w:val="24"/>
          <w:szCs w:val="24"/>
          <w:lang w:val="sq-AL"/>
        </w:rPr>
      </w:pPr>
    </w:p>
    <w:p w14:paraId="6F57BFB2" w14:textId="4C75AC1C" w:rsidR="009668C9" w:rsidRPr="00641640" w:rsidRDefault="006D3DAD"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Nd</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 vite, </w:t>
      </w:r>
      <w:r w:rsidR="009668C9" w:rsidRPr="00641640">
        <w:rPr>
          <w:rFonts w:ascii="Times New Roman" w:hAnsi="Times New Roman" w:cs="Times New Roman"/>
          <w:noProof/>
          <w:sz w:val="24"/>
          <w:szCs w:val="24"/>
          <w:lang w:val="sq-AL"/>
        </w:rPr>
        <w:t>korniz</w:t>
      </w:r>
      <w:r w:rsidR="00B3244D" w:rsidRPr="00641640">
        <w:rPr>
          <w:rFonts w:ascii="Times New Roman" w:hAnsi="Times New Roman" w:cs="Times New Roman"/>
          <w:noProof/>
          <w:sz w:val="24"/>
          <w:szCs w:val="24"/>
          <w:lang w:val="sq-AL"/>
        </w:rPr>
        <w:t xml:space="preserve">a </w:t>
      </w:r>
      <w:r w:rsidR="009668C9" w:rsidRPr="00641640">
        <w:rPr>
          <w:rFonts w:ascii="Times New Roman" w:hAnsi="Times New Roman" w:cs="Times New Roman"/>
          <w:noProof/>
          <w:sz w:val="24"/>
          <w:szCs w:val="24"/>
          <w:lang w:val="sq-AL"/>
        </w:rPr>
        <w:t xml:space="preserve">ligjore dhe institucionale </w:t>
      </w:r>
      <w:r w:rsidR="00B3244D" w:rsidRPr="00641640">
        <w:rPr>
          <w:rFonts w:ascii="Times New Roman" w:hAnsi="Times New Roman" w:cs="Times New Roman"/>
          <w:noProof/>
          <w:sz w:val="24"/>
          <w:szCs w:val="24"/>
          <w:lang w:val="sq-AL"/>
        </w:rPr>
        <w:t>e Shqip</w:t>
      </w:r>
      <w:r w:rsidR="00064AC5" w:rsidRPr="00641640">
        <w:rPr>
          <w:rFonts w:ascii="Times New Roman" w:hAnsi="Times New Roman" w:cs="Times New Roman"/>
          <w:noProof/>
          <w:sz w:val="24"/>
          <w:szCs w:val="24"/>
          <w:lang w:val="sq-AL"/>
        </w:rPr>
        <w:t>ë</w:t>
      </w:r>
      <w:r w:rsidR="00B3244D" w:rsidRPr="00641640">
        <w:rPr>
          <w:rFonts w:ascii="Times New Roman" w:hAnsi="Times New Roman" w:cs="Times New Roman"/>
          <w:noProof/>
          <w:sz w:val="24"/>
          <w:szCs w:val="24"/>
          <w:lang w:val="sq-AL"/>
        </w:rPr>
        <w:t>ris</w:t>
      </w:r>
      <w:r w:rsidR="00064AC5" w:rsidRPr="00641640">
        <w:rPr>
          <w:rFonts w:ascii="Times New Roman" w:hAnsi="Times New Roman" w:cs="Times New Roman"/>
          <w:noProof/>
          <w:sz w:val="24"/>
          <w:szCs w:val="24"/>
          <w:lang w:val="sq-AL"/>
        </w:rPr>
        <w:t>ë</w:t>
      </w:r>
      <w:r w:rsidR="00B3244D" w:rsidRPr="00641640">
        <w:rPr>
          <w:rFonts w:ascii="Times New Roman" w:hAnsi="Times New Roman" w:cs="Times New Roman"/>
          <w:noProof/>
          <w:sz w:val="24"/>
          <w:szCs w:val="24"/>
          <w:lang w:val="sq-AL"/>
        </w:rPr>
        <w:t xml:space="preserve"> </w:t>
      </w:r>
      <w:r w:rsidR="009668C9" w:rsidRPr="00641640">
        <w:rPr>
          <w:rFonts w:ascii="Times New Roman" w:hAnsi="Times New Roman" w:cs="Times New Roman"/>
          <w:noProof/>
          <w:sz w:val="24"/>
          <w:szCs w:val="24"/>
          <w:lang w:val="sq-AL"/>
        </w:rPr>
        <w:t>në reformimin e administrat</w:t>
      </w:r>
      <w:r w:rsidR="00064AC5" w:rsidRPr="00641640">
        <w:rPr>
          <w:rFonts w:ascii="Times New Roman" w:hAnsi="Times New Roman" w:cs="Times New Roman"/>
          <w:noProof/>
          <w:sz w:val="24"/>
          <w:szCs w:val="24"/>
          <w:lang w:val="sq-AL"/>
        </w:rPr>
        <w:t>ë</w:t>
      </w:r>
      <w:r w:rsidR="009668C9" w:rsidRPr="00641640">
        <w:rPr>
          <w:rFonts w:ascii="Times New Roman" w:hAnsi="Times New Roman" w:cs="Times New Roman"/>
          <w:noProof/>
          <w:sz w:val="24"/>
          <w:szCs w:val="24"/>
          <w:lang w:val="sq-AL"/>
        </w:rPr>
        <w:t>s publike</w:t>
      </w:r>
      <w:r w:rsidR="00B3244D" w:rsidRPr="00641640">
        <w:rPr>
          <w:rFonts w:ascii="Times New Roman" w:hAnsi="Times New Roman" w:cs="Times New Roman"/>
          <w:noProof/>
          <w:sz w:val="24"/>
          <w:szCs w:val="24"/>
          <w:lang w:val="sq-AL"/>
        </w:rPr>
        <w:t xml:space="preserve"> </w:t>
      </w:r>
      <w:r w:rsidR="00064AC5" w:rsidRPr="00641640">
        <w:rPr>
          <w:rFonts w:ascii="Times New Roman" w:hAnsi="Times New Roman" w:cs="Times New Roman"/>
          <w:noProof/>
          <w:sz w:val="24"/>
          <w:szCs w:val="24"/>
          <w:lang w:val="sq-AL"/>
        </w:rPr>
        <w:t>ë</w:t>
      </w:r>
      <w:r w:rsidR="00B3244D" w:rsidRPr="00641640">
        <w:rPr>
          <w:rFonts w:ascii="Times New Roman" w:hAnsi="Times New Roman" w:cs="Times New Roman"/>
          <w:noProof/>
          <w:sz w:val="24"/>
          <w:szCs w:val="24"/>
          <w:lang w:val="sq-AL"/>
        </w:rPr>
        <w:t>sht</w:t>
      </w:r>
      <w:r w:rsidR="00064AC5" w:rsidRPr="00641640">
        <w:rPr>
          <w:rFonts w:ascii="Times New Roman" w:hAnsi="Times New Roman" w:cs="Times New Roman"/>
          <w:noProof/>
          <w:sz w:val="24"/>
          <w:szCs w:val="24"/>
          <w:lang w:val="sq-AL"/>
        </w:rPr>
        <w:t>ë</w:t>
      </w:r>
      <w:r w:rsidR="00B3244D" w:rsidRPr="00641640">
        <w:rPr>
          <w:rFonts w:ascii="Times New Roman" w:hAnsi="Times New Roman" w:cs="Times New Roman"/>
          <w:noProof/>
          <w:sz w:val="24"/>
          <w:szCs w:val="24"/>
          <w:lang w:val="sq-AL"/>
        </w:rPr>
        <w:t xml:space="preserve"> p</w:t>
      </w:r>
      <w:r w:rsidR="00064AC5" w:rsidRPr="00641640">
        <w:rPr>
          <w:rFonts w:ascii="Times New Roman" w:hAnsi="Times New Roman" w:cs="Times New Roman"/>
          <w:noProof/>
          <w:sz w:val="24"/>
          <w:szCs w:val="24"/>
          <w:lang w:val="sq-AL"/>
        </w:rPr>
        <w:t>ë</w:t>
      </w:r>
      <w:r w:rsidR="00B3244D" w:rsidRPr="00641640">
        <w:rPr>
          <w:rFonts w:ascii="Times New Roman" w:hAnsi="Times New Roman" w:cs="Times New Roman"/>
          <w:noProof/>
          <w:sz w:val="24"/>
          <w:szCs w:val="24"/>
          <w:lang w:val="sq-AL"/>
        </w:rPr>
        <w:t>rmir</w:t>
      </w:r>
      <w:r w:rsidR="00064AC5" w:rsidRPr="00641640">
        <w:rPr>
          <w:rFonts w:ascii="Times New Roman" w:hAnsi="Times New Roman" w:cs="Times New Roman"/>
          <w:noProof/>
          <w:sz w:val="24"/>
          <w:szCs w:val="24"/>
          <w:lang w:val="sq-AL"/>
        </w:rPr>
        <w:t>ë</w:t>
      </w:r>
      <w:r w:rsidR="00B3244D" w:rsidRPr="00641640">
        <w:rPr>
          <w:rFonts w:ascii="Times New Roman" w:hAnsi="Times New Roman" w:cs="Times New Roman"/>
          <w:noProof/>
          <w:sz w:val="24"/>
          <w:szCs w:val="24"/>
          <w:lang w:val="sq-AL"/>
        </w:rPr>
        <w:t>suar</w:t>
      </w:r>
      <w:r w:rsidR="001751FD" w:rsidRPr="00641640">
        <w:rPr>
          <w:rFonts w:ascii="Times New Roman" w:hAnsi="Times New Roman" w:cs="Times New Roman"/>
          <w:noProof/>
          <w:sz w:val="24"/>
          <w:szCs w:val="24"/>
          <w:lang w:val="sq-AL"/>
        </w:rPr>
        <w:t xml:space="preserve"> ndjesh</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m</w:t>
      </w:r>
      <w:r w:rsidR="00B3244D" w:rsidRPr="00641640">
        <w:rPr>
          <w:rFonts w:ascii="Times New Roman" w:hAnsi="Times New Roman" w:cs="Times New Roman"/>
          <w:noProof/>
          <w:sz w:val="24"/>
          <w:szCs w:val="24"/>
          <w:lang w:val="sq-AL"/>
        </w:rPr>
        <w:t>.</w:t>
      </w:r>
      <w:r w:rsidR="009668C9"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Kjo k</w:t>
      </w:r>
      <w:r w:rsidR="009668C9" w:rsidRPr="00641640">
        <w:rPr>
          <w:rFonts w:ascii="Times New Roman" w:hAnsi="Times New Roman" w:cs="Times New Roman"/>
          <w:noProof/>
          <w:sz w:val="24"/>
          <w:szCs w:val="24"/>
          <w:lang w:val="sq-AL"/>
        </w:rPr>
        <w:t>orniz</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gjith</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rfshir</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se</w:t>
      </w:r>
      <w:r w:rsidR="009668C9" w:rsidRPr="00641640">
        <w:rPr>
          <w:rFonts w:ascii="Times New Roman" w:hAnsi="Times New Roman" w:cs="Times New Roman"/>
          <w:noProof/>
          <w:sz w:val="24"/>
          <w:szCs w:val="24"/>
          <w:lang w:val="sq-AL"/>
        </w:rPr>
        <w:t xml:space="preserve"> ka synuar rritj</w:t>
      </w:r>
      <w:r w:rsidR="009660DE" w:rsidRPr="00641640">
        <w:rPr>
          <w:rFonts w:ascii="Times New Roman" w:hAnsi="Times New Roman" w:cs="Times New Roman"/>
          <w:noProof/>
          <w:sz w:val="24"/>
          <w:szCs w:val="24"/>
          <w:lang w:val="sq-AL"/>
        </w:rPr>
        <w:t>en</w:t>
      </w:r>
      <w:r w:rsidR="009668C9" w:rsidRPr="00641640">
        <w:rPr>
          <w:rFonts w:ascii="Times New Roman" w:hAnsi="Times New Roman" w:cs="Times New Roman"/>
          <w:noProof/>
          <w:sz w:val="24"/>
          <w:szCs w:val="24"/>
          <w:lang w:val="sq-AL"/>
        </w:rPr>
        <w:t xml:space="preserve"> e q</w:t>
      </w:r>
      <w:r w:rsidR="00030FB5" w:rsidRPr="00641640">
        <w:rPr>
          <w:rFonts w:ascii="Times New Roman" w:hAnsi="Times New Roman" w:cs="Times New Roman"/>
          <w:noProof/>
          <w:sz w:val="24"/>
          <w:szCs w:val="24"/>
          <w:lang w:val="sq-AL"/>
        </w:rPr>
        <w:t>e</w:t>
      </w:r>
      <w:r w:rsidR="009668C9" w:rsidRPr="00641640">
        <w:rPr>
          <w:rFonts w:ascii="Times New Roman" w:hAnsi="Times New Roman" w:cs="Times New Roman"/>
          <w:noProof/>
          <w:sz w:val="24"/>
          <w:szCs w:val="24"/>
          <w:lang w:val="sq-AL"/>
        </w:rPr>
        <w:t xml:space="preserve">ndrueshmërisë </w:t>
      </w:r>
      <w:r w:rsidRPr="00641640">
        <w:rPr>
          <w:rFonts w:ascii="Times New Roman" w:hAnsi="Times New Roman" w:cs="Times New Roman"/>
          <w:noProof/>
          <w:sz w:val="24"/>
          <w:szCs w:val="24"/>
          <w:lang w:val="sq-AL"/>
        </w:rPr>
        <w:t>n</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lastRenderedPageBreak/>
        <w:t>detyr</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w:t>
      </w:r>
      <w:r w:rsidR="009668C9" w:rsidRPr="00641640">
        <w:rPr>
          <w:rFonts w:ascii="Times New Roman" w:hAnsi="Times New Roman" w:cs="Times New Roman"/>
          <w:noProof/>
          <w:sz w:val="24"/>
          <w:szCs w:val="24"/>
          <w:lang w:val="sq-AL"/>
        </w:rPr>
        <w:t xml:space="preserve">ë punonjësve të </w:t>
      </w:r>
      <w:r w:rsidR="009660DE" w:rsidRPr="00641640">
        <w:rPr>
          <w:rFonts w:ascii="Times New Roman" w:hAnsi="Times New Roman" w:cs="Times New Roman"/>
          <w:noProof/>
          <w:sz w:val="24"/>
          <w:szCs w:val="24"/>
          <w:lang w:val="sq-AL"/>
        </w:rPr>
        <w:t>administrat</w:t>
      </w:r>
      <w:r w:rsidR="00064AC5" w:rsidRPr="00641640">
        <w:rPr>
          <w:rFonts w:ascii="Times New Roman" w:hAnsi="Times New Roman" w:cs="Times New Roman"/>
          <w:noProof/>
          <w:sz w:val="24"/>
          <w:szCs w:val="24"/>
          <w:lang w:val="sq-AL"/>
        </w:rPr>
        <w:t>ë</w:t>
      </w:r>
      <w:r w:rsidR="009660DE" w:rsidRPr="00641640">
        <w:rPr>
          <w:rFonts w:ascii="Times New Roman" w:hAnsi="Times New Roman" w:cs="Times New Roman"/>
          <w:noProof/>
          <w:sz w:val="24"/>
          <w:szCs w:val="24"/>
          <w:lang w:val="sq-AL"/>
        </w:rPr>
        <w:t xml:space="preserve">s </w:t>
      </w:r>
      <w:r w:rsidR="009668C9" w:rsidRPr="00641640">
        <w:rPr>
          <w:rFonts w:ascii="Times New Roman" w:hAnsi="Times New Roman" w:cs="Times New Roman"/>
          <w:noProof/>
          <w:sz w:val="24"/>
          <w:szCs w:val="24"/>
          <w:lang w:val="sq-AL"/>
        </w:rPr>
        <w:t xml:space="preserve">publike, </w:t>
      </w:r>
      <w:r w:rsidR="00E64924" w:rsidRPr="00641640">
        <w:rPr>
          <w:rFonts w:ascii="Times New Roman" w:hAnsi="Times New Roman" w:cs="Times New Roman"/>
          <w:noProof/>
          <w:sz w:val="24"/>
          <w:szCs w:val="24"/>
          <w:lang w:val="sq-AL"/>
        </w:rPr>
        <w:t>përmes</w:t>
      </w:r>
      <w:r w:rsidR="009668C9" w:rsidRPr="00641640">
        <w:rPr>
          <w:rFonts w:ascii="Times New Roman" w:hAnsi="Times New Roman" w:cs="Times New Roman"/>
          <w:noProof/>
          <w:sz w:val="24"/>
          <w:szCs w:val="24"/>
          <w:lang w:val="sq-AL"/>
        </w:rPr>
        <w:t xml:space="preserve"> </w:t>
      </w:r>
      <w:r w:rsidR="00C9060F" w:rsidRPr="00641640">
        <w:rPr>
          <w:rFonts w:ascii="Times New Roman" w:hAnsi="Times New Roman" w:cs="Times New Roman"/>
          <w:noProof/>
          <w:sz w:val="24"/>
          <w:szCs w:val="24"/>
          <w:lang w:val="sq-AL"/>
        </w:rPr>
        <w:t>miratimit t</w:t>
      </w:r>
      <w:r w:rsidR="007F00FB" w:rsidRPr="00641640">
        <w:rPr>
          <w:rFonts w:ascii="Times New Roman" w:hAnsi="Times New Roman" w:cs="Times New Roman"/>
          <w:noProof/>
          <w:sz w:val="24"/>
          <w:szCs w:val="24"/>
          <w:lang w:val="sq-AL"/>
        </w:rPr>
        <w:t>ë</w:t>
      </w:r>
      <w:r w:rsidR="00C9060F" w:rsidRPr="00641640">
        <w:rPr>
          <w:rFonts w:ascii="Times New Roman" w:hAnsi="Times New Roman" w:cs="Times New Roman"/>
          <w:noProof/>
          <w:sz w:val="24"/>
          <w:szCs w:val="24"/>
          <w:lang w:val="sq-AL"/>
        </w:rPr>
        <w:t xml:space="preserve"> </w:t>
      </w:r>
      <w:r w:rsidR="009668C9" w:rsidRPr="00641640">
        <w:rPr>
          <w:rFonts w:ascii="Times New Roman" w:hAnsi="Times New Roman" w:cs="Times New Roman"/>
          <w:noProof/>
          <w:sz w:val="24"/>
          <w:szCs w:val="24"/>
          <w:lang w:val="sq-AL"/>
        </w:rPr>
        <w:t xml:space="preserve">procedurave të </w:t>
      </w:r>
      <w:r w:rsidR="00C9060F" w:rsidRPr="00641640">
        <w:rPr>
          <w:rFonts w:ascii="Times New Roman" w:hAnsi="Times New Roman" w:cs="Times New Roman"/>
          <w:noProof/>
          <w:sz w:val="24"/>
          <w:szCs w:val="24"/>
          <w:lang w:val="sq-AL"/>
        </w:rPr>
        <w:t>p</w:t>
      </w:r>
      <w:r w:rsidR="007F00FB" w:rsidRPr="00641640">
        <w:rPr>
          <w:rFonts w:ascii="Times New Roman" w:hAnsi="Times New Roman" w:cs="Times New Roman"/>
          <w:noProof/>
          <w:sz w:val="24"/>
          <w:szCs w:val="24"/>
          <w:lang w:val="sq-AL"/>
        </w:rPr>
        <w:t>ë</w:t>
      </w:r>
      <w:r w:rsidR="00C9060F" w:rsidRPr="00641640">
        <w:rPr>
          <w:rFonts w:ascii="Times New Roman" w:hAnsi="Times New Roman" w:cs="Times New Roman"/>
          <w:noProof/>
          <w:sz w:val="24"/>
          <w:szCs w:val="24"/>
          <w:lang w:val="sq-AL"/>
        </w:rPr>
        <w:t>rshtatshme dhe efikase</w:t>
      </w:r>
      <w:r w:rsidRPr="00641640">
        <w:rPr>
          <w:rFonts w:ascii="Times New Roman" w:hAnsi="Times New Roman" w:cs="Times New Roman"/>
          <w:noProof/>
          <w:sz w:val="24"/>
          <w:szCs w:val="24"/>
          <w:lang w:val="sq-AL"/>
        </w:rPr>
        <w:t xml:space="preserve"> 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menaxhimin e burimeve njer</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zore, si dhe n</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rmjet </w:t>
      </w:r>
      <w:r w:rsidR="009668C9" w:rsidRPr="00641640">
        <w:rPr>
          <w:rFonts w:ascii="Times New Roman" w:hAnsi="Times New Roman" w:cs="Times New Roman"/>
          <w:noProof/>
          <w:sz w:val="24"/>
          <w:szCs w:val="24"/>
          <w:lang w:val="sq-AL"/>
        </w:rPr>
        <w:t>forcimit të kapaciteteve</w:t>
      </w:r>
      <w:r w:rsidR="006B2BDC" w:rsidRPr="00641640">
        <w:rPr>
          <w:rFonts w:ascii="Times New Roman" w:hAnsi="Times New Roman" w:cs="Times New Roman"/>
          <w:noProof/>
          <w:sz w:val="24"/>
          <w:szCs w:val="24"/>
          <w:lang w:val="sq-AL"/>
        </w:rPr>
        <w:t xml:space="preserve"> njer</w:t>
      </w:r>
      <w:r w:rsidR="007F00FB" w:rsidRPr="00641640">
        <w:rPr>
          <w:rFonts w:ascii="Times New Roman" w:hAnsi="Times New Roman" w:cs="Times New Roman"/>
          <w:noProof/>
          <w:sz w:val="24"/>
          <w:szCs w:val="24"/>
          <w:lang w:val="sq-AL"/>
        </w:rPr>
        <w:t>ë</w:t>
      </w:r>
      <w:r w:rsidR="006B2BDC" w:rsidRPr="00641640">
        <w:rPr>
          <w:rFonts w:ascii="Times New Roman" w:hAnsi="Times New Roman" w:cs="Times New Roman"/>
          <w:noProof/>
          <w:sz w:val="24"/>
          <w:szCs w:val="24"/>
          <w:lang w:val="sq-AL"/>
        </w:rPr>
        <w:t>zore</w:t>
      </w:r>
      <w:r w:rsidR="009668C9" w:rsidRPr="00641640">
        <w:rPr>
          <w:rFonts w:ascii="Times New Roman" w:hAnsi="Times New Roman" w:cs="Times New Roman"/>
          <w:noProof/>
          <w:sz w:val="24"/>
          <w:szCs w:val="24"/>
          <w:lang w:val="sq-AL"/>
        </w:rPr>
        <w:t xml:space="preserve"> </w:t>
      </w:r>
      <w:r w:rsidR="006B2BDC" w:rsidRPr="00641640">
        <w:rPr>
          <w:rFonts w:ascii="Times New Roman" w:hAnsi="Times New Roman" w:cs="Times New Roman"/>
          <w:noProof/>
          <w:sz w:val="24"/>
          <w:szCs w:val="24"/>
          <w:lang w:val="sq-AL"/>
        </w:rPr>
        <w:t>p</w:t>
      </w:r>
      <w:r w:rsidR="007F00FB" w:rsidRPr="00641640">
        <w:rPr>
          <w:rFonts w:ascii="Times New Roman" w:hAnsi="Times New Roman" w:cs="Times New Roman"/>
          <w:noProof/>
          <w:sz w:val="24"/>
          <w:szCs w:val="24"/>
          <w:lang w:val="sq-AL"/>
        </w:rPr>
        <w:t>ë</w:t>
      </w:r>
      <w:r w:rsidR="006B2BDC" w:rsidRPr="00641640">
        <w:rPr>
          <w:rFonts w:ascii="Times New Roman" w:hAnsi="Times New Roman" w:cs="Times New Roman"/>
          <w:noProof/>
          <w:sz w:val="24"/>
          <w:szCs w:val="24"/>
          <w:lang w:val="sq-AL"/>
        </w:rPr>
        <w:t>rmes programeve t</w:t>
      </w:r>
      <w:r w:rsidR="007F00FB" w:rsidRPr="00641640">
        <w:rPr>
          <w:rFonts w:ascii="Times New Roman" w:hAnsi="Times New Roman" w:cs="Times New Roman"/>
          <w:noProof/>
          <w:sz w:val="24"/>
          <w:szCs w:val="24"/>
          <w:lang w:val="sq-AL"/>
        </w:rPr>
        <w:t>ë</w:t>
      </w:r>
      <w:r w:rsidR="006B2BDC" w:rsidRPr="00641640">
        <w:rPr>
          <w:rFonts w:ascii="Times New Roman" w:hAnsi="Times New Roman" w:cs="Times New Roman"/>
          <w:noProof/>
          <w:sz w:val="24"/>
          <w:szCs w:val="24"/>
          <w:lang w:val="sq-AL"/>
        </w:rPr>
        <w:t xml:space="preserve"> </w:t>
      </w:r>
      <w:r w:rsidR="009668C9" w:rsidRPr="00641640">
        <w:rPr>
          <w:rFonts w:ascii="Times New Roman" w:hAnsi="Times New Roman" w:cs="Times New Roman"/>
          <w:noProof/>
          <w:sz w:val="24"/>
          <w:szCs w:val="24"/>
          <w:lang w:val="sq-AL"/>
        </w:rPr>
        <w:t>trajnimit të thelluar dhe të vazhdueshëm të nëpunësve të</w:t>
      </w:r>
      <w:r w:rsidR="009660DE" w:rsidRPr="00641640">
        <w:rPr>
          <w:rFonts w:ascii="Times New Roman" w:hAnsi="Times New Roman" w:cs="Times New Roman"/>
          <w:noProof/>
          <w:sz w:val="24"/>
          <w:szCs w:val="24"/>
          <w:lang w:val="sq-AL"/>
        </w:rPr>
        <w:t xml:space="preserve"> </w:t>
      </w:r>
      <w:r w:rsidR="009668C9" w:rsidRPr="00641640">
        <w:rPr>
          <w:rFonts w:ascii="Times New Roman" w:hAnsi="Times New Roman" w:cs="Times New Roman"/>
          <w:noProof/>
          <w:sz w:val="24"/>
          <w:szCs w:val="24"/>
          <w:lang w:val="sq-AL"/>
        </w:rPr>
        <w:t xml:space="preserve">administratës publike qendrore dhe vendore, </w:t>
      </w:r>
      <w:r w:rsidR="006B2BDC" w:rsidRPr="00641640">
        <w:rPr>
          <w:rFonts w:ascii="Times New Roman" w:hAnsi="Times New Roman" w:cs="Times New Roman"/>
          <w:noProof/>
          <w:sz w:val="24"/>
          <w:szCs w:val="24"/>
          <w:lang w:val="sq-AL"/>
        </w:rPr>
        <w:t>veçan</w:t>
      </w:r>
      <w:r w:rsidR="007F00FB" w:rsidRPr="00641640">
        <w:rPr>
          <w:rFonts w:ascii="Times New Roman" w:hAnsi="Times New Roman" w:cs="Times New Roman"/>
          <w:noProof/>
          <w:sz w:val="24"/>
          <w:szCs w:val="24"/>
          <w:lang w:val="sq-AL"/>
        </w:rPr>
        <w:t>ë</w:t>
      </w:r>
      <w:r w:rsidR="006B2BDC" w:rsidRPr="00641640">
        <w:rPr>
          <w:rFonts w:ascii="Times New Roman" w:hAnsi="Times New Roman" w:cs="Times New Roman"/>
          <w:noProof/>
          <w:sz w:val="24"/>
          <w:szCs w:val="24"/>
          <w:lang w:val="sq-AL"/>
        </w:rPr>
        <w:t>risht</w:t>
      </w:r>
      <w:r w:rsidR="009668C9" w:rsidRPr="00641640">
        <w:rPr>
          <w:rFonts w:ascii="Times New Roman" w:hAnsi="Times New Roman" w:cs="Times New Roman"/>
          <w:noProof/>
          <w:sz w:val="24"/>
          <w:szCs w:val="24"/>
          <w:lang w:val="sq-AL"/>
        </w:rPr>
        <w:t xml:space="preserve"> në fushën e përmirësimit të aftësive</w:t>
      </w:r>
      <w:r w:rsidR="009660DE" w:rsidRPr="00641640">
        <w:rPr>
          <w:rFonts w:ascii="Times New Roman" w:hAnsi="Times New Roman" w:cs="Times New Roman"/>
          <w:noProof/>
          <w:sz w:val="24"/>
          <w:szCs w:val="24"/>
          <w:lang w:val="sq-AL"/>
        </w:rPr>
        <w:t xml:space="preserve"> </w:t>
      </w:r>
      <w:r w:rsidR="009668C9" w:rsidRPr="00641640">
        <w:rPr>
          <w:rFonts w:ascii="Times New Roman" w:hAnsi="Times New Roman" w:cs="Times New Roman"/>
          <w:noProof/>
          <w:sz w:val="24"/>
          <w:szCs w:val="24"/>
          <w:lang w:val="sq-AL"/>
        </w:rPr>
        <w:t>menaxh</w:t>
      </w:r>
      <w:r w:rsidR="006B2BDC" w:rsidRPr="00641640">
        <w:rPr>
          <w:rFonts w:ascii="Times New Roman" w:hAnsi="Times New Roman" w:cs="Times New Roman"/>
          <w:noProof/>
          <w:sz w:val="24"/>
          <w:szCs w:val="24"/>
          <w:lang w:val="sq-AL"/>
        </w:rPr>
        <w:t>uese</w:t>
      </w:r>
      <w:r w:rsidR="009668C9" w:rsidRPr="00641640">
        <w:rPr>
          <w:rFonts w:ascii="Times New Roman" w:hAnsi="Times New Roman" w:cs="Times New Roman"/>
          <w:noProof/>
          <w:sz w:val="24"/>
          <w:szCs w:val="24"/>
          <w:lang w:val="sq-AL"/>
        </w:rPr>
        <w:t xml:space="preserve"> dhe drejtuese.</w:t>
      </w:r>
    </w:p>
    <w:p w14:paraId="08E3140F" w14:textId="7D751F7C" w:rsidR="009660DE" w:rsidRPr="00641640" w:rsidRDefault="009660D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K</w:t>
      </w:r>
      <w:r w:rsidR="009D29CD" w:rsidRPr="00641640">
        <w:rPr>
          <w:rFonts w:ascii="Times New Roman" w:hAnsi="Times New Roman" w:cs="Times New Roman"/>
          <w:noProof/>
          <w:sz w:val="24"/>
          <w:szCs w:val="24"/>
          <w:lang w:val="sq-AL"/>
        </w:rPr>
        <w:t>orniza</w:t>
      </w:r>
      <w:r w:rsidRPr="00641640">
        <w:rPr>
          <w:rFonts w:ascii="Times New Roman" w:hAnsi="Times New Roman" w:cs="Times New Roman"/>
          <w:noProof/>
          <w:sz w:val="24"/>
          <w:szCs w:val="24"/>
          <w:lang w:val="sq-AL"/>
        </w:rPr>
        <w:t xml:space="preserve"> ligjor</w:t>
      </w:r>
      <w:r w:rsidR="009D29CD"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 </w:t>
      </w:r>
      <w:r w:rsidR="009D29CD" w:rsidRPr="00641640">
        <w:rPr>
          <w:rFonts w:ascii="Times New Roman" w:hAnsi="Times New Roman" w:cs="Times New Roman"/>
          <w:noProof/>
          <w:sz w:val="24"/>
          <w:szCs w:val="24"/>
          <w:lang w:val="sq-AL"/>
        </w:rPr>
        <w:t>për Reformën në Administratën Publike</w:t>
      </w:r>
      <w:r w:rsidRPr="00641640">
        <w:rPr>
          <w:rFonts w:ascii="Times New Roman" w:hAnsi="Times New Roman" w:cs="Times New Roman"/>
          <w:noProof/>
          <w:sz w:val="24"/>
          <w:szCs w:val="24"/>
          <w:lang w:val="sq-AL"/>
        </w:rPr>
        <w:t xml:space="preserve"> </w:t>
      </w:r>
      <w:r w:rsidR="00470F30" w:rsidRPr="00641640">
        <w:rPr>
          <w:rFonts w:ascii="Times New Roman" w:hAnsi="Times New Roman" w:cs="Times New Roman"/>
          <w:noProof/>
          <w:sz w:val="24"/>
          <w:szCs w:val="24"/>
          <w:lang w:val="sq-AL"/>
        </w:rPr>
        <w:t>p</w:t>
      </w:r>
      <w:r w:rsidR="00E479F0" w:rsidRPr="00641640">
        <w:rPr>
          <w:rFonts w:ascii="Times New Roman" w:hAnsi="Times New Roman" w:cs="Times New Roman"/>
          <w:noProof/>
          <w:sz w:val="24"/>
          <w:szCs w:val="24"/>
          <w:lang w:val="sq-AL"/>
        </w:rPr>
        <w:t>ë</w:t>
      </w:r>
      <w:r w:rsidR="00470F30" w:rsidRPr="00641640">
        <w:rPr>
          <w:rFonts w:ascii="Times New Roman" w:hAnsi="Times New Roman" w:cs="Times New Roman"/>
          <w:noProof/>
          <w:sz w:val="24"/>
          <w:szCs w:val="24"/>
          <w:lang w:val="sq-AL"/>
        </w:rPr>
        <w:t>rfshi</w:t>
      </w:r>
      <w:r w:rsidR="006B2BDC" w:rsidRPr="00641640">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 xml:space="preserve"> Kushtetutën, ligjet procedurale, ligjet e organizimit dhe funksionimit të institucioneve</w:t>
      </w:r>
      <w:r w:rsidR="00470F30"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kuadrin rregullator</w:t>
      </w:r>
      <w:r w:rsidR="00EE75C3" w:rsidRPr="00641640">
        <w:rPr>
          <w:rFonts w:ascii="Times New Roman" w:hAnsi="Times New Roman" w:cs="Times New Roman"/>
          <w:noProof/>
          <w:sz w:val="24"/>
          <w:szCs w:val="24"/>
          <w:lang w:val="sq-AL"/>
        </w:rPr>
        <w:t xml:space="preserve"> në procesin e hartimit legjislativ</w:t>
      </w:r>
      <w:r w:rsidR="00470F30" w:rsidRPr="00641640">
        <w:rPr>
          <w:rFonts w:ascii="Times New Roman" w:hAnsi="Times New Roman" w:cs="Times New Roman"/>
          <w:noProof/>
          <w:sz w:val="24"/>
          <w:szCs w:val="24"/>
          <w:lang w:val="sq-AL"/>
        </w:rPr>
        <w:t>, kuadrin ligjor p</w:t>
      </w:r>
      <w:r w:rsidR="00E479F0" w:rsidRPr="00641640">
        <w:rPr>
          <w:rFonts w:ascii="Times New Roman" w:hAnsi="Times New Roman" w:cs="Times New Roman"/>
          <w:noProof/>
          <w:sz w:val="24"/>
          <w:szCs w:val="24"/>
          <w:lang w:val="sq-AL"/>
        </w:rPr>
        <w:t>ë</w:t>
      </w:r>
      <w:r w:rsidR="00470F30" w:rsidRPr="00641640">
        <w:rPr>
          <w:rFonts w:ascii="Times New Roman" w:hAnsi="Times New Roman" w:cs="Times New Roman"/>
          <w:noProof/>
          <w:sz w:val="24"/>
          <w:szCs w:val="24"/>
          <w:lang w:val="sq-AL"/>
        </w:rPr>
        <w:t xml:space="preserve">r </w:t>
      </w:r>
      <w:r w:rsidR="00F8471F" w:rsidRPr="00641640">
        <w:rPr>
          <w:rFonts w:ascii="Times New Roman" w:hAnsi="Times New Roman" w:cs="Times New Roman"/>
          <w:noProof/>
          <w:sz w:val="24"/>
          <w:szCs w:val="24"/>
          <w:lang w:val="sq-AL"/>
        </w:rPr>
        <w:t>llogaridhënien</w:t>
      </w:r>
      <w:r w:rsidR="00B3244D" w:rsidRPr="00641640">
        <w:rPr>
          <w:rFonts w:ascii="Times New Roman" w:hAnsi="Times New Roman" w:cs="Times New Roman"/>
          <w:noProof/>
          <w:sz w:val="24"/>
          <w:szCs w:val="24"/>
          <w:lang w:val="sq-AL"/>
        </w:rPr>
        <w:t xml:space="preserve"> dhe</w:t>
      </w:r>
      <w:r w:rsidR="00F8471F" w:rsidRPr="00641640">
        <w:rPr>
          <w:rFonts w:ascii="Times New Roman" w:hAnsi="Times New Roman" w:cs="Times New Roman"/>
          <w:noProof/>
          <w:sz w:val="24"/>
          <w:szCs w:val="24"/>
          <w:lang w:val="sq-AL"/>
        </w:rPr>
        <w:t xml:space="preserve"> krijimin e institucioneve në varësi të Kryeministrit dhe Ministrave, </w:t>
      </w:r>
      <w:r w:rsidR="00E73ED9" w:rsidRPr="00641640">
        <w:rPr>
          <w:rFonts w:ascii="Times New Roman" w:hAnsi="Times New Roman" w:cs="Times New Roman"/>
          <w:noProof/>
          <w:sz w:val="24"/>
          <w:szCs w:val="24"/>
          <w:lang w:val="sq-AL"/>
        </w:rPr>
        <w:t>si dhe k</w:t>
      </w:r>
      <w:r w:rsidR="002D647C" w:rsidRPr="00641640">
        <w:rPr>
          <w:rFonts w:ascii="Times New Roman" w:hAnsi="Times New Roman" w:cs="Times New Roman"/>
          <w:noProof/>
          <w:sz w:val="24"/>
          <w:szCs w:val="24"/>
          <w:lang w:val="sq-AL"/>
        </w:rPr>
        <w:t>ornizën</w:t>
      </w:r>
      <w:r w:rsidR="00E73ED9" w:rsidRPr="00641640">
        <w:rPr>
          <w:rFonts w:ascii="Times New Roman" w:hAnsi="Times New Roman" w:cs="Times New Roman"/>
          <w:noProof/>
          <w:sz w:val="24"/>
          <w:szCs w:val="24"/>
          <w:lang w:val="sq-AL"/>
        </w:rPr>
        <w:t xml:space="preserve"> ligjor</w:t>
      </w:r>
      <w:r w:rsidR="002D647C" w:rsidRPr="00641640">
        <w:rPr>
          <w:rFonts w:ascii="Times New Roman" w:hAnsi="Times New Roman" w:cs="Times New Roman"/>
          <w:noProof/>
          <w:sz w:val="24"/>
          <w:szCs w:val="24"/>
          <w:lang w:val="sq-AL"/>
        </w:rPr>
        <w:t>e</w:t>
      </w:r>
      <w:r w:rsidR="00E73ED9" w:rsidRPr="00641640">
        <w:rPr>
          <w:rFonts w:ascii="Times New Roman" w:hAnsi="Times New Roman" w:cs="Times New Roman"/>
          <w:noProof/>
          <w:sz w:val="24"/>
          <w:szCs w:val="24"/>
          <w:lang w:val="sq-AL"/>
        </w:rPr>
        <w:t xml:space="preserve"> dhe rregullator</w:t>
      </w:r>
      <w:r w:rsidR="002D647C" w:rsidRPr="00641640">
        <w:rPr>
          <w:rFonts w:ascii="Times New Roman" w:hAnsi="Times New Roman" w:cs="Times New Roman"/>
          <w:noProof/>
          <w:sz w:val="24"/>
          <w:szCs w:val="24"/>
          <w:lang w:val="sq-AL"/>
        </w:rPr>
        <w:t>e</w:t>
      </w:r>
      <w:r w:rsidR="00E73ED9" w:rsidRPr="00641640">
        <w:rPr>
          <w:rFonts w:ascii="Times New Roman" w:hAnsi="Times New Roman" w:cs="Times New Roman"/>
          <w:noProof/>
          <w:sz w:val="24"/>
          <w:szCs w:val="24"/>
          <w:lang w:val="sq-AL"/>
        </w:rPr>
        <w:t xml:space="preserve"> </w:t>
      </w:r>
      <w:r w:rsidR="00F8471F" w:rsidRPr="00641640">
        <w:rPr>
          <w:rFonts w:ascii="Times New Roman" w:hAnsi="Times New Roman" w:cs="Times New Roman"/>
          <w:noProof/>
          <w:sz w:val="24"/>
          <w:szCs w:val="24"/>
          <w:lang w:val="sq-AL"/>
        </w:rPr>
        <w:t xml:space="preserve">për </w:t>
      </w:r>
      <w:r w:rsidR="00470F30" w:rsidRPr="00641640">
        <w:rPr>
          <w:rFonts w:ascii="Times New Roman" w:hAnsi="Times New Roman" w:cs="Times New Roman"/>
          <w:noProof/>
          <w:sz w:val="24"/>
          <w:szCs w:val="24"/>
          <w:lang w:val="sq-AL"/>
        </w:rPr>
        <w:t>qeve</w:t>
      </w:r>
      <w:r w:rsidR="00F8471F" w:rsidRPr="00641640">
        <w:rPr>
          <w:rFonts w:ascii="Times New Roman" w:hAnsi="Times New Roman" w:cs="Times New Roman"/>
          <w:noProof/>
          <w:sz w:val="24"/>
          <w:szCs w:val="24"/>
          <w:lang w:val="sq-AL"/>
        </w:rPr>
        <w:t>r</w:t>
      </w:r>
      <w:r w:rsidR="00470F30" w:rsidRPr="00641640">
        <w:rPr>
          <w:rFonts w:ascii="Times New Roman" w:hAnsi="Times New Roman" w:cs="Times New Roman"/>
          <w:noProof/>
          <w:sz w:val="24"/>
          <w:szCs w:val="24"/>
          <w:lang w:val="sq-AL"/>
        </w:rPr>
        <w:t>isjen elektronike</w:t>
      </w:r>
      <w:r w:rsidR="00F8471F" w:rsidRPr="00641640">
        <w:rPr>
          <w:rFonts w:ascii="Times New Roman" w:hAnsi="Times New Roman" w:cs="Times New Roman"/>
          <w:noProof/>
          <w:sz w:val="24"/>
          <w:szCs w:val="24"/>
          <w:lang w:val="sq-AL"/>
        </w:rPr>
        <w:t xml:space="preserve"> dhe ofrimin e shërbimeve</w:t>
      </w:r>
      <w:r w:rsidR="003A172E" w:rsidRPr="00641640">
        <w:rPr>
          <w:rFonts w:ascii="Times New Roman" w:hAnsi="Times New Roman" w:cs="Times New Roman"/>
          <w:noProof/>
          <w:sz w:val="24"/>
          <w:szCs w:val="24"/>
          <w:lang w:val="sq-AL"/>
        </w:rPr>
        <w:t xml:space="preserve">. </w:t>
      </w:r>
      <w:r w:rsidR="00656F3C" w:rsidRPr="00641640">
        <w:rPr>
          <w:rFonts w:ascii="Times New Roman" w:hAnsi="Times New Roman" w:cs="Times New Roman"/>
          <w:noProof/>
          <w:sz w:val="24"/>
          <w:szCs w:val="24"/>
          <w:lang w:val="sq-AL"/>
        </w:rPr>
        <w:t>Disa prej ligjeve kryesore që p</w:t>
      </w:r>
      <w:r w:rsidR="00C2219D" w:rsidRPr="00641640">
        <w:rPr>
          <w:rFonts w:ascii="Times New Roman" w:hAnsi="Times New Roman" w:cs="Times New Roman"/>
          <w:noProof/>
          <w:sz w:val="24"/>
          <w:szCs w:val="24"/>
          <w:lang w:val="sq-AL"/>
        </w:rPr>
        <w:t>ë</w:t>
      </w:r>
      <w:r w:rsidR="00656F3C" w:rsidRPr="00641640">
        <w:rPr>
          <w:rFonts w:ascii="Times New Roman" w:hAnsi="Times New Roman" w:cs="Times New Roman"/>
          <w:noProof/>
          <w:sz w:val="24"/>
          <w:szCs w:val="24"/>
          <w:lang w:val="sq-AL"/>
        </w:rPr>
        <w:t>rb</w:t>
      </w:r>
      <w:r w:rsidR="007F00FB" w:rsidRPr="00641640">
        <w:rPr>
          <w:rFonts w:ascii="Times New Roman" w:hAnsi="Times New Roman" w:cs="Times New Roman"/>
          <w:noProof/>
          <w:sz w:val="24"/>
          <w:szCs w:val="24"/>
          <w:lang w:val="sq-AL"/>
        </w:rPr>
        <w:t>ë</w:t>
      </w:r>
      <w:r w:rsidR="00656F3C" w:rsidRPr="00641640">
        <w:rPr>
          <w:rFonts w:ascii="Times New Roman" w:hAnsi="Times New Roman" w:cs="Times New Roman"/>
          <w:noProof/>
          <w:sz w:val="24"/>
          <w:szCs w:val="24"/>
          <w:lang w:val="sq-AL"/>
        </w:rPr>
        <w:t>jnë kornizën ligjore të reformës në admini</w:t>
      </w:r>
      <w:r w:rsidR="00E73ED9" w:rsidRPr="00641640">
        <w:rPr>
          <w:rFonts w:ascii="Times New Roman" w:hAnsi="Times New Roman" w:cs="Times New Roman"/>
          <w:noProof/>
          <w:sz w:val="24"/>
          <w:szCs w:val="24"/>
          <w:lang w:val="sq-AL"/>
        </w:rPr>
        <w:t>s</w:t>
      </w:r>
      <w:r w:rsidR="00656F3C" w:rsidRPr="00641640">
        <w:rPr>
          <w:rFonts w:ascii="Times New Roman" w:hAnsi="Times New Roman" w:cs="Times New Roman"/>
          <w:noProof/>
          <w:sz w:val="24"/>
          <w:szCs w:val="24"/>
          <w:lang w:val="sq-AL"/>
        </w:rPr>
        <w:t xml:space="preserve">tratën publike </w:t>
      </w:r>
      <w:r w:rsidR="00E73ED9" w:rsidRPr="00641640">
        <w:rPr>
          <w:rFonts w:ascii="Times New Roman" w:hAnsi="Times New Roman" w:cs="Times New Roman"/>
          <w:noProof/>
          <w:sz w:val="24"/>
          <w:szCs w:val="24"/>
          <w:lang w:val="sq-AL"/>
        </w:rPr>
        <w:t>renditen si</w:t>
      </w:r>
      <w:r w:rsidR="00656F3C" w:rsidRPr="00641640">
        <w:rPr>
          <w:rFonts w:ascii="Times New Roman" w:hAnsi="Times New Roman" w:cs="Times New Roman"/>
          <w:noProof/>
          <w:sz w:val="24"/>
          <w:szCs w:val="24"/>
          <w:lang w:val="sq-AL"/>
        </w:rPr>
        <w:t xml:space="preserve"> më poshtë</w:t>
      </w:r>
      <w:r w:rsidR="002D647C" w:rsidRPr="00641640">
        <w:rPr>
          <w:rFonts w:ascii="Times New Roman" w:hAnsi="Times New Roman" w:cs="Times New Roman"/>
          <w:noProof/>
          <w:sz w:val="24"/>
          <w:szCs w:val="24"/>
          <w:lang w:val="sq-AL"/>
        </w:rPr>
        <w:t>:</w:t>
      </w:r>
    </w:p>
    <w:p w14:paraId="471B35E1" w14:textId="51C7A59F" w:rsidR="0050541E" w:rsidRPr="00641640" w:rsidRDefault="0050541E" w:rsidP="003A395D">
      <w:pPr>
        <w:pStyle w:val="ListParagraph"/>
        <w:numPr>
          <w:ilvl w:val="0"/>
          <w:numId w:val="5"/>
        </w:numPr>
        <w:spacing w:line="276" w:lineRule="auto"/>
        <w:jc w:val="both"/>
        <w:rPr>
          <w:rFonts w:ascii="Times New Roman" w:hAnsi="Times New Roman" w:cs="Times New Roman"/>
          <w:noProof/>
          <w:sz w:val="24"/>
          <w:szCs w:val="24"/>
          <w:lang w:val="sq-AL"/>
        </w:rPr>
      </w:pPr>
      <w:r w:rsidRPr="00641640">
        <w:rPr>
          <w:rFonts w:ascii="Times New Roman" w:hAnsi="Times New Roman" w:cs="Times New Roman"/>
          <w:b/>
          <w:bCs/>
          <w:noProof/>
          <w:sz w:val="24"/>
          <w:szCs w:val="24"/>
          <w:lang w:val="sq-AL"/>
        </w:rPr>
        <w:t>Kodi i Procedurave Admin</w:t>
      </w:r>
      <w:r w:rsidR="007F00FB" w:rsidRPr="00641640">
        <w:rPr>
          <w:rFonts w:ascii="Times New Roman" w:hAnsi="Times New Roman" w:cs="Times New Roman"/>
          <w:b/>
          <w:bCs/>
          <w:noProof/>
          <w:sz w:val="24"/>
          <w:szCs w:val="24"/>
          <w:lang w:val="sq-AL"/>
        </w:rPr>
        <w:t>i</w:t>
      </w:r>
      <w:r w:rsidRPr="00641640">
        <w:rPr>
          <w:rFonts w:ascii="Times New Roman" w:hAnsi="Times New Roman" w:cs="Times New Roman"/>
          <w:b/>
          <w:bCs/>
          <w:noProof/>
          <w:sz w:val="24"/>
          <w:szCs w:val="24"/>
          <w:lang w:val="sq-AL"/>
        </w:rPr>
        <w:t>strative</w:t>
      </w:r>
      <w:r w:rsidR="002D647C" w:rsidRPr="00641640">
        <w:rPr>
          <w:rStyle w:val="FootnoteReference"/>
          <w:rFonts w:ascii="Times New Roman" w:hAnsi="Times New Roman" w:cs="Times New Roman"/>
          <w:noProof/>
          <w:sz w:val="24"/>
          <w:szCs w:val="24"/>
          <w:lang w:val="sq-AL"/>
        </w:rPr>
        <w:footnoteReference w:id="3"/>
      </w:r>
      <w:r w:rsidR="00E73ED9" w:rsidRPr="00641640">
        <w:rPr>
          <w:rFonts w:ascii="Times New Roman" w:hAnsi="Times New Roman" w:cs="Times New Roman"/>
          <w:noProof/>
          <w:sz w:val="24"/>
          <w:szCs w:val="24"/>
          <w:lang w:val="sq-AL"/>
        </w:rPr>
        <w:t>, m</w:t>
      </w:r>
      <w:r w:rsidRPr="00641640">
        <w:rPr>
          <w:rFonts w:ascii="Times New Roman" w:hAnsi="Times New Roman" w:cs="Times New Roman"/>
          <w:noProof/>
          <w:sz w:val="24"/>
          <w:szCs w:val="24"/>
          <w:lang w:val="sq-AL"/>
        </w:rPr>
        <w:t xml:space="preserve">e miratimin e </w:t>
      </w:r>
      <w:r w:rsidR="00E73ED9"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E73ED9" w:rsidRPr="00641640">
        <w:rPr>
          <w:rFonts w:ascii="Times New Roman" w:hAnsi="Times New Roman" w:cs="Times New Roman"/>
          <w:noProof/>
          <w:sz w:val="24"/>
          <w:szCs w:val="24"/>
          <w:lang w:val="sq-AL"/>
        </w:rPr>
        <w:t xml:space="preserve"> cilit</w:t>
      </w:r>
      <w:r w:rsidRPr="00641640">
        <w:rPr>
          <w:rFonts w:ascii="Times New Roman" w:hAnsi="Times New Roman" w:cs="Times New Roman"/>
          <w:noProof/>
          <w:sz w:val="24"/>
          <w:szCs w:val="24"/>
          <w:lang w:val="sq-AL"/>
        </w:rPr>
        <w:t xml:space="preserve"> është krijuar një kuadër </w:t>
      </w:r>
      <w:r w:rsidR="00E73ED9" w:rsidRPr="00641640">
        <w:rPr>
          <w:rFonts w:ascii="Times New Roman" w:hAnsi="Times New Roman" w:cs="Times New Roman"/>
          <w:noProof/>
          <w:sz w:val="24"/>
          <w:szCs w:val="24"/>
          <w:lang w:val="sq-AL"/>
        </w:rPr>
        <w:t xml:space="preserve">ligjor </w:t>
      </w:r>
      <w:r w:rsidRPr="00641640">
        <w:rPr>
          <w:rFonts w:ascii="Times New Roman" w:hAnsi="Times New Roman" w:cs="Times New Roman"/>
          <w:noProof/>
          <w:sz w:val="24"/>
          <w:szCs w:val="24"/>
          <w:lang w:val="sq-AL"/>
        </w:rPr>
        <w:t>modern për funksionimin e administratës publike</w:t>
      </w:r>
      <w:r w:rsidR="006B2BDC"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dhe menaxhimin e kërkesave </w:t>
      </w:r>
      <w:r w:rsidR="005306DA" w:rsidRPr="00641640">
        <w:rPr>
          <w:rFonts w:ascii="Times New Roman" w:hAnsi="Times New Roman" w:cs="Times New Roman"/>
          <w:noProof/>
          <w:sz w:val="24"/>
          <w:szCs w:val="24"/>
          <w:lang w:val="sq-AL"/>
        </w:rPr>
        <w:t xml:space="preserve">dhe ankesave </w:t>
      </w:r>
      <w:r w:rsidR="00E73ED9"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E73ED9" w:rsidRPr="00641640">
        <w:rPr>
          <w:rFonts w:ascii="Times New Roman" w:hAnsi="Times New Roman" w:cs="Times New Roman"/>
          <w:noProof/>
          <w:sz w:val="24"/>
          <w:szCs w:val="24"/>
          <w:lang w:val="sq-AL"/>
        </w:rPr>
        <w:t xml:space="preserve"> qytetar</w:t>
      </w:r>
      <w:r w:rsidR="00064AC5" w:rsidRPr="00641640">
        <w:rPr>
          <w:rFonts w:ascii="Times New Roman" w:hAnsi="Times New Roman" w:cs="Times New Roman"/>
          <w:noProof/>
          <w:sz w:val="24"/>
          <w:szCs w:val="24"/>
          <w:lang w:val="sq-AL"/>
        </w:rPr>
        <w:t>ë</w:t>
      </w:r>
      <w:r w:rsidR="00E73ED9" w:rsidRPr="00641640">
        <w:rPr>
          <w:rFonts w:ascii="Times New Roman" w:hAnsi="Times New Roman" w:cs="Times New Roman"/>
          <w:noProof/>
          <w:sz w:val="24"/>
          <w:szCs w:val="24"/>
          <w:lang w:val="sq-AL"/>
        </w:rPr>
        <w:t xml:space="preserve">ve dhe bizneseve </w:t>
      </w:r>
      <w:r w:rsidRPr="00641640">
        <w:rPr>
          <w:rFonts w:ascii="Times New Roman" w:hAnsi="Times New Roman" w:cs="Times New Roman"/>
          <w:noProof/>
          <w:sz w:val="24"/>
          <w:szCs w:val="24"/>
          <w:lang w:val="sq-AL"/>
        </w:rPr>
        <w:t>nga administrata</w:t>
      </w:r>
      <w:r w:rsidR="00E73ED9" w:rsidRPr="00641640">
        <w:rPr>
          <w:rFonts w:ascii="Times New Roman" w:hAnsi="Times New Roman" w:cs="Times New Roman"/>
          <w:noProof/>
          <w:sz w:val="24"/>
          <w:szCs w:val="24"/>
          <w:lang w:val="sq-AL"/>
        </w:rPr>
        <w:t xml:space="preserve"> publike</w:t>
      </w:r>
      <w:r w:rsidR="001C27BA" w:rsidRPr="00641640">
        <w:rPr>
          <w:rFonts w:ascii="Times New Roman" w:hAnsi="Times New Roman" w:cs="Times New Roman"/>
          <w:noProof/>
          <w:sz w:val="24"/>
          <w:szCs w:val="24"/>
          <w:lang w:val="sq-AL"/>
        </w:rPr>
        <w:t>,</w:t>
      </w:r>
      <w:r w:rsidR="005306DA" w:rsidRPr="00641640">
        <w:rPr>
          <w:rFonts w:ascii="Times New Roman" w:hAnsi="Times New Roman" w:cs="Times New Roman"/>
          <w:noProof/>
          <w:sz w:val="24"/>
          <w:szCs w:val="24"/>
          <w:lang w:val="sq-AL"/>
        </w:rPr>
        <w:t xml:space="preserve"> si dhe zhvillimin e procedimit adminsitrativ n</w:t>
      </w:r>
      <w:r w:rsidR="00CE42FB" w:rsidRPr="00641640">
        <w:rPr>
          <w:rFonts w:ascii="Times New Roman" w:hAnsi="Times New Roman" w:cs="Times New Roman"/>
          <w:noProof/>
          <w:sz w:val="24"/>
          <w:szCs w:val="24"/>
          <w:lang w:val="sq-AL"/>
        </w:rPr>
        <w:t>ë</w:t>
      </w:r>
      <w:r w:rsidR="005306DA" w:rsidRPr="00641640">
        <w:rPr>
          <w:rFonts w:ascii="Times New Roman" w:hAnsi="Times New Roman" w:cs="Times New Roman"/>
          <w:noProof/>
          <w:sz w:val="24"/>
          <w:szCs w:val="24"/>
          <w:lang w:val="sq-AL"/>
        </w:rPr>
        <w:t xml:space="preserve"> p</w:t>
      </w:r>
      <w:r w:rsidR="00CE42FB" w:rsidRPr="00641640">
        <w:rPr>
          <w:rFonts w:ascii="Times New Roman" w:hAnsi="Times New Roman" w:cs="Times New Roman"/>
          <w:noProof/>
          <w:sz w:val="24"/>
          <w:szCs w:val="24"/>
          <w:lang w:val="sq-AL"/>
        </w:rPr>
        <w:t>ë</w:t>
      </w:r>
      <w:r w:rsidR="005306DA" w:rsidRPr="00641640">
        <w:rPr>
          <w:rFonts w:ascii="Times New Roman" w:hAnsi="Times New Roman" w:cs="Times New Roman"/>
          <w:noProof/>
          <w:sz w:val="24"/>
          <w:szCs w:val="24"/>
          <w:lang w:val="sq-AL"/>
        </w:rPr>
        <w:t>rputhje me t</w:t>
      </w:r>
      <w:r w:rsidR="00CE42FB" w:rsidRPr="00641640">
        <w:rPr>
          <w:rFonts w:ascii="Times New Roman" w:hAnsi="Times New Roman" w:cs="Times New Roman"/>
          <w:noProof/>
          <w:sz w:val="24"/>
          <w:szCs w:val="24"/>
          <w:lang w:val="sq-AL"/>
        </w:rPr>
        <w:t>ë</w:t>
      </w:r>
      <w:r w:rsidR="005306DA" w:rsidRPr="00641640">
        <w:rPr>
          <w:rFonts w:ascii="Times New Roman" w:hAnsi="Times New Roman" w:cs="Times New Roman"/>
          <w:noProof/>
          <w:sz w:val="24"/>
          <w:szCs w:val="24"/>
          <w:lang w:val="sq-AL"/>
        </w:rPr>
        <w:t xml:space="preserve"> gjitha standardet e qeverisjes s</w:t>
      </w:r>
      <w:r w:rsidR="00CE42FB" w:rsidRPr="00641640">
        <w:rPr>
          <w:rFonts w:ascii="Times New Roman" w:hAnsi="Times New Roman" w:cs="Times New Roman"/>
          <w:noProof/>
          <w:sz w:val="24"/>
          <w:szCs w:val="24"/>
          <w:lang w:val="sq-AL"/>
        </w:rPr>
        <w:t>ë</w:t>
      </w:r>
      <w:r w:rsidR="005306DA" w:rsidRPr="00641640">
        <w:rPr>
          <w:rFonts w:ascii="Times New Roman" w:hAnsi="Times New Roman" w:cs="Times New Roman"/>
          <w:noProof/>
          <w:sz w:val="24"/>
          <w:szCs w:val="24"/>
          <w:lang w:val="sq-AL"/>
        </w:rPr>
        <w:t xml:space="preserve"> mir</w:t>
      </w:r>
      <w:r w:rsidR="00CE42FB" w:rsidRPr="00641640">
        <w:rPr>
          <w:rFonts w:ascii="Times New Roman" w:hAnsi="Times New Roman" w:cs="Times New Roman"/>
          <w:noProof/>
          <w:sz w:val="24"/>
          <w:szCs w:val="24"/>
          <w:lang w:val="sq-AL"/>
        </w:rPr>
        <w:t>ë</w:t>
      </w:r>
      <w:r w:rsidR="00E73ED9" w:rsidRPr="00641640">
        <w:rPr>
          <w:rFonts w:ascii="Times New Roman" w:hAnsi="Times New Roman" w:cs="Times New Roman"/>
          <w:noProof/>
          <w:sz w:val="24"/>
          <w:szCs w:val="24"/>
          <w:lang w:val="sq-AL"/>
        </w:rPr>
        <w:t>;</w:t>
      </w:r>
    </w:p>
    <w:p w14:paraId="4FFA23B4" w14:textId="3D804B2B" w:rsidR="0061526C" w:rsidRPr="00641640" w:rsidRDefault="0050541E" w:rsidP="003A395D">
      <w:pPr>
        <w:pStyle w:val="ListParagraph"/>
        <w:numPr>
          <w:ilvl w:val="0"/>
          <w:numId w:val="5"/>
        </w:numPr>
        <w:spacing w:line="276" w:lineRule="auto"/>
        <w:jc w:val="both"/>
        <w:rPr>
          <w:rFonts w:ascii="Times New Roman" w:hAnsi="Times New Roman" w:cs="Times New Roman"/>
          <w:noProof/>
          <w:sz w:val="24"/>
          <w:szCs w:val="24"/>
          <w:lang w:val="sq-AL"/>
        </w:rPr>
      </w:pPr>
      <w:r w:rsidRPr="00641640">
        <w:rPr>
          <w:rFonts w:ascii="Times New Roman" w:hAnsi="Times New Roman" w:cs="Times New Roman"/>
          <w:b/>
          <w:bCs/>
          <w:noProof/>
          <w:sz w:val="24"/>
          <w:szCs w:val="24"/>
          <w:lang w:val="sq-AL"/>
        </w:rPr>
        <w:t xml:space="preserve">Ligji 9000/2003 </w:t>
      </w:r>
      <w:r w:rsidR="00A32D47">
        <w:rPr>
          <w:rFonts w:ascii="Times New Roman" w:hAnsi="Times New Roman" w:cs="Times New Roman"/>
          <w:b/>
          <w:bCs/>
          <w:noProof/>
          <w:sz w:val="24"/>
          <w:szCs w:val="24"/>
          <w:lang w:val="sq-AL"/>
        </w:rPr>
        <w:t>“P</w:t>
      </w:r>
      <w:r w:rsidRPr="00641640">
        <w:rPr>
          <w:rFonts w:ascii="Times New Roman" w:hAnsi="Times New Roman" w:cs="Times New Roman"/>
          <w:b/>
          <w:bCs/>
          <w:noProof/>
          <w:sz w:val="24"/>
          <w:szCs w:val="24"/>
          <w:lang w:val="sq-AL"/>
        </w:rPr>
        <w:t>ër organizimin dhe funksionimin e Këshillit të Ministrave</w:t>
      </w:r>
      <w:r w:rsidR="003A5A7D">
        <w:rPr>
          <w:rFonts w:ascii="Times New Roman" w:hAnsi="Times New Roman" w:cs="Times New Roman"/>
          <w:b/>
          <w:bCs/>
          <w:noProof/>
          <w:sz w:val="24"/>
          <w:szCs w:val="24"/>
          <w:lang w:val="sq-AL"/>
        </w:rPr>
        <w:t>”</w:t>
      </w:r>
      <w:r w:rsidRPr="00641640">
        <w:rPr>
          <w:rStyle w:val="FootnoteReference"/>
          <w:rFonts w:ascii="Times New Roman" w:hAnsi="Times New Roman" w:cs="Times New Roman"/>
          <w:noProof/>
          <w:sz w:val="24"/>
          <w:szCs w:val="24"/>
          <w:lang w:val="sq-AL"/>
        </w:rPr>
        <w:footnoteReference w:id="4"/>
      </w:r>
      <w:r w:rsidRPr="00641640">
        <w:rPr>
          <w:rFonts w:ascii="Times New Roman" w:hAnsi="Times New Roman" w:cs="Times New Roman"/>
          <w:noProof/>
          <w:sz w:val="24"/>
          <w:szCs w:val="24"/>
          <w:lang w:val="sq-AL"/>
        </w:rPr>
        <w:t xml:space="preserve"> dhe </w:t>
      </w:r>
      <w:r w:rsidRPr="00641640">
        <w:rPr>
          <w:rFonts w:ascii="Times New Roman" w:hAnsi="Times New Roman" w:cs="Times New Roman"/>
          <w:b/>
          <w:bCs/>
          <w:noProof/>
          <w:sz w:val="24"/>
          <w:szCs w:val="24"/>
          <w:lang w:val="sq-AL"/>
        </w:rPr>
        <w:t xml:space="preserve">VKM 584/2003 </w:t>
      </w:r>
      <w:r w:rsidR="00A32D47">
        <w:rPr>
          <w:rFonts w:ascii="Times New Roman" w:hAnsi="Times New Roman" w:cs="Times New Roman"/>
          <w:b/>
          <w:bCs/>
          <w:noProof/>
          <w:sz w:val="24"/>
          <w:szCs w:val="24"/>
          <w:lang w:val="sq-AL"/>
        </w:rPr>
        <w:t>“P</w:t>
      </w:r>
      <w:r w:rsidRPr="00641640">
        <w:rPr>
          <w:rFonts w:ascii="Times New Roman" w:hAnsi="Times New Roman" w:cs="Times New Roman"/>
          <w:b/>
          <w:bCs/>
          <w:noProof/>
          <w:sz w:val="24"/>
          <w:szCs w:val="24"/>
          <w:lang w:val="sq-AL"/>
        </w:rPr>
        <w:t xml:space="preserve">ër miratimin e </w:t>
      </w:r>
      <w:r w:rsidR="00E73ED9" w:rsidRPr="00641640">
        <w:rPr>
          <w:rFonts w:ascii="Times New Roman" w:hAnsi="Times New Roman" w:cs="Times New Roman"/>
          <w:b/>
          <w:bCs/>
          <w:noProof/>
          <w:sz w:val="24"/>
          <w:szCs w:val="24"/>
          <w:lang w:val="sq-AL"/>
        </w:rPr>
        <w:t>R</w:t>
      </w:r>
      <w:r w:rsidRPr="00641640">
        <w:rPr>
          <w:rFonts w:ascii="Times New Roman" w:hAnsi="Times New Roman" w:cs="Times New Roman"/>
          <w:b/>
          <w:bCs/>
          <w:noProof/>
          <w:sz w:val="24"/>
          <w:szCs w:val="24"/>
          <w:lang w:val="sq-AL"/>
        </w:rPr>
        <w:t>regullores së Këshillit të Ministrave</w:t>
      </w:r>
      <w:r w:rsidR="003A5A7D">
        <w:rPr>
          <w:rFonts w:ascii="Times New Roman" w:hAnsi="Times New Roman" w:cs="Times New Roman"/>
          <w:b/>
          <w:bCs/>
          <w:noProof/>
          <w:sz w:val="24"/>
          <w:szCs w:val="24"/>
          <w:lang w:val="sq-AL"/>
        </w:rPr>
        <w:t>”</w:t>
      </w:r>
      <w:r w:rsidR="002D647C" w:rsidRPr="00641640">
        <w:rPr>
          <w:rStyle w:val="FootnoteReference"/>
          <w:rFonts w:ascii="Times New Roman" w:hAnsi="Times New Roman" w:cs="Times New Roman"/>
          <w:noProof/>
          <w:sz w:val="24"/>
          <w:szCs w:val="24"/>
          <w:lang w:val="sq-AL"/>
        </w:rPr>
        <w:footnoteReference w:id="5"/>
      </w:r>
      <w:r w:rsidR="00E73ED9" w:rsidRPr="00A32D47">
        <w:rPr>
          <w:rFonts w:ascii="Times New Roman" w:hAnsi="Times New Roman" w:cs="Times New Roman"/>
          <w:noProof/>
          <w:sz w:val="24"/>
          <w:szCs w:val="24"/>
          <w:lang w:val="sq-AL"/>
        </w:rPr>
        <w:t>,</w:t>
      </w:r>
      <w:r w:rsidRPr="00641640">
        <w:rPr>
          <w:rFonts w:ascii="Times New Roman" w:hAnsi="Times New Roman" w:cs="Times New Roman"/>
          <w:b/>
          <w:bCs/>
          <w:noProof/>
          <w:sz w:val="24"/>
          <w:szCs w:val="24"/>
          <w:lang w:val="sq-AL"/>
        </w:rPr>
        <w:t xml:space="preserve"> </w:t>
      </w:r>
      <w:r w:rsidR="00E73ED9" w:rsidRPr="00641640">
        <w:rPr>
          <w:rFonts w:ascii="Times New Roman" w:hAnsi="Times New Roman" w:cs="Times New Roman"/>
          <w:bCs/>
          <w:noProof/>
          <w:sz w:val="24"/>
          <w:szCs w:val="24"/>
          <w:lang w:val="sq-AL"/>
        </w:rPr>
        <w:t>t</w:t>
      </w:r>
      <w:r w:rsidR="00064AC5" w:rsidRPr="00641640">
        <w:rPr>
          <w:rFonts w:ascii="Times New Roman" w:hAnsi="Times New Roman" w:cs="Times New Roman"/>
          <w:bCs/>
          <w:noProof/>
          <w:sz w:val="24"/>
          <w:szCs w:val="24"/>
          <w:lang w:val="sq-AL"/>
        </w:rPr>
        <w:t>ë</w:t>
      </w:r>
      <w:r w:rsidR="00E73ED9" w:rsidRPr="00641640">
        <w:rPr>
          <w:rFonts w:ascii="Times New Roman" w:hAnsi="Times New Roman" w:cs="Times New Roman"/>
          <w:bCs/>
          <w:noProof/>
          <w:sz w:val="24"/>
          <w:szCs w:val="24"/>
          <w:lang w:val="sq-AL"/>
        </w:rPr>
        <w:t xml:space="preserve"> cil</w:t>
      </w:r>
      <w:r w:rsidR="00064AC5" w:rsidRPr="00641640">
        <w:rPr>
          <w:rFonts w:ascii="Times New Roman" w:hAnsi="Times New Roman" w:cs="Times New Roman"/>
          <w:bCs/>
          <w:noProof/>
          <w:sz w:val="24"/>
          <w:szCs w:val="24"/>
          <w:lang w:val="sq-AL"/>
        </w:rPr>
        <w:t>ë</w:t>
      </w:r>
      <w:r w:rsidR="00E73ED9" w:rsidRPr="00641640">
        <w:rPr>
          <w:rFonts w:ascii="Times New Roman" w:hAnsi="Times New Roman" w:cs="Times New Roman"/>
          <w:bCs/>
          <w:noProof/>
          <w:sz w:val="24"/>
          <w:szCs w:val="24"/>
          <w:lang w:val="sq-AL"/>
        </w:rPr>
        <w:t>t</w:t>
      </w:r>
      <w:r w:rsidR="00E73ED9" w:rsidRPr="00641640">
        <w:rPr>
          <w:rFonts w:ascii="Times New Roman" w:hAnsi="Times New Roman" w:cs="Times New Roman"/>
          <w:b/>
          <w:bCs/>
          <w:noProof/>
          <w:sz w:val="24"/>
          <w:szCs w:val="24"/>
          <w:lang w:val="sq-AL"/>
        </w:rPr>
        <w:t xml:space="preserve"> </w:t>
      </w:r>
      <w:r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rcaktojnë </w:t>
      </w:r>
      <w:r w:rsidR="00E73ED9" w:rsidRPr="00641640">
        <w:rPr>
          <w:rFonts w:ascii="Times New Roman" w:hAnsi="Times New Roman" w:cs="Times New Roman"/>
          <w:noProof/>
          <w:sz w:val="24"/>
          <w:szCs w:val="24"/>
          <w:lang w:val="sq-AL"/>
        </w:rPr>
        <w:t>qart</w:t>
      </w:r>
      <w:r w:rsidR="00064AC5" w:rsidRPr="00641640">
        <w:rPr>
          <w:rFonts w:ascii="Times New Roman" w:hAnsi="Times New Roman" w:cs="Times New Roman"/>
          <w:noProof/>
          <w:sz w:val="24"/>
          <w:szCs w:val="24"/>
          <w:lang w:val="sq-AL"/>
        </w:rPr>
        <w:t>ë</w:t>
      </w:r>
      <w:r w:rsidR="00E73ED9"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funksionet kr</w:t>
      </w:r>
      <w:r w:rsidR="006B2BDC" w:rsidRPr="00641640">
        <w:rPr>
          <w:rFonts w:ascii="Times New Roman" w:hAnsi="Times New Roman" w:cs="Times New Roman"/>
          <w:noProof/>
          <w:sz w:val="24"/>
          <w:szCs w:val="24"/>
          <w:lang w:val="sq-AL"/>
        </w:rPr>
        <w:t>yesore</w:t>
      </w:r>
      <w:r w:rsidRPr="00641640">
        <w:rPr>
          <w:rFonts w:ascii="Times New Roman" w:hAnsi="Times New Roman" w:cs="Times New Roman"/>
          <w:noProof/>
          <w:sz w:val="24"/>
          <w:szCs w:val="24"/>
          <w:lang w:val="sq-AL"/>
        </w:rPr>
        <w:t xml:space="preserve"> të Qendrës së Qeverisë </w:t>
      </w:r>
      <w:r w:rsidRPr="00641640">
        <w:rPr>
          <w:rFonts w:ascii="Times New Roman" w:hAnsi="Times New Roman" w:cs="Times New Roman"/>
          <w:i/>
          <w:noProof/>
          <w:sz w:val="24"/>
          <w:szCs w:val="24"/>
          <w:lang w:val="sq-AL"/>
        </w:rPr>
        <w:t>(CoG)</w:t>
      </w:r>
      <w:r w:rsidR="00E73ED9" w:rsidRPr="00641640">
        <w:rPr>
          <w:rFonts w:ascii="Times New Roman" w:hAnsi="Times New Roman" w:cs="Times New Roman"/>
          <w:i/>
          <w:noProof/>
          <w:sz w:val="24"/>
          <w:szCs w:val="24"/>
          <w:lang w:val="sq-AL"/>
        </w:rPr>
        <w:t>,</w:t>
      </w:r>
      <w:r w:rsidR="00E73ED9" w:rsidRPr="00641640">
        <w:rPr>
          <w:rFonts w:ascii="Times New Roman" w:hAnsi="Times New Roman" w:cs="Times New Roman"/>
          <w:noProof/>
          <w:sz w:val="24"/>
          <w:szCs w:val="24"/>
          <w:lang w:val="sq-AL"/>
        </w:rPr>
        <w:t xml:space="preserve"> si</w:t>
      </w:r>
      <w:r w:rsidRPr="00641640">
        <w:rPr>
          <w:rFonts w:ascii="Times New Roman" w:hAnsi="Times New Roman" w:cs="Times New Roman"/>
          <w:noProof/>
          <w:sz w:val="24"/>
          <w:szCs w:val="24"/>
          <w:lang w:val="sq-AL"/>
        </w:rPr>
        <w:t xml:space="preserve"> dhe përcaktojnë rregulla dhe procedura të qarta për proceset vendimmarrëse të Qeverisë</w:t>
      </w:r>
      <w:r w:rsidR="00E73ED9" w:rsidRPr="00641640">
        <w:rPr>
          <w:rFonts w:ascii="Times New Roman" w:hAnsi="Times New Roman" w:cs="Times New Roman"/>
          <w:noProof/>
          <w:sz w:val="24"/>
          <w:szCs w:val="24"/>
          <w:lang w:val="sq-AL"/>
        </w:rPr>
        <w:t>;</w:t>
      </w:r>
    </w:p>
    <w:p w14:paraId="2739FC49" w14:textId="66FC93E9" w:rsidR="002D647C" w:rsidRPr="00641640" w:rsidRDefault="009E764A" w:rsidP="003A395D">
      <w:pPr>
        <w:pStyle w:val="ListParagraph"/>
        <w:numPr>
          <w:ilvl w:val="0"/>
          <w:numId w:val="5"/>
        </w:numPr>
        <w:spacing w:line="276" w:lineRule="auto"/>
        <w:jc w:val="both"/>
        <w:rPr>
          <w:rFonts w:ascii="Times New Roman" w:hAnsi="Times New Roman" w:cs="Times New Roman"/>
          <w:noProof/>
          <w:sz w:val="24"/>
          <w:szCs w:val="24"/>
          <w:lang w:val="sq-AL"/>
        </w:rPr>
      </w:pPr>
      <w:r w:rsidRPr="00641640">
        <w:rPr>
          <w:rFonts w:ascii="Times New Roman" w:hAnsi="Times New Roman" w:cs="Times New Roman"/>
          <w:b/>
          <w:bCs/>
          <w:noProof/>
          <w:sz w:val="24"/>
          <w:szCs w:val="24"/>
          <w:lang w:val="sq-AL"/>
        </w:rPr>
        <w:t>Ligji nr. 90/2012 “Për organizimin dhe funksionimin e administrat</w:t>
      </w:r>
      <w:r w:rsidR="00E479F0" w:rsidRPr="00641640">
        <w:rPr>
          <w:rFonts w:ascii="Times New Roman" w:hAnsi="Times New Roman" w:cs="Times New Roman"/>
          <w:b/>
          <w:bCs/>
          <w:noProof/>
          <w:sz w:val="24"/>
          <w:szCs w:val="24"/>
          <w:lang w:val="sq-AL"/>
        </w:rPr>
        <w:t>ë</w:t>
      </w:r>
      <w:r w:rsidRPr="00641640">
        <w:rPr>
          <w:rFonts w:ascii="Times New Roman" w:hAnsi="Times New Roman" w:cs="Times New Roman"/>
          <w:b/>
          <w:bCs/>
          <w:noProof/>
          <w:sz w:val="24"/>
          <w:szCs w:val="24"/>
          <w:lang w:val="sq-AL"/>
        </w:rPr>
        <w:t>s shtetërore”</w:t>
      </w:r>
      <w:r w:rsidR="002D647C" w:rsidRPr="00641640">
        <w:rPr>
          <w:rStyle w:val="FootnoteReference"/>
          <w:rFonts w:ascii="Times New Roman" w:hAnsi="Times New Roman" w:cs="Times New Roman"/>
          <w:b/>
          <w:bCs/>
          <w:noProof/>
          <w:sz w:val="24"/>
          <w:szCs w:val="24"/>
          <w:lang w:val="sq-AL"/>
        </w:rPr>
        <w:footnoteReference w:id="6"/>
      </w:r>
      <w:r w:rsidR="006B2BDC"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përcakton kornizën e përgjithshme për krijimin, funksionimin dhe ndërtimin e brendshëm të institucioneve të administratës shtetërore. Në zbatim të këtij ligji</w:t>
      </w:r>
      <w:r w:rsidR="006B2BDC" w:rsidRPr="00641640">
        <w:rPr>
          <w:rFonts w:ascii="Times New Roman" w:hAnsi="Times New Roman" w:cs="Times New Roman"/>
          <w:noProof/>
          <w:sz w:val="24"/>
          <w:szCs w:val="24"/>
          <w:lang w:val="sq-AL"/>
        </w:rPr>
        <w:t xml:space="preserve">, Këshilli i Ministrave ka </w:t>
      </w:r>
      <w:r w:rsidRPr="00641640">
        <w:rPr>
          <w:rFonts w:ascii="Times New Roman" w:hAnsi="Times New Roman" w:cs="Times New Roman"/>
          <w:noProof/>
          <w:sz w:val="24"/>
          <w:szCs w:val="24"/>
          <w:lang w:val="sq-AL"/>
        </w:rPr>
        <w:t>miratuar</w:t>
      </w:r>
      <w:r w:rsidR="00F35E17" w:rsidRPr="00641640">
        <w:rPr>
          <w:rFonts w:ascii="Times New Roman" w:hAnsi="Times New Roman" w:cs="Times New Roman"/>
          <w:noProof/>
          <w:sz w:val="24"/>
          <w:szCs w:val="24"/>
          <w:lang w:val="sq-AL"/>
        </w:rPr>
        <w:t xml:space="preserve"> si</w:t>
      </w:r>
      <w:r w:rsidR="006B2BDC"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akt</w:t>
      </w:r>
      <w:r w:rsidR="002D647C"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 nënligjor</w:t>
      </w:r>
      <w:r w:rsidR="002D647C" w:rsidRPr="00641640">
        <w:rPr>
          <w:rFonts w:ascii="Times New Roman" w:hAnsi="Times New Roman" w:cs="Times New Roman"/>
          <w:noProof/>
          <w:sz w:val="24"/>
          <w:szCs w:val="24"/>
          <w:lang w:val="sq-AL"/>
        </w:rPr>
        <w:t>e</w:t>
      </w:r>
      <w:r w:rsidR="00F35E17" w:rsidRPr="00641640">
        <w:rPr>
          <w:rFonts w:ascii="Times New Roman" w:hAnsi="Times New Roman" w:cs="Times New Roman"/>
          <w:noProof/>
          <w:sz w:val="24"/>
          <w:szCs w:val="24"/>
          <w:lang w:val="sq-AL"/>
        </w:rPr>
        <w:t xml:space="preserve"> </w:t>
      </w:r>
      <w:r w:rsidR="0061526C" w:rsidRPr="00641640">
        <w:rPr>
          <w:rFonts w:ascii="Times New Roman" w:hAnsi="Times New Roman" w:cs="Times New Roman"/>
          <w:noProof/>
          <w:sz w:val="24"/>
          <w:szCs w:val="24"/>
          <w:lang w:val="sq-AL"/>
        </w:rPr>
        <w:t>p</w:t>
      </w:r>
      <w:r w:rsidR="00DA5C1F" w:rsidRPr="00641640">
        <w:rPr>
          <w:rFonts w:ascii="Times New Roman" w:hAnsi="Times New Roman" w:cs="Times New Roman"/>
          <w:noProof/>
          <w:sz w:val="24"/>
          <w:szCs w:val="24"/>
          <w:lang w:val="sq-AL"/>
        </w:rPr>
        <w:t>ë</w:t>
      </w:r>
      <w:r w:rsidR="0061526C" w:rsidRPr="00641640">
        <w:rPr>
          <w:rFonts w:ascii="Times New Roman" w:hAnsi="Times New Roman" w:cs="Times New Roman"/>
          <w:noProof/>
          <w:sz w:val="24"/>
          <w:szCs w:val="24"/>
          <w:lang w:val="sq-AL"/>
        </w:rPr>
        <w:t>rkat</w:t>
      </w:r>
      <w:r w:rsidR="00DA5C1F" w:rsidRPr="00641640">
        <w:rPr>
          <w:rFonts w:ascii="Times New Roman" w:hAnsi="Times New Roman" w:cs="Times New Roman"/>
          <w:noProof/>
          <w:sz w:val="24"/>
          <w:szCs w:val="24"/>
          <w:lang w:val="sq-AL"/>
        </w:rPr>
        <w:t>ë</w:t>
      </w:r>
      <w:r w:rsidR="0061526C" w:rsidRPr="00641640">
        <w:rPr>
          <w:rFonts w:ascii="Times New Roman" w:hAnsi="Times New Roman" w:cs="Times New Roman"/>
          <w:noProof/>
          <w:sz w:val="24"/>
          <w:szCs w:val="24"/>
          <w:lang w:val="sq-AL"/>
        </w:rPr>
        <w:t xml:space="preserve">sisht: (i) VKM </w:t>
      </w:r>
      <w:r w:rsidR="00BB4777" w:rsidRPr="00641640">
        <w:rPr>
          <w:rFonts w:ascii="Times New Roman" w:hAnsi="Times New Roman" w:cs="Times New Roman"/>
          <w:noProof/>
          <w:sz w:val="24"/>
          <w:szCs w:val="24"/>
          <w:lang w:val="sq-AL"/>
        </w:rPr>
        <w:t>n</w:t>
      </w:r>
      <w:r w:rsidR="0061526C" w:rsidRPr="00641640">
        <w:rPr>
          <w:rFonts w:ascii="Times New Roman" w:hAnsi="Times New Roman" w:cs="Times New Roman"/>
          <w:noProof/>
          <w:sz w:val="24"/>
          <w:szCs w:val="24"/>
          <w:lang w:val="sq-AL"/>
        </w:rPr>
        <w:t>r. 867, datë 10.12.2014, “</w:t>
      </w:r>
      <w:r w:rsidR="0061526C" w:rsidRPr="00C10B6F">
        <w:rPr>
          <w:rFonts w:ascii="Times New Roman" w:hAnsi="Times New Roman" w:cs="Times New Roman"/>
          <w:i/>
          <w:iCs/>
          <w:noProof/>
          <w:sz w:val="24"/>
          <w:szCs w:val="24"/>
          <w:lang w:val="sq-AL"/>
        </w:rPr>
        <w:t xml:space="preserve">Për </w:t>
      </w:r>
      <w:r w:rsidR="00BB4777" w:rsidRPr="00C10B6F">
        <w:rPr>
          <w:rFonts w:ascii="Times New Roman" w:hAnsi="Times New Roman" w:cs="Times New Roman"/>
          <w:i/>
          <w:iCs/>
          <w:noProof/>
          <w:sz w:val="24"/>
          <w:szCs w:val="24"/>
          <w:lang w:val="sq-AL"/>
        </w:rPr>
        <w:t>p</w:t>
      </w:r>
      <w:r w:rsidR="0061526C" w:rsidRPr="00C10B6F">
        <w:rPr>
          <w:rFonts w:ascii="Times New Roman" w:hAnsi="Times New Roman" w:cs="Times New Roman"/>
          <w:i/>
          <w:iCs/>
          <w:noProof/>
          <w:sz w:val="24"/>
          <w:szCs w:val="24"/>
          <w:lang w:val="sq-AL"/>
        </w:rPr>
        <w:t>rocedurat e bashkëpunimit në institucionet e administratës shtetërore</w:t>
      </w:r>
      <w:r w:rsidR="0061526C" w:rsidRPr="00641640">
        <w:rPr>
          <w:rFonts w:ascii="Times New Roman" w:hAnsi="Times New Roman" w:cs="Times New Roman"/>
          <w:noProof/>
          <w:sz w:val="24"/>
          <w:szCs w:val="24"/>
          <w:lang w:val="sq-AL"/>
        </w:rPr>
        <w:t xml:space="preserve">”, </w:t>
      </w:r>
      <w:r w:rsidR="003063D4" w:rsidRPr="00641640">
        <w:rPr>
          <w:rFonts w:ascii="Times New Roman" w:hAnsi="Times New Roman" w:cs="Times New Roman"/>
          <w:noProof/>
          <w:sz w:val="24"/>
          <w:szCs w:val="24"/>
          <w:lang w:val="sq-AL"/>
        </w:rPr>
        <w:t xml:space="preserve">të ndryshuar </w:t>
      </w:r>
      <w:r w:rsidR="0061526C" w:rsidRPr="00641640">
        <w:rPr>
          <w:rFonts w:ascii="Times New Roman" w:hAnsi="Times New Roman" w:cs="Times New Roman"/>
          <w:noProof/>
          <w:sz w:val="24"/>
          <w:szCs w:val="24"/>
          <w:lang w:val="sq-AL"/>
        </w:rPr>
        <w:t>që ka si synim rregullimin e mënyrës së bashkëpunimit nëpërmjet kërkimit të të dhënave, informacionit, ndihmës së nevojshme, ngritjes së grupeve të përbashkëta të punës për hartimin e strategjive, politikave, akteve dhe krijimit të njësive të përbashkëta për të kryer detyra administrative ndërmjet institucioneve të administratës shtetërore me qëllim mirëfunksionimin e aparatit dhe veprimtarisë shtetërore, si edhe realizimin e detyrave administrative me shpejtësi, efikasitet dhe besueshmëri; dhe (ii</w:t>
      </w:r>
      <w:r w:rsidR="0061526C" w:rsidRPr="002A038A">
        <w:rPr>
          <w:rFonts w:ascii="Times New Roman" w:hAnsi="Times New Roman" w:cs="Times New Roman"/>
          <w:noProof/>
          <w:sz w:val="24"/>
          <w:szCs w:val="24"/>
          <w:lang w:val="sq-AL"/>
        </w:rPr>
        <w:t xml:space="preserve">) </w:t>
      </w:r>
      <w:r w:rsidR="00BB0CD3" w:rsidRPr="002A038A">
        <w:rPr>
          <w:rFonts w:ascii="Times New Roman" w:hAnsi="Times New Roman" w:cs="Times New Roman"/>
          <w:noProof/>
          <w:sz w:val="24"/>
          <w:szCs w:val="24"/>
          <w:lang w:val="sq-AL"/>
        </w:rPr>
        <w:t>VKM nr. 893, dat</w:t>
      </w:r>
      <w:r w:rsidR="00447F02" w:rsidRPr="002A038A">
        <w:rPr>
          <w:rFonts w:ascii="Times New Roman" w:hAnsi="Times New Roman" w:cs="Times New Roman"/>
          <w:noProof/>
          <w:sz w:val="24"/>
          <w:szCs w:val="24"/>
          <w:lang w:val="sq-AL"/>
        </w:rPr>
        <w:t>ë</w:t>
      </w:r>
      <w:r w:rsidR="00BB0CD3" w:rsidRPr="002A038A">
        <w:rPr>
          <w:rFonts w:ascii="Times New Roman" w:hAnsi="Times New Roman" w:cs="Times New Roman"/>
          <w:noProof/>
          <w:sz w:val="24"/>
          <w:szCs w:val="24"/>
          <w:lang w:val="sq-AL"/>
        </w:rPr>
        <w:t xml:space="preserve"> 17.12.2014</w:t>
      </w:r>
      <w:r w:rsidR="00EF0180" w:rsidRPr="002A038A">
        <w:rPr>
          <w:rFonts w:ascii="Times New Roman" w:hAnsi="Times New Roman" w:cs="Times New Roman"/>
          <w:noProof/>
          <w:sz w:val="24"/>
          <w:szCs w:val="24"/>
          <w:lang w:val="sq-AL"/>
        </w:rPr>
        <w:t>,</w:t>
      </w:r>
      <w:r w:rsidR="007F0B16" w:rsidRPr="002A038A">
        <w:rPr>
          <w:rStyle w:val="FootnoteReference"/>
          <w:rFonts w:ascii="Times New Roman" w:hAnsi="Times New Roman" w:cs="Times New Roman"/>
          <w:noProof/>
          <w:sz w:val="24"/>
          <w:szCs w:val="24"/>
          <w:lang w:val="sq-AL"/>
        </w:rPr>
        <w:footnoteReference w:id="7"/>
      </w:r>
      <w:r w:rsidR="007F0B16" w:rsidRPr="00641640">
        <w:rPr>
          <w:rFonts w:ascii="Times New Roman" w:hAnsi="Times New Roman" w:cs="Times New Roman"/>
          <w:noProof/>
          <w:sz w:val="24"/>
          <w:szCs w:val="24"/>
          <w:lang w:val="sq-AL"/>
        </w:rPr>
        <w:t xml:space="preserve"> t</w:t>
      </w:r>
      <w:r w:rsidR="00AE1D11" w:rsidRPr="00641640">
        <w:rPr>
          <w:rFonts w:ascii="Times New Roman" w:hAnsi="Times New Roman" w:cs="Times New Roman"/>
          <w:noProof/>
          <w:sz w:val="24"/>
          <w:szCs w:val="24"/>
          <w:lang w:val="sq-AL"/>
        </w:rPr>
        <w:t>ë</w:t>
      </w:r>
      <w:r w:rsidR="007F0B16" w:rsidRPr="00641640">
        <w:rPr>
          <w:rFonts w:ascii="Times New Roman" w:hAnsi="Times New Roman" w:cs="Times New Roman"/>
          <w:noProof/>
          <w:sz w:val="24"/>
          <w:szCs w:val="24"/>
          <w:lang w:val="sq-AL"/>
        </w:rPr>
        <w:t xml:space="preserve"> ndryshuar</w:t>
      </w:r>
      <w:r w:rsidR="00F35E17" w:rsidRPr="00641640">
        <w:rPr>
          <w:rFonts w:ascii="Times New Roman" w:hAnsi="Times New Roman" w:cs="Times New Roman"/>
          <w:noProof/>
          <w:sz w:val="24"/>
          <w:szCs w:val="24"/>
          <w:lang w:val="sq-AL"/>
        </w:rPr>
        <w:t xml:space="preserve"> q</w:t>
      </w:r>
      <w:r w:rsidR="007F00FB" w:rsidRPr="00641640">
        <w:rPr>
          <w:rFonts w:ascii="Times New Roman" w:hAnsi="Times New Roman" w:cs="Times New Roman"/>
          <w:noProof/>
          <w:sz w:val="24"/>
          <w:szCs w:val="24"/>
          <w:lang w:val="sq-AL"/>
        </w:rPr>
        <w:t>ë</w:t>
      </w:r>
      <w:r w:rsidR="00BB0CD3" w:rsidRPr="00641640">
        <w:rPr>
          <w:rFonts w:ascii="Times New Roman" w:hAnsi="Times New Roman" w:cs="Times New Roman"/>
          <w:noProof/>
          <w:sz w:val="24"/>
          <w:szCs w:val="24"/>
          <w:lang w:val="sq-AL"/>
        </w:rPr>
        <w:t xml:space="preserve"> përcakton rregullat e organizimit dhe të funksionimit të kabineteve ndihmëse, të organizimit të brendshëm të institucioneve të administratës shtetërore, si dhe procedura</w:t>
      </w:r>
      <w:r w:rsidR="00F35E17" w:rsidRPr="00641640">
        <w:rPr>
          <w:rFonts w:ascii="Times New Roman" w:hAnsi="Times New Roman" w:cs="Times New Roman"/>
          <w:noProof/>
          <w:sz w:val="24"/>
          <w:szCs w:val="24"/>
          <w:lang w:val="sq-AL"/>
        </w:rPr>
        <w:t>t</w:t>
      </w:r>
      <w:r w:rsidR="00BB0CD3" w:rsidRPr="00641640">
        <w:rPr>
          <w:rFonts w:ascii="Times New Roman" w:hAnsi="Times New Roman" w:cs="Times New Roman"/>
          <w:noProof/>
          <w:sz w:val="24"/>
          <w:szCs w:val="24"/>
          <w:lang w:val="sq-AL"/>
        </w:rPr>
        <w:t xml:space="preserve"> për përgatitjen, propozimin, konsultimin dhe miratimin e </w:t>
      </w:r>
      <w:r w:rsidR="00BB0CD3" w:rsidRPr="00641640">
        <w:rPr>
          <w:rFonts w:ascii="Times New Roman" w:hAnsi="Times New Roman" w:cs="Times New Roman"/>
          <w:noProof/>
          <w:sz w:val="24"/>
          <w:szCs w:val="24"/>
          <w:lang w:val="sq-AL"/>
        </w:rPr>
        <w:lastRenderedPageBreak/>
        <w:t>organizimit të brendshëm.</w:t>
      </w:r>
      <w:r w:rsidR="00B866EE" w:rsidRPr="00641640">
        <w:rPr>
          <w:rFonts w:ascii="Times New Roman" w:hAnsi="Times New Roman" w:cs="Times New Roman"/>
          <w:noProof/>
          <w:sz w:val="24"/>
          <w:szCs w:val="24"/>
          <w:lang w:val="sq-AL"/>
        </w:rPr>
        <w:t xml:space="preserve"> </w:t>
      </w:r>
      <w:r w:rsidR="00F35E17" w:rsidRPr="00641640">
        <w:rPr>
          <w:rFonts w:ascii="Times New Roman" w:hAnsi="Times New Roman" w:cs="Times New Roman"/>
          <w:noProof/>
          <w:sz w:val="24"/>
          <w:szCs w:val="24"/>
          <w:lang w:val="sq-AL"/>
        </w:rPr>
        <w:t>Nd</w:t>
      </w:r>
      <w:r w:rsidR="007F00FB" w:rsidRPr="00641640">
        <w:rPr>
          <w:rFonts w:ascii="Times New Roman" w:hAnsi="Times New Roman" w:cs="Times New Roman"/>
          <w:noProof/>
          <w:sz w:val="24"/>
          <w:szCs w:val="24"/>
          <w:lang w:val="sq-AL"/>
        </w:rPr>
        <w:t>ë</w:t>
      </w:r>
      <w:r w:rsidR="00F35E17" w:rsidRPr="00641640">
        <w:rPr>
          <w:rFonts w:ascii="Times New Roman" w:hAnsi="Times New Roman" w:cs="Times New Roman"/>
          <w:noProof/>
          <w:sz w:val="24"/>
          <w:szCs w:val="24"/>
          <w:lang w:val="sq-AL"/>
        </w:rPr>
        <w:t>rkoh</w:t>
      </w:r>
      <w:r w:rsidR="007F00FB" w:rsidRPr="00641640">
        <w:rPr>
          <w:rFonts w:ascii="Times New Roman" w:hAnsi="Times New Roman" w:cs="Times New Roman"/>
          <w:noProof/>
          <w:sz w:val="24"/>
          <w:szCs w:val="24"/>
          <w:lang w:val="sq-AL"/>
        </w:rPr>
        <w:t>ë</w:t>
      </w:r>
      <w:r w:rsidR="00F35E17" w:rsidRPr="00641640">
        <w:rPr>
          <w:rFonts w:ascii="Times New Roman" w:hAnsi="Times New Roman" w:cs="Times New Roman"/>
          <w:noProof/>
          <w:sz w:val="24"/>
          <w:szCs w:val="24"/>
          <w:lang w:val="sq-AL"/>
        </w:rPr>
        <w:t>, j</w:t>
      </w:r>
      <w:r w:rsidR="00B866EE" w:rsidRPr="00641640">
        <w:rPr>
          <w:rFonts w:ascii="Times New Roman" w:hAnsi="Times New Roman" w:cs="Times New Roman"/>
          <w:noProof/>
          <w:sz w:val="24"/>
          <w:szCs w:val="24"/>
          <w:lang w:val="sq-AL"/>
        </w:rPr>
        <w:t xml:space="preserve">anë planifikuar </w:t>
      </w:r>
      <w:r w:rsidR="00F35E17" w:rsidRPr="00641640">
        <w:rPr>
          <w:rFonts w:ascii="Times New Roman" w:hAnsi="Times New Roman" w:cs="Times New Roman"/>
          <w:noProof/>
          <w:sz w:val="24"/>
          <w:szCs w:val="24"/>
          <w:lang w:val="sq-AL"/>
        </w:rPr>
        <w:t xml:space="preserve">edhe </w:t>
      </w:r>
      <w:r w:rsidR="00B866EE" w:rsidRPr="00641640">
        <w:rPr>
          <w:rFonts w:ascii="Times New Roman" w:hAnsi="Times New Roman" w:cs="Times New Roman"/>
          <w:noProof/>
          <w:sz w:val="24"/>
          <w:szCs w:val="24"/>
          <w:lang w:val="sq-AL"/>
        </w:rPr>
        <w:t>përmirësime të ligjit ekzistue</w:t>
      </w:r>
      <w:r w:rsidR="00F35E17" w:rsidRPr="00641640">
        <w:rPr>
          <w:rFonts w:ascii="Times New Roman" w:hAnsi="Times New Roman" w:cs="Times New Roman"/>
          <w:noProof/>
          <w:sz w:val="24"/>
          <w:szCs w:val="24"/>
          <w:lang w:val="sq-AL"/>
        </w:rPr>
        <w:t>s</w:t>
      </w:r>
      <w:r w:rsidR="00B866EE" w:rsidRPr="00641640">
        <w:rPr>
          <w:rFonts w:ascii="Times New Roman" w:hAnsi="Times New Roman" w:cs="Times New Roman"/>
          <w:noProof/>
          <w:sz w:val="24"/>
          <w:szCs w:val="24"/>
          <w:lang w:val="sq-AL"/>
        </w:rPr>
        <w:t>, me objektiv përafrimi</w:t>
      </w:r>
      <w:r w:rsidR="0061526C" w:rsidRPr="00641640">
        <w:rPr>
          <w:rFonts w:ascii="Times New Roman" w:hAnsi="Times New Roman" w:cs="Times New Roman"/>
          <w:noProof/>
          <w:sz w:val="24"/>
          <w:szCs w:val="24"/>
          <w:lang w:val="sq-AL"/>
        </w:rPr>
        <w:t>n</w:t>
      </w:r>
      <w:r w:rsidR="00B866EE" w:rsidRPr="00641640">
        <w:rPr>
          <w:rFonts w:ascii="Times New Roman" w:hAnsi="Times New Roman" w:cs="Times New Roman"/>
          <w:noProof/>
          <w:sz w:val="24"/>
          <w:szCs w:val="24"/>
          <w:lang w:val="sq-AL"/>
        </w:rPr>
        <w:t xml:space="preserve"> me standardet e BE-së</w:t>
      </w:r>
      <w:r w:rsidR="006B257A">
        <w:rPr>
          <w:rFonts w:ascii="Times New Roman" w:hAnsi="Times New Roman" w:cs="Times New Roman"/>
          <w:noProof/>
          <w:sz w:val="24"/>
          <w:szCs w:val="24"/>
          <w:lang w:val="sq-AL"/>
        </w:rPr>
        <w:t>;</w:t>
      </w:r>
      <w:r w:rsidR="002D647C" w:rsidRPr="00641640">
        <w:rPr>
          <w:rFonts w:ascii="Times New Roman" w:hAnsi="Times New Roman" w:cs="Times New Roman"/>
          <w:noProof/>
          <w:sz w:val="24"/>
          <w:szCs w:val="24"/>
          <w:lang w:val="sq-AL"/>
        </w:rPr>
        <w:t xml:space="preserve"> </w:t>
      </w:r>
    </w:p>
    <w:p w14:paraId="0CE90EC8" w14:textId="29F55539" w:rsidR="0050541E" w:rsidRPr="00641640" w:rsidRDefault="0050541E" w:rsidP="003A395D">
      <w:pPr>
        <w:pStyle w:val="ListParagraph"/>
        <w:numPr>
          <w:ilvl w:val="0"/>
          <w:numId w:val="5"/>
        </w:numPr>
        <w:spacing w:line="276" w:lineRule="auto"/>
        <w:jc w:val="both"/>
        <w:rPr>
          <w:rFonts w:ascii="Times New Roman" w:hAnsi="Times New Roman" w:cs="Times New Roman"/>
          <w:noProof/>
          <w:sz w:val="24"/>
          <w:szCs w:val="24"/>
          <w:lang w:val="sq-AL"/>
        </w:rPr>
      </w:pPr>
      <w:r w:rsidRPr="00641640">
        <w:rPr>
          <w:rFonts w:ascii="Times New Roman" w:hAnsi="Times New Roman" w:cs="Times New Roman"/>
          <w:b/>
          <w:bCs/>
          <w:noProof/>
          <w:sz w:val="24"/>
          <w:szCs w:val="24"/>
          <w:lang w:val="sq-AL"/>
        </w:rPr>
        <w:t xml:space="preserve">Ligji 152/2013 “Për </w:t>
      </w:r>
      <w:r w:rsidR="003063D4" w:rsidRPr="00641640">
        <w:rPr>
          <w:rFonts w:ascii="Times New Roman" w:hAnsi="Times New Roman" w:cs="Times New Roman"/>
          <w:b/>
          <w:bCs/>
          <w:noProof/>
          <w:sz w:val="24"/>
          <w:szCs w:val="24"/>
          <w:lang w:val="sq-AL"/>
        </w:rPr>
        <w:t>n</w:t>
      </w:r>
      <w:r w:rsidRPr="00641640">
        <w:rPr>
          <w:rFonts w:ascii="Times New Roman" w:hAnsi="Times New Roman" w:cs="Times New Roman"/>
          <w:b/>
          <w:bCs/>
          <w:noProof/>
          <w:sz w:val="24"/>
          <w:szCs w:val="24"/>
          <w:lang w:val="sq-AL"/>
        </w:rPr>
        <w:t xml:space="preserve">ëpunësin </w:t>
      </w:r>
      <w:r w:rsidR="003063D4" w:rsidRPr="00641640">
        <w:rPr>
          <w:rFonts w:ascii="Times New Roman" w:hAnsi="Times New Roman" w:cs="Times New Roman"/>
          <w:b/>
          <w:bCs/>
          <w:noProof/>
          <w:sz w:val="24"/>
          <w:szCs w:val="24"/>
          <w:lang w:val="sq-AL"/>
        </w:rPr>
        <w:t>c</w:t>
      </w:r>
      <w:r w:rsidRPr="00641640">
        <w:rPr>
          <w:rFonts w:ascii="Times New Roman" w:hAnsi="Times New Roman" w:cs="Times New Roman"/>
          <w:b/>
          <w:bCs/>
          <w:noProof/>
          <w:sz w:val="24"/>
          <w:szCs w:val="24"/>
          <w:lang w:val="sq-AL"/>
        </w:rPr>
        <w:t>ivil”</w:t>
      </w:r>
      <w:r w:rsidRPr="00641640">
        <w:rPr>
          <w:rFonts w:ascii="Times New Roman" w:hAnsi="Times New Roman" w:cs="Times New Roman"/>
          <w:noProof/>
          <w:sz w:val="24"/>
          <w:szCs w:val="24"/>
          <w:lang w:val="sq-AL"/>
        </w:rPr>
        <w:t xml:space="preserve"> dhe aktet nënligjore </w:t>
      </w:r>
      <w:r w:rsidR="00E73ED9"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E73ED9" w:rsidRPr="00641640">
        <w:rPr>
          <w:rFonts w:ascii="Times New Roman" w:hAnsi="Times New Roman" w:cs="Times New Roman"/>
          <w:noProof/>
          <w:sz w:val="24"/>
          <w:szCs w:val="24"/>
          <w:lang w:val="sq-AL"/>
        </w:rPr>
        <w:t xml:space="preserve"> miratuara </w:t>
      </w:r>
      <w:r w:rsidRPr="00641640">
        <w:rPr>
          <w:rFonts w:ascii="Times New Roman" w:hAnsi="Times New Roman" w:cs="Times New Roman"/>
          <w:noProof/>
          <w:sz w:val="24"/>
          <w:szCs w:val="24"/>
          <w:lang w:val="sq-AL"/>
        </w:rPr>
        <w:t>në zbatim të tij</w:t>
      </w:r>
      <w:r w:rsidR="00E73ED9" w:rsidRPr="00641640">
        <w:rPr>
          <w:rFonts w:ascii="Times New Roman" w:hAnsi="Times New Roman" w:cs="Times New Roman"/>
          <w:noProof/>
          <w:sz w:val="24"/>
          <w:szCs w:val="24"/>
          <w:lang w:val="sq-AL"/>
        </w:rPr>
        <w:t>, t</w:t>
      </w:r>
      <w:r w:rsidR="00064AC5" w:rsidRPr="00641640">
        <w:rPr>
          <w:rFonts w:ascii="Times New Roman" w:hAnsi="Times New Roman" w:cs="Times New Roman"/>
          <w:noProof/>
          <w:sz w:val="24"/>
          <w:szCs w:val="24"/>
          <w:lang w:val="sq-AL"/>
        </w:rPr>
        <w:t>ë</w:t>
      </w:r>
      <w:r w:rsidR="00E73ED9" w:rsidRPr="00641640">
        <w:rPr>
          <w:rFonts w:ascii="Times New Roman" w:hAnsi="Times New Roman" w:cs="Times New Roman"/>
          <w:noProof/>
          <w:sz w:val="24"/>
          <w:szCs w:val="24"/>
          <w:lang w:val="sq-AL"/>
        </w:rPr>
        <w:t xml:space="preserve"> cilat</w:t>
      </w:r>
      <w:r w:rsidR="00F35E17"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kanë mundësuar zhvillimin e një shërbimi civil profesional dhe të bazuar në meritë. </w:t>
      </w:r>
      <w:r w:rsidR="00E73ED9" w:rsidRPr="00641640">
        <w:rPr>
          <w:rFonts w:ascii="Times New Roman" w:hAnsi="Times New Roman" w:cs="Times New Roman"/>
          <w:noProof/>
          <w:sz w:val="24"/>
          <w:szCs w:val="24"/>
          <w:lang w:val="sq-AL"/>
        </w:rPr>
        <w:t>K</w:t>
      </w:r>
      <w:r w:rsidR="00C7113B" w:rsidRPr="00641640">
        <w:rPr>
          <w:rFonts w:ascii="Times New Roman" w:hAnsi="Times New Roman" w:cs="Times New Roman"/>
          <w:noProof/>
          <w:sz w:val="24"/>
          <w:szCs w:val="24"/>
          <w:lang w:val="sq-AL"/>
        </w:rPr>
        <w:t>jo korniz</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 xml:space="preserve"> ligjore</w:t>
      </w:r>
      <w:r w:rsidR="00E73ED9"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përcakton </w:t>
      </w:r>
      <w:r w:rsidR="00C7113B" w:rsidRPr="00641640">
        <w:rPr>
          <w:rFonts w:ascii="Times New Roman" w:hAnsi="Times New Roman" w:cs="Times New Roman"/>
          <w:noProof/>
          <w:sz w:val="24"/>
          <w:szCs w:val="24"/>
          <w:lang w:val="sq-AL"/>
        </w:rPr>
        <w:t>n</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 xml:space="preserve"> m</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nyr</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 xml:space="preserve"> detajuar </w:t>
      </w:r>
      <w:r w:rsidRPr="00641640">
        <w:rPr>
          <w:rFonts w:ascii="Times New Roman" w:hAnsi="Times New Roman" w:cs="Times New Roman"/>
          <w:noProof/>
          <w:sz w:val="24"/>
          <w:szCs w:val="24"/>
          <w:lang w:val="sq-AL"/>
        </w:rPr>
        <w:t>strukturat përgjegjëse për menaxhimin e shërbimit civil dhe ka krijuar një sistem karriere për nëpunësit</w:t>
      </w:r>
      <w:r w:rsidR="00C7113B" w:rsidRPr="00641640">
        <w:rPr>
          <w:rFonts w:ascii="Times New Roman" w:hAnsi="Times New Roman" w:cs="Times New Roman"/>
          <w:noProof/>
          <w:sz w:val="24"/>
          <w:szCs w:val="24"/>
          <w:lang w:val="sq-AL"/>
        </w:rPr>
        <w:t xml:space="preserve"> e sh</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rbimit civil</w:t>
      </w:r>
      <w:r w:rsidR="0061526C" w:rsidRPr="00641640">
        <w:rPr>
          <w:rFonts w:ascii="Times New Roman" w:hAnsi="Times New Roman" w:cs="Times New Roman"/>
          <w:noProof/>
          <w:sz w:val="24"/>
          <w:szCs w:val="24"/>
          <w:lang w:val="sq-AL"/>
        </w:rPr>
        <w:t>;</w:t>
      </w:r>
    </w:p>
    <w:p w14:paraId="036B0076" w14:textId="59CC6883" w:rsidR="00EF444B" w:rsidRPr="00641640" w:rsidRDefault="00F35E17" w:rsidP="003A395D">
      <w:pPr>
        <w:pStyle w:val="ListParagraph"/>
        <w:numPr>
          <w:ilvl w:val="0"/>
          <w:numId w:val="5"/>
        </w:numPr>
        <w:spacing w:line="276" w:lineRule="auto"/>
        <w:jc w:val="both"/>
        <w:rPr>
          <w:rFonts w:ascii="Times New Roman" w:hAnsi="Times New Roman" w:cs="Times New Roman"/>
          <w:noProof/>
          <w:sz w:val="24"/>
          <w:szCs w:val="24"/>
          <w:lang w:val="sq-AL"/>
        </w:rPr>
      </w:pPr>
      <w:r w:rsidRPr="00641640">
        <w:rPr>
          <w:rFonts w:ascii="Times New Roman" w:hAnsi="Times New Roman" w:cs="Times New Roman"/>
          <w:b/>
          <w:noProof/>
          <w:sz w:val="24"/>
          <w:szCs w:val="24"/>
          <w:lang w:val="sq-AL"/>
        </w:rPr>
        <w:t xml:space="preserve">Ligji </w:t>
      </w:r>
      <w:r w:rsidRPr="00641640">
        <w:rPr>
          <w:rFonts w:ascii="Times New Roman" w:hAnsi="Times New Roman" w:cs="Times New Roman"/>
          <w:b/>
          <w:bCs/>
          <w:noProof/>
          <w:sz w:val="24"/>
          <w:szCs w:val="24"/>
          <w:lang w:val="sq-AL"/>
        </w:rPr>
        <w:t xml:space="preserve">146/2014 “Për </w:t>
      </w:r>
      <w:r w:rsidR="00CD72F5" w:rsidRPr="00641640">
        <w:rPr>
          <w:rFonts w:ascii="Times New Roman" w:hAnsi="Times New Roman" w:cs="Times New Roman"/>
          <w:b/>
          <w:bCs/>
          <w:noProof/>
          <w:sz w:val="24"/>
          <w:szCs w:val="24"/>
          <w:lang w:val="sq-AL"/>
        </w:rPr>
        <w:t>n</w:t>
      </w:r>
      <w:r w:rsidRPr="00641640">
        <w:rPr>
          <w:rFonts w:ascii="Times New Roman" w:hAnsi="Times New Roman" w:cs="Times New Roman"/>
          <w:b/>
          <w:bCs/>
          <w:noProof/>
          <w:sz w:val="24"/>
          <w:szCs w:val="24"/>
          <w:lang w:val="sq-AL"/>
        </w:rPr>
        <w:t xml:space="preserve">joftimin dhe </w:t>
      </w:r>
      <w:r w:rsidR="00CD72F5" w:rsidRPr="00641640">
        <w:rPr>
          <w:rFonts w:ascii="Times New Roman" w:hAnsi="Times New Roman" w:cs="Times New Roman"/>
          <w:b/>
          <w:bCs/>
          <w:noProof/>
          <w:sz w:val="24"/>
          <w:szCs w:val="24"/>
          <w:lang w:val="sq-AL"/>
        </w:rPr>
        <w:t>k</w:t>
      </w:r>
      <w:r w:rsidRPr="00641640">
        <w:rPr>
          <w:rFonts w:ascii="Times New Roman" w:hAnsi="Times New Roman" w:cs="Times New Roman"/>
          <w:b/>
          <w:bCs/>
          <w:noProof/>
          <w:sz w:val="24"/>
          <w:szCs w:val="24"/>
          <w:lang w:val="sq-AL"/>
        </w:rPr>
        <w:t xml:space="preserve">onsultimin </w:t>
      </w:r>
      <w:r w:rsidR="00CD72F5" w:rsidRPr="00641640">
        <w:rPr>
          <w:rFonts w:ascii="Times New Roman" w:hAnsi="Times New Roman" w:cs="Times New Roman"/>
          <w:b/>
          <w:bCs/>
          <w:noProof/>
          <w:sz w:val="24"/>
          <w:szCs w:val="24"/>
          <w:lang w:val="sq-AL"/>
        </w:rPr>
        <w:t>p</w:t>
      </w:r>
      <w:r w:rsidRPr="00641640">
        <w:rPr>
          <w:rFonts w:ascii="Times New Roman" w:hAnsi="Times New Roman" w:cs="Times New Roman"/>
          <w:b/>
          <w:bCs/>
          <w:noProof/>
          <w:sz w:val="24"/>
          <w:szCs w:val="24"/>
          <w:lang w:val="sq-AL"/>
        </w:rPr>
        <w:t>ublik”</w:t>
      </w:r>
      <w:r w:rsidRPr="00641640">
        <w:rPr>
          <w:rStyle w:val="FootnoteReference"/>
          <w:rFonts w:ascii="Times New Roman" w:hAnsi="Times New Roman" w:cs="Times New Roman"/>
          <w:b/>
          <w:bCs/>
          <w:noProof/>
          <w:sz w:val="24"/>
          <w:szCs w:val="24"/>
          <w:lang w:val="sq-AL"/>
        </w:rPr>
        <w:footnoteReference w:id="8"/>
      </w:r>
      <w:r w:rsidRPr="00641640">
        <w:rPr>
          <w:rFonts w:ascii="Times New Roman" w:hAnsi="Times New Roman" w:cs="Times New Roman"/>
          <w:noProof/>
          <w:sz w:val="24"/>
          <w:szCs w:val="24"/>
          <w:lang w:val="sq-AL"/>
        </w:rPr>
        <w:t xml:space="preserve"> dhe Udhëzuesi për Procesin e Konsultimit Publik, miratuar në janar 2021</w:t>
      </w:r>
      <w:r w:rsidR="0061526C" w:rsidRPr="00641640">
        <w:rPr>
          <w:rFonts w:ascii="Times New Roman" w:hAnsi="Times New Roman" w:cs="Times New Roman"/>
          <w:noProof/>
          <w:sz w:val="24"/>
          <w:szCs w:val="24"/>
          <w:lang w:val="sq-AL"/>
        </w:rPr>
        <w:t>,</w:t>
      </w:r>
      <w:r w:rsidRPr="00641640">
        <w:rPr>
          <w:rStyle w:val="FootnoteReference"/>
          <w:rFonts w:ascii="Times New Roman" w:hAnsi="Times New Roman" w:cs="Times New Roman"/>
          <w:noProof/>
          <w:sz w:val="24"/>
          <w:szCs w:val="24"/>
          <w:lang w:val="sq-AL"/>
        </w:rPr>
        <w:footnoteReference w:id="9"/>
      </w:r>
      <w:r w:rsidRPr="00641640">
        <w:rPr>
          <w:rFonts w:ascii="Times New Roman" w:hAnsi="Times New Roman" w:cs="Times New Roman"/>
          <w:noProof/>
          <w:sz w:val="24"/>
          <w:szCs w:val="24"/>
          <w:lang w:val="sq-AL"/>
        </w:rPr>
        <w:t xml:space="preserve"> </w:t>
      </w:r>
      <w:r w:rsidR="00C7113B"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 xml:space="preserve"> cil</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t p</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rcaktojn</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k</w:t>
      </w:r>
      <w:r w:rsidR="00C7113B" w:rsidRPr="00641640">
        <w:rPr>
          <w:rFonts w:ascii="Times New Roman" w:hAnsi="Times New Roman" w:cs="Times New Roman"/>
          <w:noProof/>
          <w:sz w:val="24"/>
          <w:szCs w:val="24"/>
          <w:lang w:val="sq-AL"/>
        </w:rPr>
        <w:t xml:space="preserve">riteret </w:t>
      </w:r>
      <w:r w:rsidR="00EF444B" w:rsidRPr="00641640">
        <w:rPr>
          <w:rFonts w:ascii="Times New Roman" w:hAnsi="Times New Roman" w:cs="Times New Roman"/>
          <w:noProof/>
          <w:sz w:val="24"/>
          <w:szCs w:val="24"/>
          <w:lang w:val="sq-AL"/>
        </w:rPr>
        <w:t xml:space="preserve">dhe procedurat e konsultimit publik </w:t>
      </w:r>
      <w:r w:rsidRPr="00641640">
        <w:rPr>
          <w:rFonts w:ascii="Times New Roman" w:hAnsi="Times New Roman" w:cs="Times New Roman"/>
          <w:noProof/>
          <w:sz w:val="24"/>
          <w:szCs w:val="24"/>
          <w:lang w:val="sq-AL"/>
        </w:rPr>
        <w:t>p</w:t>
      </w:r>
      <w:r w:rsidR="007F00F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 </w:t>
      </w:r>
      <w:r w:rsidR="00EF444B" w:rsidRPr="00641640">
        <w:rPr>
          <w:rFonts w:ascii="Times New Roman" w:hAnsi="Times New Roman" w:cs="Times New Roman"/>
          <w:noProof/>
          <w:sz w:val="24"/>
          <w:szCs w:val="24"/>
          <w:lang w:val="sq-AL"/>
        </w:rPr>
        <w:t>akte</w:t>
      </w:r>
      <w:r w:rsidRPr="00641640">
        <w:rPr>
          <w:rFonts w:ascii="Times New Roman" w:hAnsi="Times New Roman" w:cs="Times New Roman"/>
          <w:noProof/>
          <w:sz w:val="24"/>
          <w:szCs w:val="24"/>
          <w:lang w:val="sq-AL"/>
        </w:rPr>
        <w:t>t</w:t>
      </w:r>
      <w:r w:rsidR="00EF444B" w:rsidRPr="00641640">
        <w:rPr>
          <w:rFonts w:ascii="Times New Roman" w:hAnsi="Times New Roman" w:cs="Times New Roman"/>
          <w:noProof/>
          <w:sz w:val="24"/>
          <w:szCs w:val="24"/>
          <w:lang w:val="sq-AL"/>
        </w:rPr>
        <w:t xml:space="preserve"> l</w:t>
      </w:r>
      <w:r w:rsidR="00C7113B" w:rsidRPr="00641640">
        <w:rPr>
          <w:rFonts w:ascii="Times New Roman" w:hAnsi="Times New Roman" w:cs="Times New Roman"/>
          <w:noProof/>
          <w:sz w:val="24"/>
          <w:szCs w:val="24"/>
          <w:lang w:val="sq-AL"/>
        </w:rPr>
        <w:t xml:space="preserve">igjore </w:t>
      </w:r>
      <w:r w:rsidR="00EF444B" w:rsidRPr="00641640">
        <w:rPr>
          <w:rFonts w:ascii="Times New Roman" w:hAnsi="Times New Roman" w:cs="Times New Roman"/>
          <w:noProof/>
          <w:sz w:val="24"/>
          <w:szCs w:val="24"/>
          <w:lang w:val="sq-AL"/>
        </w:rPr>
        <w:t>dhe dokument</w:t>
      </w:r>
      <w:r w:rsidRPr="00641640">
        <w:rPr>
          <w:rFonts w:ascii="Times New Roman" w:hAnsi="Times New Roman" w:cs="Times New Roman"/>
          <w:noProof/>
          <w:sz w:val="24"/>
          <w:szCs w:val="24"/>
          <w:lang w:val="sq-AL"/>
        </w:rPr>
        <w:t>at</w:t>
      </w:r>
      <w:r w:rsidR="00EF444B" w:rsidRPr="00641640">
        <w:rPr>
          <w:rFonts w:ascii="Times New Roman" w:hAnsi="Times New Roman" w:cs="Times New Roman"/>
          <w:noProof/>
          <w:sz w:val="24"/>
          <w:szCs w:val="24"/>
          <w:lang w:val="sq-AL"/>
        </w:rPr>
        <w:t xml:space="preserve"> strategjik</w:t>
      </w:r>
      <w:r w:rsidR="00064AC5" w:rsidRPr="00641640">
        <w:rPr>
          <w:rFonts w:ascii="Times New Roman" w:hAnsi="Times New Roman" w:cs="Times New Roman"/>
          <w:noProof/>
          <w:sz w:val="24"/>
          <w:szCs w:val="24"/>
          <w:lang w:val="sq-AL"/>
        </w:rPr>
        <w:t>ë</w:t>
      </w:r>
      <w:r w:rsidR="0061526C" w:rsidRPr="00641640">
        <w:rPr>
          <w:rFonts w:ascii="Times New Roman" w:hAnsi="Times New Roman" w:cs="Times New Roman"/>
          <w:noProof/>
          <w:sz w:val="24"/>
          <w:szCs w:val="24"/>
          <w:lang w:val="sq-AL"/>
        </w:rPr>
        <w:t>;</w:t>
      </w:r>
    </w:p>
    <w:p w14:paraId="53C7179B" w14:textId="3244A576" w:rsidR="005306DA" w:rsidRPr="00641640" w:rsidRDefault="00A74A24" w:rsidP="003A395D">
      <w:pPr>
        <w:pStyle w:val="ListParagraph"/>
        <w:numPr>
          <w:ilvl w:val="0"/>
          <w:numId w:val="5"/>
        </w:numPr>
        <w:spacing w:line="276" w:lineRule="auto"/>
        <w:jc w:val="both"/>
        <w:rPr>
          <w:rFonts w:ascii="Times New Roman" w:hAnsi="Times New Roman" w:cs="Times New Roman"/>
          <w:noProof/>
          <w:sz w:val="24"/>
          <w:szCs w:val="24"/>
          <w:lang w:val="sq-AL"/>
        </w:rPr>
      </w:pPr>
      <w:r w:rsidRPr="00641640">
        <w:rPr>
          <w:rFonts w:ascii="Times New Roman" w:hAnsi="Times New Roman" w:cs="Times New Roman"/>
          <w:b/>
          <w:bCs/>
          <w:noProof/>
          <w:sz w:val="24"/>
          <w:szCs w:val="24"/>
          <w:lang w:val="sq-AL"/>
        </w:rPr>
        <w:t>L</w:t>
      </w:r>
      <w:r w:rsidR="00FA16E3" w:rsidRPr="00641640">
        <w:rPr>
          <w:rFonts w:ascii="Times New Roman" w:hAnsi="Times New Roman" w:cs="Times New Roman"/>
          <w:b/>
          <w:bCs/>
          <w:noProof/>
          <w:sz w:val="24"/>
          <w:szCs w:val="24"/>
          <w:lang w:val="sq-AL"/>
        </w:rPr>
        <w:t xml:space="preserve">igji </w:t>
      </w:r>
      <w:r w:rsidR="0050541E" w:rsidRPr="00641640">
        <w:rPr>
          <w:rFonts w:ascii="Times New Roman" w:hAnsi="Times New Roman" w:cs="Times New Roman"/>
          <w:b/>
          <w:bCs/>
          <w:noProof/>
          <w:sz w:val="24"/>
          <w:szCs w:val="24"/>
          <w:lang w:val="sq-AL"/>
        </w:rPr>
        <w:t>119/2014</w:t>
      </w:r>
      <w:r w:rsidR="0050541E" w:rsidRPr="00641640">
        <w:rPr>
          <w:rFonts w:ascii="Times New Roman" w:hAnsi="Times New Roman" w:cs="Times New Roman"/>
          <w:noProof/>
          <w:sz w:val="24"/>
          <w:szCs w:val="24"/>
          <w:lang w:val="sq-AL"/>
        </w:rPr>
        <w:t xml:space="preserve"> </w:t>
      </w:r>
      <w:r w:rsidR="0063610E" w:rsidRPr="00641640">
        <w:rPr>
          <w:rFonts w:ascii="Times New Roman" w:hAnsi="Times New Roman" w:cs="Times New Roman"/>
          <w:b/>
          <w:noProof/>
          <w:sz w:val="24"/>
          <w:szCs w:val="24"/>
          <w:lang w:val="sq-AL"/>
        </w:rPr>
        <w:t>“P</w:t>
      </w:r>
      <w:r w:rsidR="00FA16E3" w:rsidRPr="00641640">
        <w:rPr>
          <w:rFonts w:ascii="Times New Roman" w:hAnsi="Times New Roman" w:cs="Times New Roman"/>
          <w:b/>
          <w:bCs/>
          <w:noProof/>
          <w:sz w:val="24"/>
          <w:szCs w:val="24"/>
          <w:lang w:val="sq-AL"/>
        </w:rPr>
        <w:t>ër të drejtën e informimit</w:t>
      </w:r>
      <w:r w:rsidR="0063610E" w:rsidRPr="00641640">
        <w:rPr>
          <w:rFonts w:ascii="Times New Roman" w:hAnsi="Times New Roman" w:cs="Times New Roman"/>
          <w:noProof/>
          <w:sz w:val="24"/>
          <w:szCs w:val="24"/>
          <w:lang w:val="sq-AL"/>
        </w:rPr>
        <w:t>,</w:t>
      </w:r>
      <w:r w:rsidR="00CD6839" w:rsidRPr="00641640">
        <w:rPr>
          <w:rStyle w:val="FootnoteReference"/>
          <w:rFonts w:ascii="Times New Roman" w:hAnsi="Times New Roman" w:cs="Times New Roman"/>
          <w:b/>
          <w:bCs/>
          <w:noProof/>
          <w:sz w:val="24"/>
          <w:szCs w:val="24"/>
          <w:lang w:val="sq-AL"/>
        </w:rPr>
        <w:footnoteReference w:id="10"/>
      </w:r>
      <w:r w:rsidR="0061526C" w:rsidRPr="00641640">
        <w:rPr>
          <w:rFonts w:ascii="Times New Roman" w:hAnsi="Times New Roman" w:cs="Times New Roman"/>
          <w:noProof/>
          <w:sz w:val="24"/>
          <w:szCs w:val="24"/>
          <w:lang w:val="sq-AL"/>
        </w:rPr>
        <w:t xml:space="preserve"> i ndryshuar,</w:t>
      </w:r>
      <w:r w:rsidR="00F35E17" w:rsidRPr="00641640">
        <w:rPr>
          <w:rFonts w:ascii="Times New Roman" w:hAnsi="Times New Roman" w:cs="Times New Roman"/>
          <w:noProof/>
          <w:sz w:val="24"/>
          <w:szCs w:val="24"/>
          <w:lang w:val="sq-AL"/>
        </w:rPr>
        <w:t xml:space="preserve"> </w:t>
      </w:r>
      <w:r w:rsidR="00C7113B" w:rsidRPr="00641640">
        <w:rPr>
          <w:rFonts w:ascii="Times New Roman" w:hAnsi="Times New Roman" w:cs="Times New Roman"/>
          <w:noProof/>
          <w:sz w:val="24"/>
          <w:szCs w:val="24"/>
          <w:lang w:val="sq-AL"/>
        </w:rPr>
        <w:t xml:space="preserve">i cili </w:t>
      </w:r>
      <w:r w:rsidR="00F35E17" w:rsidRPr="00641640">
        <w:rPr>
          <w:rFonts w:ascii="Times New Roman" w:hAnsi="Times New Roman" w:cs="Times New Roman"/>
          <w:noProof/>
          <w:sz w:val="24"/>
          <w:szCs w:val="24"/>
          <w:lang w:val="sq-AL"/>
        </w:rPr>
        <w:t>m</w:t>
      </w:r>
      <w:r w:rsidR="004619EC" w:rsidRPr="00641640">
        <w:rPr>
          <w:rFonts w:ascii="Times New Roman" w:hAnsi="Times New Roman" w:cs="Times New Roman"/>
          <w:noProof/>
          <w:sz w:val="24"/>
          <w:szCs w:val="24"/>
          <w:lang w:val="sq-AL"/>
        </w:rPr>
        <w:t>oderniz</w:t>
      </w:r>
      <w:r w:rsidR="00F35E17" w:rsidRPr="00641640">
        <w:rPr>
          <w:rFonts w:ascii="Times New Roman" w:hAnsi="Times New Roman" w:cs="Times New Roman"/>
          <w:noProof/>
          <w:sz w:val="24"/>
          <w:szCs w:val="24"/>
          <w:lang w:val="sq-AL"/>
        </w:rPr>
        <w:t>on</w:t>
      </w:r>
      <w:r w:rsidR="004619EC" w:rsidRPr="00641640">
        <w:rPr>
          <w:rFonts w:ascii="Times New Roman" w:hAnsi="Times New Roman" w:cs="Times New Roman"/>
          <w:noProof/>
          <w:sz w:val="24"/>
          <w:szCs w:val="24"/>
          <w:lang w:val="sq-AL"/>
        </w:rPr>
        <w:t xml:space="preserve"> k</w:t>
      </w:r>
      <w:r w:rsidR="002D647C" w:rsidRPr="00641640">
        <w:rPr>
          <w:rFonts w:ascii="Times New Roman" w:hAnsi="Times New Roman" w:cs="Times New Roman"/>
          <w:noProof/>
          <w:sz w:val="24"/>
          <w:szCs w:val="24"/>
          <w:lang w:val="sq-AL"/>
        </w:rPr>
        <w:t>ornizën</w:t>
      </w:r>
      <w:r w:rsidR="004619EC" w:rsidRPr="00641640">
        <w:rPr>
          <w:rFonts w:ascii="Times New Roman" w:hAnsi="Times New Roman" w:cs="Times New Roman"/>
          <w:noProof/>
          <w:sz w:val="24"/>
          <w:szCs w:val="24"/>
          <w:lang w:val="sq-AL"/>
        </w:rPr>
        <w:t xml:space="preserve"> rregullator</w:t>
      </w:r>
      <w:r w:rsidR="002D647C" w:rsidRPr="00641640">
        <w:rPr>
          <w:rFonts w:ascii="Times New Roman" w:hAnsi="Times New Roman" w:cs="Times New Roman"/>
          <w:noProof/>
          <w:sz w:val="24"/>
          <w:szCs w:val="24"/>
          <w:lang w:val="sq-AL"/>
        </w:rPr>
        <w:t>e</w:t>
      </w:r>
      <w:r w:rsidR="004619EC" w:rsidRPr="00641640">
        <w:rPr>
          <w:rFonts w:ascii="Times New Roman" w:hAnsi="Times New Roman" w:cs="Times New Roman"/>
          <w:noProof/>
          <w:sz w:val="24"/>
          <w:szCs w:val="24"/>
          <w:lang w:val="sq-AL"/>
        </w:rPr>
        <w:t xml:space="preserve"> kombëtar</w:t>
      </w:r>
      <w:r w:rsidR="002D647C" w:rsidRPr="00641640">
        <w:rPr>
          <w:rFonts w:ascii="Times New Roman" w:hAnsi="Times New Roman" w:cs="Times New Roman"/>
          <w:noProof/>
          <w:sz w:val="24"/>
          <w:szCs w:val="24"/>
          <w:lang w:val="sq-AL"/>
        </w:rPr>
        <w:t>e</w:t>
      </w:r>
      <w:r w:rsidR="004619EC" w:rsidRPr="00641640">
        <w:rPr>
          <w:rFonts w:ascii="Times New Roman" w:hAnsi="Times New Roman" w:cs="Times New Roman"/>
          <w:noProof/>
          <w:sz w:val="24"/>
          <w:szCs w:val="24"/>
          <w:lang w:val="sq-AL"/>
        </w:rPr>
        <w:t xml:space="preserve"> në këtë fushë</w:t>
      </w:r>
      <w:r w:rsidR="00C7113B" w:rsidRPr="00641640">
        <w:rPr>
          <w:rFonts w:ascii="Times New Roman" w:hAnsi="Times New Roman" w:cs="Times New Roman"/>
          <w:noProof/>
          <w:sz w:val="24"/>
          <w:szCs w:val="24"/>
          <w:lang w:val="sq-AL"/>
        </w:rPr>
        <w:t>. Ligji ndan</w:t>
      </w:r>
      <w:r w:rsidR="004619EC" w:rsidRPr="00641640">
        <w:rPr>
          <w:rFonts w:ascii="Times New Roman" w:hAnsi="Times New Roman" w:cs="Times New Roman"/>
          <w:noProof/>
          <w:sz w:val="24"/>
          <w:szCs w:val="24"/>
          <w:lang w:val="sq-AL"/>
        </w:rPr>
        <w:t xml:space="preserve"> të njëjtën frymë dhe qasje </w:t>
      </w:r>
      <w:r w:rsidR="00C7113B" w:rsidRPr="00641640">
        <w:rPr>
          <w:rFonts w:ascii="Times New Roman" w:hAnsi="Times New Roman" w:cs="Times New Roman"/>
          <w:noProof/>
          <w:sz w:val="24"/>
          <w:szCs w:val="24"/>
          <w:lang w:val="sq-AL"/>
        </w:rPr>
        <w:t>me</w:t>
      </w:r>
      <w:r w:rsidR="004619EC" w:rsidRPr="00641640">
        <w:rPr>
          <w:rFonts w:ascii="Times New Roman" w:hAnsi="Times New Roman" w:cs="Times New Roman"/>
          <w:noProof/>
          <w:sz w:val="24"/>
          <w:szCs w:val="24"/>
          <w:lang w:val="sq-AL"/>
        </w:rPr>
        <w:t xml:space="preserve"> Konvent</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n</w:t>
      </w:r>
      <w:r w:rsidR="004619EC" w:rsidRPr="00641640">
        <w:rPr>
          <w:rFonts w:ascii="Times New Roman" w:hAnsi="Times New Roman" w:cs="Times New Roman"/>
          <w:noProof/>
          <w:sz w:val="24"/>
          <w:szCs w:val="24"/>
          <w:lang w:val="sq-AL"/>
        </w:rPr>
        <w:t xml:space="preserve"> e Këshillit të Europës “Për aksesin në dokumentet zyrtare”, miratuar</w:t>
      </w:r>
      <w:r w:rsidR="0061526C" w:rsidRPr="00641640">
        <w:rPr>
          <w:rFonts w:ascii="Times New Roman" w:hAnsi="Times New Roman" w:cs="Times New Roman"/>
          <w:noProof/>
          <w:sz w:val="24"/>
          <w:szCs w:val="24"/>
          <w:lang w:val="sq-AL"/>
        </w:rPr>
        <w:t xml:space="preserve"> nga Kuvendi me ligjin 45/2022;</w:t>
      </w:r>
    </w:p>
    <w:p w14:paraId="7A723F0D" w14:textId="7C427114" w:rsidR="004619EC" w:rsidRPr="00641640" w:rsidRDefault="005306DA" w:rsidP="003A395D">
      <w:pPr>
        <w:pStyle w:val="ListParagraph"/>
        <w:numPr>
          <w:ilvl w:val="0"/>
          <w:numId w:val="5"/>
        </w:numPr>
        <w:spacing w:line="276" w:lineRule="auto"/>
        <w:jc w:val="both"/>
        <w:rPr>
          <w:rFonts w:ascii="Times New Roman" w:hAnsi="Times New Roman" w:cs="Times New Roman"/>
          <w:noProof/>
          <w:sz w:val="24"/>
          <w:szCs w:val="24"/>
          <w:lang w:val="sq-AL"/>
        </w:rPr>
      </w:pPr>
      <w:r w:rsidRPr="00641640">
        <w:rPr>
          <w:rFonts w:ascii="Times New Roman" w:hAnsi="Times New Roman" w:cs="Times New Roman"/>
          <w:b/>
          <w:noProof/>
          <w:sz w:val="24"/>
          <w:szCs w:val="24"/>
          <w:lang w:val="sq-AL"/>
        </w:rPr>
        <w:t>L</w:t>
      </w:r>
      <w:r w:rsidR="004619EC" w:rsidRPr="00641640">
        <w:rPr>
          <w:rFonts w:ascii="Times New Roman" w:hAnsi="Times New Roman" w:cs="Times New Roman"/>
          <w:b/>
          <w:bCs/>
          <w:noProof/>
          <w:sz w:val="24"/>
          <w:szCs w:val="24"/>
          <w:lang w:val="sq-AL"/>
        </w:rPr>
        <w:t xml:space="preserve">igji </w:t>
      </w:r>
      <w:r w:rsidR="00C7113B" w:rsidRPr="00641640">
        <w:rPr>
          <w:rFonts w:ascii="Times New Roman" w:hAnsi="Times New Roman" w:cs="Times New Roman"/>
          <w:b/>
          <w:bCs/>
          <w:noProof/>
          <w:sz w:val="24"/>
          <w:szCs w:val="24"/>
          <w:lang w:val="sq-AL"/>
        </w:rPr>
        <w:t xml:space="preserve">nr. </w:t>
      </w:r>
      <w:r w:rsidR="004619EC" w:rsidRPr="00641640">
        <w:rPr>
          <w:rFonts w:ascii="Times New Roman" w:hAnsi="Times New Roman" w:cs="Times New Roman"/>
          <w:b/>
          <w:bCs/>
          <w:noProof/>
          <w:sz w:val="24"/>
          <w:szCs w:val="24"/>
          <w:lang w:val="sq-AL"/>
        </w:rPr>
        <w:t>33/2022 “Për të dhënat e hapura dhe ripërdorimin e informacionit të sektorit publik</w:t>
      </w:r>
      <w:r w:rsidR="004619EC" w:rsidRPr="00641640">
        <w:rPr>
          <w:rFonts w:ascii="Times New Roman" w:hAnsi="Times New Roman" w:cs="Times New Roman"/>
          <w:noProof/>
          <w:sz w:val="24"/>
          <w:szCs w:val="24"/>
          <w:lang w:val="sq-AL"/>
        </w:rPr>
        <w:t>”</w:t>
      </w:r>
      <w:r w:rsidR="00C7113B" w:rsidRPr="00641640">
        <w:rPr>
          <w:rFonts w:ascii="Times New Roman" w:hAnsi="Times New Roman" w:cs="Times New Roman"/>
          <w:noProof/>
          <w:sz w:val="24"/>
          <w:szCs w:val="24"/>
          <w:lang w:val="sq-AL"/>
        </w:rPr>
        <w:t>,</w:t>
      </w:r>
      <w:r w:rsidR="00F35E17" w:rsidRPr="00641640">
        <w:rPr>
          <w:rFonts w:ascii="Times New Roman" w:hAnsi="Times New Roman" w:cs="Times New Roman"/>
          <w:noProof/>
          <w:sz w:val="24"/>
          <w:szCs w:val="24"/>
          <w:lang w:val="sq-AL"/>
        </w:rPr>
        <w:t xml:space="preserve"> i cili</w:t>
      </w:r>
      <w:r w:rsidRPr="00641640">
        <w:rPr>
          <w:rFonts w:ascii="Times New Roman" w:hAnsi="Times New Roman" w:cs="Times New Roman"/>
          <w:noProof/>
          <w:sz w:val="24"/>
          <w:szCs w:val="24"/>
          <w:lang w:val="sq-AL"/>
        </w:rPr>
        <w:t xml:space="preserve"> parashikon të drejtën e ripërdorimit të të dhënave të hapura për qëllime fitimi ose jo t</w:t>
      </w:r>
      <w:r w:rsidR="00CE42F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dokumenteve që mbahen nga organet e sektorit </w:t>
      </w:r>
      <w:r w:rsidR="00CE42FB" w:rsidRPr="00641640">
        <w:rPr>
          <w:rFonts w:ascii="Times New Roman" w:hAnsi="Times New Roman" w:cs="Times New Roman"/>
          <w:noProof/>
          <w:sz w:val="24"/>
          <w:szCs w:val="24"/>
          <w:lang w:val="sq-AL"/>
        </w:rPr>
        <w:t xml:space="preserve">publik ose sipërmarrjet publike në Republikën e Shqipërisë. Ky ligj </w:t>
      </w:r>
      <w:r w:rsidR="0063610E" w:rsidRPr="00641640">
        <w:rPr>
          <w:rFonts w:ascii="Times New Roman" w:hAnsi="Times New Roman" w:cs="Times New Roman"/>
          <w:noProof/>
          <w:sz w:val="24"/>
          <w:szCs w:val="24"/>
          <w:lang w:val="sq-AL"/>
        </w:rPr>
        <w:t>i</w:t>
      </w:r>
      <w:r w:rsidR="00CE42FB" w:rsidRPr="00641640">
        <w:rPr>
          <w:rFonts w:ascii="Times New Roman" w:hAnsi="Times New Roman" w:cs="Times New Roman"/>
          <w:noProof/>
          <w:sz w:val="24"/>
          <w:szCs w:val="24"/>
          <w:lang w:val="sq-AL"/>
        </w:rPr>
        <w:t xml:space="preserve"> shtoi zyrës</w:t>
      </w:r>
      <w:r w:rsidR="00C7113B" w:rsidRPr="00641640">
        <w:rPr>
          <w:rFonts w:ascii="Times New Roman" w:hAnsi="Times New Roman" w:cs="Times New Roman"/>
          <w:noProof/>
          <w:sz w:val="24"/>
          <w:szCs w:val="24"/>
          <w:lang w:val="sq-AL"/>
        </w:rPr>
        <w:t xml:space="preserve"> s</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 xml:space="preserve"> Komisionerit p</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r t</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 xml:space="preserve"> Drejt</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n e Informimit dhe Mbrojtjen e t</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 xml:space="preserve"> Dh</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nave Personale</w:t>
      </w:r>
      <w:r w:rsidR="004619EC" w:rsidRPr="00641640">
        <w:rPr>
          <w:rFonts w:ascii="Times New Roman" w:hAnsi="Times New Roman" w:cs="Times New Roman"/>
          <w:noProof/>
          <w:sz w:val="24"/>
          <w:szCs w:val="24"/>
          <w:lang w:val="sq-AL"/>
        </w:rPr>
        <w:t xml:space="preserve"> </w:t>
      </w:r>
      <w:r w:rsidR="00C7113B" w:rsidRPr="00641640">
        <w:rPr>
          <w:rFonts w:ascii="Times New Roman" w:hAnsi="Times New Roman" w:cs="Times New Roman"/>
          <w:noProof/>
          <w:sz w:val="24"/>
          <w:szCs w:val="24"/>
          <w:lang w:val="sq-AL"/>
        </w:rPr>
        <w:t xml:space="preserve">edhe </w:t>
      </w:r>
      <w:r w:rsidR="004619EC" w:rsidRPr="00641640">
        <w:rPr>
          <w:rFonts w:ascii="Times New Roman" w:hAnsi="Times New Roman" w:cs="Times New Roman"/>
          <w:noProof/>
          <w:sz w:val="24"/>
          <w:szCs w:val="24"/>
          <w:lang w:val="sq-AL"/>
        </w:rPr>
        <w:t>kompete</w:t>
      </w:r>
      <w:r w:rsidR="00C7113B" w:rsidRPr="00641640">
        <w:rPr>
          <w:rFonts w:ascii="Times New Roman" w:hAnsi="Times New Roman" w:cs="Times New Roman"/>
          <w:noProof/>
          <w:sz w:val="24"/>
          <w:szCs w:val="24"/>
          <w:lang w:val="sq-AL"/>
        </w:rPr>
        <w:t>nc</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n e mbik</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 xml:space="preserve">qyrjes </w:t>
      </w:r>
      <w:r w:rsidR="00CE42FB" w:rsidRPr="00641640">
        <w:rPr>
          <w:rFonts w:ascii="Times New Roman" w:hAnsi="Times New Roman" w:cs="Times New Roman"/>
          <w:noProof/>
          <w:sz w:val="24"/>
          <w:szCs w:val="24"/>
          <w:lang w:val="sq-AL"/>
        </w:rPr>
        <w:t>dhe promovimit të</w:t>
      </w:r>
      <w:r w:rsidR="004619EC" w:rsidRPr="00641640">
        <w:rPr>
          <w:rFonts w:ascii="Times New Roman" w:hAnsi="Times New Roman" w:cs="Times New Roman"/>
          <w:noProof/>
          <w:sz w:val="24"/>
          <w:szCs w:val="24"/>
          <w:lang w:val="sq-AL"/>
        </w:rPr>
        <w:t xml:space="preserve"> kësaj të drejte</w:t>
      </w:r>
      <w:r w:rsidR="00F35E17" w:rsidRPr="00641640">
        <w:rPr>
          <w:rFonts w:ascii="Times New Roman" w:hAnsi="Times New Roman" w:cs="Times New Roman"/>
          <w:noProof/>
          <w:sz w:val="24"/>
          <w:szCs w:val="24"/>
          <w:lang w:val="sq-AL"/>
        </w:rPr>
        <w:t xml:space="preserve"> duke </w:t>
      </w:r>
      <w:r w:rsidR="004619EC" w:rsidRPr="00641640">
        <w:rPr>
          <w:rFonts w:ascii="Times New Roman" w:hAnsi="Times New Roman" w:cs="Times New Roman"/>
          <w:noProof/>
          <w:sz w:val="24"/>
          <w:szCs w:val="24"/>
          <w:lang w:val="sq-AL"/>
        </w:rPr>
        <w:t>garant</w:t>
      </w:r>
      <w:r w:rsidR="00F35E17" w:rsidRPr="00641640">
        <w:rPr>
          <w:rFonts w:ascii="Times New Roman" w:hAnsi="Times New Roman" w:cs="Times New Roman"/>
          <w:noProof/>
          <w:sz w:val="24"/>
          <w:szCs w:val="24"/>
          <w:lang w:val="sq-AL"/>
        </w:rPr>
        <w:t>uar</w:t>
      </w:r>
      <w:r w:rsidR="004619EC" w:rsidRPr="00641640">
        <w:rPr>
          <w:rFonts w:ascii="Times New Roman" w:hAnsi="Times New Roman" w:cs="Times New Roman"/>
          <w:noProof/>
          <w:sz w:val="24"/>
          <w:szCs w:val="24"/>
          <w:lang w:val="sq-AL"/>
        </w:rPr>
        <w:t xml:space="preserve"> një politik</w:t>
      </w:r>
      <w:r w:rsidR="00790931" w:rsidRPr="00641640">
        <w:rPr>
          <w:rFonts w:ascii="Times New Roman" w:hAnsi="Times New Roman" w:cs="Times New Roman"/>
          <w:noProof/>
          <w:sz w:val="24"/>
          <w:szCs w:val="24"/>
          <w:lang w:val="sq-AL"/>
        </w:rPr>
        <w:t>ë</w:t>
      </w:r>
      <w:r w:rsidR="004619EC" w:rsidRPr="00641640">
        <w:rPr>
          <w:rFonts w:ascii="Times New Roman" w:hAnsi="Times New Roman" w:cs="Times New Roman"/>
          <w:noProof/>
          <w:sz w:val="24"/>
          <w:szCs w:val="24"/>
          <w:lang w:val="sq-AL"/>
        </w:rPr>
        <w:t xml:space="preserve"> </w:t>
      </w:r>
      <w:r w:rsidR="00F35E17" w:rsidRPr="00641640">
        <w:rPr>
          <w:rFonts w:ascii="Times New Roman" w:hAnsi="Times New Roman" w:cs="Times New Roman"/>
          <w:noProof/>
          <w:sz w:val="24"/>
          <w:szCs w:val="24"/>
          <w:lang w:val="sq-AL"/>
        </w:rPr>
        <w:t>t</w:t>
      </w:r>
      <w:r w:rsidR="007F00FB" w:rsidRPr="00641640">
        <w:rPr>
          <w:rFonts w:ascii="Times New Roman" w:hAnsi="Times New Roman" w:cs="Times New Roman"/>
          <w:noProof/>
          <w:sz w:val="24"/>
          <w:szCs w:val="24"/>
          <w:lang w:val="sq-AL"/>
        </w:rPr>
        <w:t>ë</w:t>
      </w:r>
      <w:r w:rsidR="004619EC" w:rsidRPr="00641640">
        <w:rPr>
          <w:rFonts w:ascii="Times New Roman" w:hAnsi="Times New Roman" w:cs="Times New Roman"/>
          <w:noProof/>
          <w:sz w:val="24"/>
          <w:szCs w:val="24"/>
          <w:lang w:val="sq-AL"/>
        </w:rPr>
        <w:t xml:space="preserve"> qartë </w:t>
      </w:r>
      <w:r w:rsidR="0067073C" w:rsidRPr="00641640">
        <w:rPr>
          <w:rFonts w:ascii="Times New Roman" w:hAnsi="Times New Roman" w:cs="Times New Roman"/>
          <w:noProof/>
          <w:sz w:val="24"/>
          <w:szCs w:val="24"/>
          <w:lang w:val="sq-AL"/>
        </w:rPr>
        <w:t>p</w:t>
      </w:r>
      <w:r w:rsidR="007F00FB" w:rsidRPr="00641640">
        <w:rPr>
          <w:rFonts w:ascii="Times New Roman" w:hAnsi="Times New Roman" w:cs="Times New Roman"/>
          <w:noProof/>
          <w:sz w:val="24"/>
          <w:szCs w:val="24"/>
          <w:lang w:val="sq-AL"/>
        </w:rPr>
        <w:t>ë</w:t>
      </w:r>
      <w:r w:rsidR="0067073C" w:rsidRPr="00641640">
        <w:rPr>
          <w:rFonts w:ascii="Times New Roman" w:hAnsi="Times New Roman" w:cs="Times New Roman"/>
          <w:noProof/>
          <w:sz w:val="24"/>
          <w:szCs w:val="24"/>
          <w:lang w:val="sq-AL"/>
        </w:rPr>
        <w:t>r</w:t>
      </w:r>
      <w:r w:rsidR="004619EC" w:rsidRPr="00641640">
        <w:rPr>
          <w:rFonts w:ascii="Times New Roman" w:hAnsi="Times New Roman" w:cs="Times New Roman"/>
          <w:noProof/>
          <w:sz w:val="24"/>
          <w:szCs w:val="24"/>
          <w:lang w:val="sq-AL"/>
        </w:rPr>
        <w:t xml:space="preserve"> inkuraj</w:t>
      </w:r>
      <w:r w:rsidR="0067073C" w:rsidRPr="00641640">
        <w:rPr>
          <w:rFonts w:ascii="Times New Roman" w:hAnsi="Times New Roman" w:cs="Times New Roman"/>
          <w:noProof/>
          <w:sz w:val="24"/>
          <w:szCs w:val="24"/>
          <w:lang w:val="sq-AL"/>
        </w:rPr>
        <w:t>imin e</w:t>
      </w:r>
      <w:r w:rsidR="004619EC" w:rsidRPr="00641640">
        <w:rPr>
          <w:rFonts w:ascii="Times New Roman" w:hAnsi="Times New Roman" w:cs="Times New Roman"/>
          <w:noProof/>
          <w:sz w:val="24"/>
          <w:szCs w:val="24"/>
          <w:lang w:val="sq-AL"/>
        </w:rPr>
        <w:t xml:space="preserve"> disponueshmëri</w:t>
      </w:r>
      <w:r w:rsidR="0067073C" w:rsidRPr="00641640">
        <w:rPr>
          <w:rFonts w:ascii="Times New Roman" w:hAnsi="Times New Roman" w:cs="Times New Roman"/>
          <w:noProof/>
          <w:sz w:val="24"/>
          <w:szCs w:val="24"/>
          <w:lang w:val="sq-AL"/>
        </w:rPr>
        <w:t>s</w:t>
      </w:r>
      <w:r w:rsidR="004619EC" w:rsidRPr="00641640">
        <w:rPr>
          <w:rFonts w:ascii="Times New Roman" w:hAnsi="Times New Roman" w:cs="Times New Roman"/>
          <w:noProof/>
          <w:sz w:val="24"/>
          <w:szCs w:val="24"/>
          <w:lang w:val="sq-AL"/>
        </w:rPr>
        <w:t xml:space="preserve">ë </w:t>
      </w:r>
      <w:r w:rsidR="0067073C" w:rsidRPr="00641640">
        <w:rPr>
          <w:rFonts w:ascii="Times New Roman" w:hAnsi="Times New Roman" w:cs="Times New Roman"/>
          <w:noProof/>
          <w:sz w:val="24"/>
          <w:szCs w:val="24"/>
          <w:lang w:val="sq-AL"/>
        </w:rPr>
        <w:t xml:space="preserve">dhe </w:t>
      </w:r>
      <w:r w:rsidR="004619EC" w:rsidRPr="00641640">
        <w:rPr>
          <w:rFonts w:ascii="Times New Roman" w:hAnsi="Times New Roman" w:cs="Times New Roman"/>
          <w:noProof/>
          <w:sz w:val="24"/>
          <w:szCs w:val="24"/>
          <w:lang w:val="sq-AL"/>
        </w:rPr>
        <w:t>ripërdorimit të informacionit të sektorit publik për qëllime private dhe tregtare. Në këtë mënyrë, k</w:t>
      </w:r>
      <w:r w:rsidR="002D647C" w:rsidRPr="00641640">
        <w:rPr>
          <w:rFonts w:ascii="Times New Roman" w:hAnsi="Times New Roman" w:cs="Times New Roman"/>
          <w:noProof/>
          <w:sz w:val="24"/>
          <w:szCs w:val="24"/>
          <w:lang w:val="sq-AL"/>
        </w:rPr>
        <w:t>orniza</w:t>
      </w:r>
      <w:r w:rsidR="004619EC" w:rsidRPr="00641640">
        <w:rPr>
          <w:rFonts w:ascii="Times New Roman" w:hAnsi="Times New Roman" w:cs="Times New Roman"/>
          <w:noProof/>
          <w:sz w:val="24"/>
          <w:szCs w:val="24"/>
          <w:lang w:val="sq-AL"/>
        </w:rPr>
        <w:t xml:space="preserve"> </w:t>
      </w:r>
      <w:r w:rsidR="002D647C" w:rsidRPr="00641640">
        <w:rPr>
          <w:rFonts w:ascii="Times New Roman" w:hAnsi="Times New Roman" w:cs="Times New Roman"/>
          <w:noProof/>
          <w:sz w:val="24"/>
          <w:szCs w:val="24"/>
          <w:lang w:val="sq-AL"/>
        </w:rPr>
        <w:t>e</w:t>
      </w:r>
      <w:r w:rsidR="004619EC" w:rsidRPr="00641640">
        <w:rPr>
          <w:rFonts w:ascii="Times New Roman" w:hAnsi="Times New Roman" w:cs="Times New Roman"/>
          <w:noProof/>
          <w:sz w:val="24"/>
          <w:szCs w:val="24"/>
          <w:lang w:val="sq-AL"/>
        </w:rPr>
        <w:t xml:space="preserve"> plotë dhe bashkëkohor</w:t>
      </w:r>
      <w:r w:rsidR="002D647C" w:rsidRPr="00641640">
        <w:rPr>
          <w:rFonts w:ascii="Times New Roman" w:hAnsi="Times New Roman" w:cs="Times New Roman"/>
          <w:noProof/>
          <w:sz w:val="24"/>
          <w:szCs w:val="24"/>
          <w:lang w:val="sq-AL"/>
        </w:rPr>
        <w:t>e</w:t>
      </w:r>
      <w:r w:rsidR="004619EC" w:rsidRPr="00641640">
        <w:rPr>
          <w:rFonts w:ascii="Times New Roman" w:hAnsi="Times New Roman" w:cs="Times New Roman"/>
          <w:noProof/>
          <w:sz w:val="24"/>
          <w:szCs w:val="24"/>
          <w:lang w:val="sq-AL"/>
        </w:rPr>
        <w:t xml:space="preserve"> </w:t>
      </w:r>
      <w:r w:rsidR="0061526C" w:rsidRPr="00641640">
        <w:rPr>
          <w:rFonts w:ascii="Times New Roman" w:hAnsi="Times New Roman" w:cs="Times New Roman"/>
          <w:noProof/>
          <w:sz w:val="24"/>
          <w:szCs w:val="24"/>
          <w:lang w:val="sq-AL"/>
        </w:rPr>
        <w:t xml:space="preserve">ligjore </w:t>
      </w:r>
      <w:r w:rsidR="002D647C" w:rsidRPr="00641640">
        <w:rPr>
          <w:rFonts w:ascii="Times New Roman" w:hAnsi="Times New Roman" w:cs="Times New Roman"/>
          <w:noProof/>
          <w:sz w:val="24"/>
          <w:szCs w:val="24"/>
          <w:lang w:val="sq-AL"/>
        </w:rPr>
        <w:t>e</w:t>
      </w:r>
      <w:r w:rsidR="004619EC" w:rsidRPr="00641640">
        <w:rPr>
          <w:rFonts w:ascii="Times New Roman" w:hAnsi="Times New Roman" w:cs="Times New Roman"/>
          <w:noProof/>
          <w:sz w:val="24"/>
          <w:szCs w:val="24"/>
          <w:lang w:val="sq-AL"/>
        </w:rPr>
        <w:t xml:space="preserve"> së drejtës së informimit e rendit Shqipërinë ndër vendet e para në botë që ofrojnë garancitë maksimale për </w:t>
      </w:r>
      <w:r w:rsidR="0067073C" w:rsidRPr="00641640">
        <w:rPr>
          <w:rFonts w:ascii="Times New Roman" w:hAnsi="Times New Roman" w:cs="Times New Roman"/>
          <w:noProof/>
          <w:sz w:val="24"/>
          <w:szCs w:val="24"/>
          <w:lang w:val="sq-AL"/>
        </w:rPr>
        <w:t xml:space="preserve">zbatimin </w:t>
      </w:r>
      <w:r w:rsidR="004619EC" w:rsidRPr="00641640">
        <w:rPr>
          <w:rFonts w:ascii="Times New Roman" w:hAnsi="Times New Roman" w:cs="Times New Roman"/>
          <w:noProof/>
          <w:sz w:val="24"/>
          <w:szCs w:val="24"/>
          <w:lang w:val="sq-AL"/>
        </w:rPr>
        <w:t>praktik</w:t>
      </w:r>
      <w:r w:rsidR="0061526C" w:rsidRPr="00641640">
        <w:rPr>
          <w:rFonts w:ascii="Times New Roman" w:hAnsi="Times New Roman" w:cs="Times New Roman"/>
          <w:noProof/>
          <w:sz w:val="24"/>
          <w:szCs w:val="24"/>
          <w:lang w:val="sq-AL"/>
        </w:rPr>
        <w:t xml:space="preserve"> t</w:t>
      </w:r>
      <w:r w:rsidR="00DA5C1F" w:rsidRPr="00641640">
        <w:rPr>
          <w:rFonts w:ascii="Times New Roman" w:hAnsi="Times New Roman" w:cs="Times New Roman"/>
          <w:noProof/>
          <w:sz w:val="24"/>
          <w:szCs w:val="24"/>
          <w:lang w:val="sq-AL"/>
        </w:rPr>
        <w:t>ë</w:t>
      </w:r>
      <w:r w:rsidR="0061526C" w:rsidRPr="00641640">
        <w:rPr>
          <w:rFonts w:ascii="Times New Roman" w:hAnsi="Times New Roman" w:cs="Times New Roman"/>
          <w:noProof/>
          <w:sz w:val="24"/>
          <w:szCs w:val="24"/>
          <w:lang w:val="sq-AL"/>
        </w:rPr>
        <w:t xml:space="preserve"> k</w:t>
      </w:r>
      <w:r w:rsidR="00DA5C1F" w:rsidRPr="00641640">
        <w:rPr>
          <w:rFonts w:ascii="Times New Roman" w:hAnsi="Times New Roman" w:cs="Times New Roman"/>
          <w:noProof/>
          <w:sz w:val="24"/>
          <w:szCs w:val="24"/>
          <w:lang w:val="sq-AL"/>
        </w:rPr>
        <w:t>ë</w:t>
      </w:r>
      <w:r w:rsidR="0061526C" w:rsidRPr="00641640">
        <w:rPr>
          <w:rFonts w:ascii="Times New Roman" w:hAnsi="Times New Roman" w:cs="Times New Roman"/>
          <w:noProof/>
          <w:sz w:val="24"/>
          <w:szCs w:val="24"/>
          <w:lang w:val="sq-AL"/>
        </w:rPr>
        <w:t>saj t</w:t>
      </w:r>
      <w:r w:rsidR="00DA5C1F" w:rsidRPr="00641640">
        <w:rPr>
          <w:rFonts w:ascii="Times New Roman" w:hAnsi="Times New Roman" w:cs="Times New Roman"/>
          <w:noProof/>
          <w:sz w:val="24"/>
          <w:szCs w:val="24"/>
          <w:lang w:val="sq-AL"/>
        </w:rPr>
        <w:t>ë</w:t>
      </w:r>
      <w:r w:rsidR="0061526C" w:rsidRPr="00641640">
        <w:rPr>
          <w:rFonts w:ascii="Times New Roman" w:hAnsi="Times New Roman" w:cs="Times New Roman"/>
          <w:noProof/>
          <w:sz w:val="24"/>
          <w:szCs w:val="24"/>
          <w:lang w:val="sq-AL"/>
        </w:rPr>
        <w:t xml:space="preserve"> drejte;</w:t>
      </w:r>
    </w:p>
    <w:p w14:paraId="764B4FCC" w14:textId="01C78859" w:rsidR="00AA471C" w:rsidRPr="00641640" w:rsidRDefault="0050541E" w:rsidP="003A395D">
      <w:pPr>
        <w:pStyle w:val="ListParagraph"/>
        <w:numPr>
          <w:ilvl w:val="0"/>
          <w:numId w:val="5"/>
        </w:numPr>
        <w:spacing w:line="276" w:lineRule="auto"/>
        <w:jc w:val="both"/>
        <w:rPr>
          <w:rFonts w:ascii="Times New Roman" w:hAnsi="Times New Roman" w:cs="Times New Roman"/>
          <w:noProof/>
          <w:sz w:val="24"/>
          <w:szCs w:val="24"/>
          <w:lang w:val="sq-AL"/>
        </w:rPr>
      </w:pPr>
      <w:r w:rsidRPr="00641640">
        <w:rPr>
          <w:rFonts w:ascii="Times New Roman" w:hAnsi="Times New Roman" w:cs="Times New Roman"/>
          <w:b/>
          <w:bCs/>
          <w:noProof/>
          <w:sz w:val="24"/>
          <w:szCs w:val="24"/>
          <w:lang w:val="sq-AL"/>
        </w:rPr>
        <w:t>L</w:t>
      </w:r>
      <w:r w:rsidR="002E475F" w:rsidRPr="00641640">
        <w:rPr>
          <w:rFonts w:ascii="Times New Roman" w:hAnsi="Times New Roman" w:cs="Times New Roman"/>
          <w:b/>
          <w:bCs/>
          <w:noProof/>
          <w:sz w:val="24"/>
          <w:szCs w:val="24"/>
          <w:lang w:val="sq-AL"/>
        </w:rPr>
        <w:t>igji nr.</w:t>
      </w:r>
      <w:r w:rsidR="0067073C" w:rsidRPr="00641640">
        <w:rPr>
          <w:rFonts w:ascii="Times New Roman" w:hAnsi="Times New Roman" w:cs="Times New Roman"/>
          <w:b/>
          <w:bCs/>
          <w:noProof/>
          <w:sz w:val="24"/>
          <w:szCs w:val="24"/>
          <w:lang w:val="sq-AL"/>
        </w:rPr>
        <w:t xml:space="preserve"> </w:t>
      </w:r>
      <w:r w:rsidR="002E475F" w:rsidRPr="00641640">
        <w:rPr>
          <w:rFonts w:ascii="Times New Roman" w:hAnsi="Times New Roman" w:cs="Times New Roman"/>
          <w:b/>
          <w:bCs/>
          <w:noProof/>
          <w:sz w:val="24"/>
          <w:szCs w:val="24"/>
          <w:lang w:val="sq-AL"/>
        </w:rPr>
        <w:t>107/2021 “Për bashkëqeverisjen”</w:t>
      </w:r>
      <w:r w:rsidR="009A1578" w:rsidRPr="009A1578">
        <w:rPr>
          <w:rFonts w:ascii="Times New Roman" w:hAnsi="Times New Roman" w:cs="Times New Roman"/>
          <w:noProof/>
          <w:sz w:val="24"/>
          <w:szCs w:val="24"/>
          <w:lang w:val="sq-AL"/>
        </w:rPr>
        <w:t>,</w:t>
      </w:r>
      <w:r w:rsidR="002D647C" w:rsidRPr="009A1578">
        <w:rPr>
          <w:rStyle w:val="FootnoteReference"/>
          <w:rFonts w:ascii="Times New Roman" w:hAnsi="Times New Roman" w:cs="Times New Roman"/>
          <w:noProof/>
          <w:sz w:val="24"/>
          <w:szCs w:val="24"/>
          <w:lang w:val="sq-AL"/>
        </w:rPr>
        <w:footnoteReference w:id="11"/>
      </w:r>
      <w:r w:rsidR="002E475F" w:rsidRPr="00641640">
        <w:rPr>
          <w:rFonts w:ascii="Times New Roman" w:hAnsi="Times New Roman" w:cs="Times New Roman"/>
          <w:noProof/>
          <w:sz w:val="24"/>
          <w:szCs w:val="24"/>
          <w:lang w:val="sq-AL"/>
        </w:rPr>
        <w:t xml:space="preserve"> </w:t>
      </w:r>
      <w:r w:rsidR="00A74DDD" w:rsidRPr="00641640">
        <w:rPr>
          <w:rFonts w:ascii="Times New Roman" w:hAnsi="Times New Roman" w:cs="Times New Roman"/>
          <w:noProof/>
          <w:sz w:val="24"/>
          <w:szCs w:val="24"/>
          <w:lang w:val="sq-AL"/>
        </w:rPr>
        <w:t xml:space="preserve">i cili rregullon </w:t>
      </w:r>
      <w:r w:rsidRPr="00641640">
        <w:rPr>
          <w:rFonts w:ascii="Times New Roman" w:hAnsi="Times New Roman" w:cs="Times New Roman"/>
          <w:noProof/>
          <w:sz w:val="24"/>
          <w:szCs w:val="24"/>
          <w:lang w:val="sq-AL"/>
        </w:rPr>
        <w:t xml:space="preserve">bashkëqeverisjen me qytetarët </w:t>
      </w:r>
      <w:r w:rsidR="00E64924" w:rsidRPr="00641640">
        <w:rPr>
          <w:rFonts w:ascii="Times New Roman" w:hAnsi="Times New Roman" w:cs="Times New Roman"/>
          <w:noProof/>
          <w:sz w:val="24"/>
          <w:szCs w:val="24"/>
          <w:lang w:val="sq-AL"/>
        </w:rPr>
        <w:t>përmes</w:t>
      </w:r>
      <w:r w:rsidR="00A74DDD" w:rsidRPr="00641640">
        <w:rPr>
          <w:rFonts w:ascii="Times New Roman" w:hAnsi="Times New Roman" w:cs="Times New Roman"/>
          <w:noProof/>
          <w:sz w:val="24"/>
          <w:szCs w:val="24"/>
          <w:lang w:val="sq-AL"/>
        </w:rPr>
        <w:t xml:space="preserve"> mekanizmave t</w:t>
      </w:r>
      <w:r w:rsidR="00E72046" w:rsidRPr="00641640">
        <w:rPr>
          <w:rFonts w:ascii="Times New Roman" w:hAnsi="Times New Roman" w:cs="Times New Roman"/>
          <w:noProof/>
          <w:sz w:val="24"/>
          <w:szCs w:val="24"/>
          <w:lang w:val="sq-AL"/>
        </w:rPr>
        <w:t>ë</w:t>
      </w:r>
      <w:r w:rsidR="00A74DDD" w:rsidRPr="00641640">
        <w:rPr>
          <w:rFonts w:ascii="Times New Roman" w:hAnsi="Times New Roman" w:cs="Times New Roman"/>
          <w:noProof/>
          <w:sz w:val="24"/>
          <w:szCs w:val="24"/>
          <w:lang w:val="sq-AL"/>
        </w:rPr>
        <w:t xml:space="preserve"> posaç</w:t>
      </w:r>
      <w:r w:rsidR="00E72046" w:rsidRPr="00641640">
        <w:rPr>
          <w:rFonts w:ascii="Times New Roman" w:hAnsi="Times New Roman" w:cs="Times New Roman"/>
          <w:noProof/>
          <w:sz w:val="24"/>
          <w:szCs w:val="24"/>
          <w:lang w:val="sq-AL"/>
        </w:rPr>
        <w:t>ë</w:t>
      </w:r>
      <w:r w:rsidR="00A74DDD" w:rsidRPr="00641640">
        <w:rPr>
          <w:rFonts w:ascii="Times New Roman" w:hAnsi="Times New Roman" w:cs="Times New Roman"/>
          <w:noProof/>
          <w:sz w:val="24"/>
          <w:szCs w:val="24"/>
          <w:lang w:val="sq-AL"/>
        </w:rPr>
        <w:t>m q</w:t>
      </w:r>
      <w:r w:rsidR="00E72046" w:rsidRPr="00641640">
        <w:rPr>
          <w:rFonts w:ascii="Times New Roman" w:hAnsi="Times New Roman" w:cs="Times New Roman"/>
          <w:noProof/>
          <w:sz w:val="24"/>
          <w:szCs w:val="24"/>
          <w:lang w:val="sq-AL"/>
        </w:rPr>
        <w:t>ë</w:t>
      </w:r>
      <w:r w:rsidR="00A74DDD" w:rsidRPr="00641640">
        <w:rPr>
          <w:rFonts w:ascii="Times New Roman" w:hAnsi="Times New Roman" w:cs="Times New Roman"/>
          <w:noProof/>
          <w:sz w:val="24"/>
          <w:szCs w:val="24"/>
          <w:lang w:val="sq-AL"/>
        </w:rPr>
        <w:t xml:space="preserve"> synojn</w:t>
      </w:r>
      <w:r w:rsidR="00E72046" w:rsidRPr="00641640">
        <w:rPr>
          <w:rFonts w:ascii="Times New Roman" w:hAnsi="Times New Roman" w:cs="Times New Roman"/>
          <w:noProof/>
          <w:sz w:val="24"/>
          <w:szCs w:val="24"/>
          <w:lang w:val="sq-AL"/>
        </w:rPr>
        <w:t>ë</w:t>
      </w:r>
      <w:r w:rsidR="00A74DDD" w:rsidRPr="00641640">
        <w:rPr>
          <w:rFonts w:ascii="Times New Roman" w:hAnsi="Times New Roman" w:cs="Times New Roman"/>
          <w:noProof/>
          <w:sz w:val="24"/>
          <w:szCs w:val="24"/>
          <w:lang w:val="sq-AL"/>
        </w:rPr>
        <w:t xml:space="preserve"> garantimin e</w:t>
      </w:r>
      <w:r w:rsidRPr="00641640">
        <w:rPr>
          <w:rFonts w:ascii="Times New Roman" w:hAnsi="Times New Roman" w:cs="Times New Roman"/>
          <w:noProof/>
          <w:sz w:val="24"/>
          <w:szCs w:val="24"/>
          <w:lang w:val="sq-AL"/>
        </w:rPr>
        <w:t xml:space="preserve"> gjithëpërfshirjes së tyre në politikëbërje</w:t>
      </w:r>
      <w:r w:rsidR="005306DA"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P</w:t>
      </w:r>
      <w:r w:rsidR="007F00F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rmes k</w:t>
      </w:r>
      <w:r w:rsidR="00E72046"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tij ligji përcaktohet mënyra e organizimit</w:t>
      </w:r>
      <w:r w:rsidR="0067073C" w:rsidRPr="00641640">
        <w:rPr>
          <w:rFonts w:ascii="Times New Roman" w:hAnsi="Times New Roman" w:cs="Times New Roman"/>
          <w:noProof/>
          <w:sz w:val="24"/>
          <w:szCs w:val="24"/>
          <w:lang w:val="sq-AL"/>
        </w:rPr>
        <w:t xml:space="preserve"> dhe </w:t>
      </w:r>
      <w:r w:rsidRPr="00641640">
        <w:rPr>
          <w:rFonts w:ascii="Times New Roman" w:hAnsi="Times New Roman" w:cs="Times New Roman"/>
          <w:noProof/>
          <w:sz w:val="24"/>
          <w:szCs w:val="24"/>
          <w:lang w:val="sq-AL"/>
        </w:rPr>
        <w:t>funksionimit</w:t>
      </w:r>
      <w:r w:rsidR="00A74DDD"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w:t>
      </w:r>
      <w:r w:rsidR="0067073C" w:rsidRPr="00641640">
        <w:rPr>
          <w:rFonts w:ascii="Times New Roman" w:hAnsi="Times New Roman" w:cs="Times New Roman"/>
          <w:noProof/>
          <w:sz w:val="24"/>
          <w:szCs w:val="24"/>
          <w:lang w:val="sq-AL"/>
        </w:rPr>
        <w:t xml:space="preserve">si </w:t>
      </w:r>
      <w:r w:rsidRPr="00641640">
        <w:rPr>
          <w:rFonts w:ascii="Times New Roman" w:hAnsi="Times New Roman" w:cs="Times New Roman"/>
          <w:noProof/>
          <w:sz w:val="24"/>
          <w:szCs w:val="24"/>
          <w:lang w:val="sq-AL"/>
        </w:rPr>
        <w:t>dhe kompetencat e Agjencisë</w:t>
      </w:r>
      <w:r w:rsidR="0061526C" w:rsidRPr="00641640">
        <w:rPr>
          <w:rFonts w:ascii="Times New Roman" w:hAnsi="Times New Roman" w:cs="Times New Roman"/>
          <w:noProof/>
          <w:sz w:val="24"/>
          <w:szCs w:val="24"/>
          <w:lang w:val="sq-AL"/>
        </w:rPr>
        <w:t xml:space="preserve"> për Dialog dhe Bashkëqeverisje</w:t>
      </w:r>
      <w:r w:rsidR="00AA471C" w:rsidRPr="00641640">
        <w:rPr>
          <w:rFonts w:ascii="Times New Roman" w:hAnsi="Times New Roman" w:cs="Times New Roman"/>
          <w:noProof/>
          <w:sz w:val="24"/>
          <w:szCs w:val="24"/>
          <w:lang w:val="sq-AL"/>
        </w:rPr>
        <w:t xml:space="preserve">, garantimi </w:t>
      </w:r>
      <w:r w:rsidR="004A272F" w:rsidRPr="00641640">
        <w:rPr>
          <w:rFonts w:ascii="Times New Roman" w:hAnsi="Times New Roman" w:cs="Times New Roman"/>
          <w:noProof/>
          <w:sz w:val="24"/>
          <w:szCs w:val="24"/>
          <w:lang w:val="sq-AL"/>
        </w:rPr>
        <w:t>i</w:t>
      </w:r>
      <w:r w:rsidR="00AA471C" w:rsidRPr="00641640">
        <w:rPr>
          <w:rFonts w:ascii="Times New Roman" w:hAnsi="Times New Roman" w:cs="Times New Roman"/>
          <w:noProof/>
          <w:sz w:val="24"/>
          <w:szCs w:val="24"/>
          <w:lang w:val="sq-AL"/>
        </w:rPr>
        <w:t xml:space="preserve"> pjesëmarrjes së tyre në procedurat administrative vendimmarrëse, rritj</w:t>
      </w:r>
      <w:r w:rsidR="00C05210" w:rsidRPr="00641640">
        <w:rPr>
          <w:rFonts w:ascii="Times New Roman" w:hAnsi="Times New Roman" w:cs="Times New Roman"/>
          <w:noProof/>
          <w:sz w:val="24"/>
          <w:szCs w:val="24"/>
          <w:lang w:val="sq-AL"/>
        </w:rPr>
        <w:t>a</w:t>
      </w:r>
      <w:r w:rsidR="00AA471C" w:rsidRPr="00641640">
        <w:rPr>
          <w:rFonts w:ascii="Times New Roman" w:hAnsi="Times New Roman" w:cs="Times New Roman"/>
          <w:noProof/>
          <w:sz w:val="24"/>
          <w:szCs w:val="24"/>
          <w:lang w:val="sq-AL"/>
        </w:rPr>
        <w:t xml:space="preserve"> e përgjegjshmërisë dhe llogaridhënies së administratës shtetërore</w:t>
      </w:r>
      <w:r w:rsidR="00C05210" w:rsidRPr="00641640">
        <w:rPr>
          <w:rFonts w:ascii="Times New Roman" w:hAnsi="Times New Roman" w:cs="Times New Roman"/>
          <w:noProof/>
          <w:sz w:val="24"/>
          <w:szCs w:val="24"/>
          <w:lang w:val="sq-AL"/>
        </w:rPr>
        <w:t>;</w:t>
      </w:r>
    </w:p>
    <w:p w14:paraId="4F68550C" w14:textId="0DF14209" w:rsidR="0050541E" w:rsidRPr="00641640" w:rsidRDefault="00D673BC" w:rsidP="003A395D">
      <w:pPr>
        <w:pStyle w:val="ListParagraph"/>
        <w:numPr>
          <w:ilvl w:val="0"/>
          <w:numId w:val="5"/>
        </w:numPr>
        <w:spacing w:line="276" w:lineRule="auto"/>
        <w:jc w:val="both"/>
        <w:rPr>
          <w:rFonts w:ascii="Times New Roman" w:hAnsi="Times New Roman" w:cs="Times New Roman"/>
          <w:noProof/>
          <w:sz w:val="24"/>
          <w:szCs w:val="24"/>
          <w:lang w:val="sq-AL"/>
        </w:rPr>
      </w:pPr>
      <w:r w:rsidRPr="00641640">
        <w:rPr>
          <w:rFonts w:ascii="Times New Roman" w:hAnsi="Times New Roman" w:cs="Times New Roman"/>
          <w:b/>
          <w:bCs/>
          <w:noProof/>
          <w:sz w:val="24"/>
          <w:szCs w:val="24"/>
          <w:lang w:val="sq-AL"/>
        </w:rPr>
        <w:t>Vendim</w:t>
      </w:r>
      <w:r w:rsidR="00007373" w:rsidRPr="00641640">
        <w:rPr>
          <w:rFonts w:ascii="Times New Roman" w:hAnsi="Times New Roman" w:cs="Times New Roman"/>
          <w:b/>
          <w:bCs/>
          <w:noProof/>
          <w:sz w:val="24"/>
          <w:szCs w:val="24"/>
          <w:lang w:val="sq-AL"/>
        </w:rPr>
        <w:t>i</w:t>
      </w:r>
      <w:r w:rsidRPr="00641640">
        <w:rPr>
          <w:rFonts w:ascii="Times New Roman" w:hAnsi="Times New Roman" w:cs="Times New Roman"/>
          <w:b/>
          <w:bCs/>
          <w:noProof/>
          <w:sz w:val="24"/>
          <w:szCs w:val="24"/>
          <w:lang w:val="sq-AL"/>
        </w:rPr>
        <w:t xml:space="preserve"> nr. 252, datë 29.4.2022</w:t>
      </w:r>
      <w:r w:rsidR="00932135" w:rsidRPr="00641640">
        <w:rPr>
          <w:rFonts w:ascii="Times New Roman" w:hAnsi="Times New Roman" w:cs="Times New Roman"/>
          <w:b/>
          <w:bCs/>
          <w:noProof/>
          <w:sz w:val="24"/>
          <w:szCs w:val="24"/>
          <w:lang w:val="sq-AL"/>
        </w:rPr>
        <w:t>, i Këshillit të Ministrave,</w:t>
      </w:r>
      <w:r w:rsidRPr="00641640">
        <w:rPr>
          <w:rFonts w:ascii="Times New Roman" w:hAnsi="Times New Roman" w:cs="Times New Roman"/>
          <w:b/>
          <w:bCs/>
          <w:noProof/>
          <w:sz w:val="24"/>
          <w:szCs w:val="24"/>
          <w:lang w:val="sq-AL"/>
        </w:rPr>
        <w:t xml:space="preserve"> </w:t>
      </w:r>
      <w:r w:rsidR="00C85ABA" w:rsidRPr="00641640">
        <w:rPr>
          <w:rFonts w:ascii="Times New Roman" w:hAnsi="Times New Roman" w:cs="Times New Roman"/>
          <w:b/>
          <w:bCs/>
          <w:noProof/>
          <w:sz w:val="24"/>
          <w:szCs w:val="24"/>
          <w:lang w:val="sq-AL"/>
        </w:rPr>
        <w:t>“</w:t>
      </w:r>
      <w:r w:rsidRPr="00641640">
        <w:rPr>
          <w:rFonts w:ascii="Times New Roman" w:hAnsi="Times New Roman" w:cs="Times New Roman"/>
          <w:b/>
          <w:bCs/>
          <w:noProof/>
          <w:sz w:val="24"/>
          <w:szCs w:val="24"/>
          <w:lang w:val="sq-AL"/>
        </w:rPr>
        <w:t>Për procedurat e ofrimit të shërbimeve on-line nga institucionet shërbimofruese dhe për metodologjinë e monitorimit e të kontrollit të veprimtarisë administrative të ofrimit të tyre</w:t>
      </w:r>
      <w:r w:rsidR="00C85ABA" w:rsidRPr="00641640">
        <w:rPr>
          <w:rFonts w:ascii="Times New Roman" w:hAnsi="Times New Roman" w:cs="Times New Roman"/>
          <w:b/>
          <w:bCs/>
          <w:noProof/>
          <w:sz w:val="24"/>
          <w:szCs w:val="24"/>
          <w:lang w:val="sq-AL"/>
        </w:rPr>
        <w:t>”</w:t>
      </w:r>
      <w:r w:rsidRPr="00641640">
        <w:rPr>
          <w:rFonts w:ascii="Times New Roman" w:hAnsi="Times New Roman" w:cs="Times New Roman"/>
          <w:noProof/>
          <w:sz w:val="24"/>
          <w:szCs w:val="24"/>
          <w:lang w:val="sq-AL"/>
        </w:rPr>
        <w:t>, i cili ka për qëllim të sigurojë që ofrimi në mënyrë elektronike i shërbimeve të institucioneve shtetërore të jetë sa më cilësor dhe në përputhje me përcaktimet e ligjit nr.</w:t>
      </w:r>
      <w:r w:rsidR="00BE4FC4">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107/2021, “Për bashkëqeverisjen” dhe të legjislacionit në fuqi</w:t>
      </w:r>
      <w:r w:rsidR="00BE4FC4">
        <w:rPr>
          <w:rFonts w:ascii="Times New Roman" w:hAnsi="Times New Roman" w:cs="Times New Roman"/>
          <w:noProof/>
          <w:sz w:val="24"/>
          <w:szCs w:val="24"/>
          <w:lang w:val="sq-AL"/>
        </w:rPr>
        <w:t>;</w:t>
      </w:r>
    </w:p>
    <w:p w14:paraId="17B5B13D" w14:textId="541894B6" w:rsidR="001751FD" w:rsidRPr="00641640" w:rsidRDefault="0050541E" w:rsidP="003A395D">
      <w:pPr>
        <w:pStyle w:val="ListParagraph"/>
        <w:numPr>
          <w:ilvl w:val="0"/>
          <w:numId w:val="5"/>
        </w:numPr>
        <w:spacing w:line="276" w:lineRule="auto"/>
        <w:jc w:val="both"/>
        <w:rPr>
          <w:rFonts w:ascii="Times New Roman" w:hAnsi="Times New Roman" w:cs="Times New Roman"/>
          <w:noProof/>
          <w:sz w:val="24"/>
          <w:szCs w:val="24"/>
          <w:lang w:val="sq-AL"/>
        </w:rPr>
      </w:pPr>
      <w:r w:rsidRPr="00641640">
        <w:rPr>
          <w:rFonts w:ascii="Times New Roman" w:hAnsi="Times New Roman" w:cs="Times New Roman"/>
          <w:b/>
          <w:bCs/>
          <w:noProof/>
          <w:sz w:val="24"/>
          <w:szCs w:val="24"/>
          <w:lang w:val="sq-AL"/>
        </w:rPr>
        <w:lastRenderedPageBreak/>
        <w:t xml:space="preserve">Ligji </w:t>
      </w:r>
      <w:r w:rsidR="00634042" w:rsidRPr="00641640">
        <w:rPr>
          <w:rFonts w:ascii="Times New Roman" w:hAnsi="Times New Roman" w:cs="Times New Roman"/>
          <w:b/>
          <w:bCs/>
          <w:noProof/>
          <w:sz w:val="24"/>
          <w:szCs w:val="24"/>
          <w:lang w:val="sq-AL"/>
        </w:rPr>
        <w:t xml:space="preserve">nr. 43/2023 </w:t>
      </w:r>
      <w:r w:rsidR="00007373" w:rsidRPr="00641640">
        <w:rPr>
          <w:rFonts w:ascii="Times New Roman" w:hAnsi="Times New Roman" w:cs="Times New Roman"/>
          <w:b/>
          <w:bCs/>
          <w:noProof/>
          <w:sz w:val="24"/>
          <w:szCs w:val="24"/>
          <w:lang w:val="sq-AL"/>
        </w:rPr>
        <w:t>“</w:t>
      </w:r>
      <w:r w:rsidR="00634042" w:rsidRPr="00641640">
        <w:rPr>
          <w:rFonts w:ascii="Times New Roman" w:hAnsi="Times New Roman" w:cs="Times New Roman"/>
          <w:b/>
          <w:bCs/>
          <w:noProof/>
          <w:sz w:val="24"/>
          <w:szCs w:val="24"/>
          <w:lang w:val="sq-AL"/>
        </w:rPr>
        <w:t>P</w:t>
      </w:r>
      <w:r w:rsidRPr="00641640">
        <w:rPr>
          <w:rFonts w:ascii="Times New Roman" w:hAnsi="Times New Roman" w:cs="Times New Roman"/>
          <w:b/>
          <w:bCs/>
          <w:noProof/>
          <w:sz w:val="24"/>
          <w:szCs w:val="24"/>
          <w:lang w:val="sq-AL"/>
        </w:rPr>
        <w:t>ër qeverisjen elektronike</w:t>
      </w:r>
      <w:r w:rsidR="00007373" w:rsidRPr="00641640">
        <w:rPr>
          <w:rFonts w:ascii="Times New Roman" w:hAnsi="Times New Roman" w:cs="Times New Roman"/>
          <w:b/>
          <w:bCs/>
          <w:noProof/>
          <w:sz w:val="24"/>
          <w:szCs w:val="24"/>
          <w:lang w:val="sq-AL"/>
        </w:rPr>
        <w:t>”</w:t>
      </w:r>
      <w:r w:rsidR="00BE4FC4" w:rsidRPr="00BE4FC4">
        <w:rPr>
          <w:rFonts w:ascii="Times New Roman" w:hAnsi="Times New Roman" w:cs="Times New Roman"/>
          <w:noProof/>
          <w:sz w:val="24"/>
          <w:szCs w:val="24"/>
          <w:lang w:val="sq-AL"/>
        </w:rPr>
        <w:t>,</w:t>
      </w:r>
      <w:r w:rsidR="00B3401D" w:rsidRPr="00BE4FC4">
        <w:rPr>
          <w:rStyle w:val="FootnoteReference"/>
          <w:rFonts w:ascii="Times New Roman" w:hAnsi="Times New Roman" w:cs="Times New Roman"/>
          <w:noProof/>
          <w:sz w:val="24"/>
          <w:szCs w:val="24"/>
          <w:lang w:val="sq-AL"/>
        </w:rPr>
        <w:footnoteReference w:id="12"/>
      </w:r>
      <w:r w:rsidR="0032069F" w:rsidRPr="00641640">
        <w:rPr>
          <w:rFonts w:ascii="Times New Roman" w:hAnsi="Times New Roman" w:cs="Times New Roman"/>
          <w:noProof/>
          <w:sz w:val="24"/>
          <w:szCs w:val="24"/>
          <w:lang w:val="sq-AL"/>
        </w:rPr>
        <w:t xml:space="preserve"> </w:t>
      </w:r>
      <w:r w:rsidR="00FA735D" w:rsidRPr="00641640">
        <w:rPr>
          <w:rFonts w:ascii="Times New Roman" w:hAnsi="Times New Roman" w:cs="Times New Roman"/>
          <w:noProof/>
          <w:sz w:val="24"/>
          <w:szCs w:val="24"/>
          <w:lang w:val="sq-AL"/>
        </w:rPr>
        <w:t>i cili</w:t>
      </w:r>
      <w:r w:rsidR="0067073C"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përcakto</w:t>
      </w:r>
      <w:r w:rsidR="0067073C" w:rsidRPr="00641640">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 xml:space="preserve"> të drejtat, detyrimet dhe përgjegjësitë e autoriteteve publike dhe subjekteve private në lidhje me krijimin, zhvillimin dhe menaxhimin e sistemeve të infrastrukturës së informacionit, standardeve të sigurisë elektronike dhe </w:t>
      </w:r>
      <w:r w:rsidR="0032069F" w:rsidRPr="00641640">
        <w:rPr>
          <w:rFonts w:ascii="Times New Roman" w:hAnsi="Times New Roman" w:cs="Times New Roman"/>
          <w:noProof/>
          <w:sz w:val="24"/>
          <w:szCs w:val="24"/>
          <w:lang w:val="sq-AL"/>
        </w:rPr>
        <w:t>teknologjis</w:t>
      </w:r>
      <w:r w:rsidR="00064AC5" w:rsidRPr="00641640">
        <w:rPr>
          <w:rFonts w:ascii="Times New Roman" w:hAnsi="Times New Roman" w:cs="Times New Roman"/>
          <w:noProof/>
          <w:sz w:val="24"/>
          <w:szCs w:val="24"/>
          <w:lang w:val="sq-AL"/>
        </w:rPr>
        <w:t>ë</w:t>
      </w:r>
      <w:r w:rsidR="0032069F" w:rsidRPr="00641640">
        <w:rPr>
          <w:rFonts w:ascii="Times New Roman" w:hAnsi="Times New Roman" w:cs="Times New Roman"/>
          <w:noProof/>
          <w:sz w:val="24"/>
          <w:szCs w:val="24"/>
          <w:lang w:val="sq-AL"/>
        </w:rPr>
        <w:t xml:space="preserve"> s</w:t>
      </w:r>
      <w:r w:rsidR="00064AC5" w:rsidRPr="00641640">
        <w:rPr>
          <w:rFonts w:ascii="Times New Roman" w:hAnsi="Times New Roman" w:cs="Times New Roman"/>
          <w:noProof/>
          <w:sz w:val="24"/>
          <w:szCs w:val="24"/>
          <w:lang w:val="sq-AL"/>
        </w:rPr>
        <w:t>ë</w:t>
      </w:r>
      <w:r w:rsidR="0032069F"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informacionit</w:t>
      </w:r>
      <w:r w:rsidR="00FA735D" w:rsidRPr="00641640">
        <w:rPr>
          <w:rFonts w:ascii="Times New Roman" w:hAnsi="Times New Roman" w:cs="Times New Roman"/>
          <w:noProof/>
          <w:sz w:val="24"/>
          <w:szCs w:val="24"/>
          <w:lang w:val="sq-AL"/>
        </w:rPr>
        <w:t>;</w:t>
      </w:r>
    </w:p>
    <w:p w14:paraId="0FF75845" w14:textId="483B0D77" w:rsidR="00FD1BAC" w:rsidRPr="00641640" w:rsidRDefault="0067073C" w:rsidP="003A395D">
      <w:pPr>
        <w:pStyle w:val="ListParagraph"/>
        <w:numPr>
          <w:ilvl w:val="0"/>
          <w:numId w:val="5"/>
        </w:numPr>
        <w:spacing w:line="276" w:lineRule="auto"/>
        <w:jc w:val="both"/>
        <w:rPr>
          <w:rFonts w:ascii="Times New Roman" w:hAnsi="Times New Roman" w:cs="Times New Roman"/>
          <w:noProof/>
          <w:sz w:val="24"/>
          <w:szCs w:val="24"/>
          <w:lang w:val="sq-AL"/>
        </w:rPr>
      </w:pPr>
      <w:r w:rsidRPr="00641640">
        <w:rPr>
          <w:rFonts w:ascii="Times New Roman" w:hAnsi="Times New Roman" w:cs="Times New Roman"/>
          <w:b/>
          <w:bCs/>
          <w:noProof/>
          <w:sz w:val="24"/>
          <w:szCs w:val="24"/>
          <w:lang w:val="sq-AL"/>
        </w:rPr>
        <w:t xml:space="preserve">Ligji nr. 15/2015, </w:t>
      </w:r>
      <w:r w:rsidR="00C7113B" w:rsidRPr="00641640">
        <w:rPr>
          <w:rFonts w:ascii="Times New Roman" w:hAnsi="Times New Roman" w:cs="Times New Roman"/>
          <w:b/>
          <w:bCs/>
          <w:noProof/>
          <w:sz w:val="24"/>
          <w:szCs w:val="24"/>
          <w:lang w:val="sq-AL"/>
        </w:rPr>
        <w:t>“P</w:t>
      </w:r>
      <w:r w:rsidRPr="00641640">
        <w:rPr>
          <w:rFonts w:ascii="Times New Roman" w:hAnsi="Times New Roman" w:cs="Times New Roman"/>
          <w:b/>
          <w:bCs/>
          <w:noProof/>
          <w:sz w:val="24"/>
          <w:szCs w:val="24"/>
          <w:lang w:val="sq-AL"/>
        </w:rPr>
        <w:t>ër</w:t>
      </w:r>
      <w:r w:rsidR="00C7113B" w:rsidRPr="00641640">
        <w:rPr>
          <w:rFonts w:ascii="Times New Roman" w:hAnsi="Times New Roman" w:cs="Times New Roman"/>
          <w:b/>
          <w:bCs/>
          <w:noProof/>
          <w:sz w:val="24"/>
          <w:szCs w:val="24"/>
          <w:lang w:val="sq-AL"/>
        </w:rPr>
        <w:t xml:space="preserve"> r</w:t>
      </w:r>
      <w:r w:rsidRPr="00641640">
        <w:rPr>
          <w:rFonts w:ascii="Times New Roman" w:hAnsi="Times New Roman" w:cs="Times New Roman"/>
          <w:b/>
          <w:bCs/>
          <w:noProof/>
          <w:sz w:val="24"/>
          <w:szCs w:val="24"/>
          <w:lang w:val="sq-AL"/>
        </w:rPr>
        <w:t xml:space="preserve">olin e </w:t>
      </w:r>
      <w:r w:rsidR="00C7113B" w:rsidRPr="00641640">
        <w:rPr>
          <w:rFonts w:ascii="Times New Roman" w:hAnsi="Times New Roman" w:cs="Times New Roman"/>
          <w:b/>
          <w:bCs/>
          <w:noProof/>
          <w:sz w:val="24"/>
          <w:szCs w:val="24"/>
          <w:lang w:val="sq-AL"/>
        </w:rPr>
        <w:t xml:space="preserve">Kuvendit në procesin e integrimit të Republikës së Shqipërisë në Bashkimin </w:t>
      </w:r>
      <w:r w:rsidR="00615837" w:rsidRPr="00641640">
        <w:rPr>
          <w:rFonts w:ascii="Times New Roman" w:hAnsi="Times New Roman" w:cs="Times New Roman"/>
          <w:b/>
          <w:bCs/>
          <w:noProof/>
          <w:sz w:val="24"/>
          <w:szCs w:val="24"/>
          <w:lang w:val="sq-AL"/>
        </w:rPr>
        <w:t>Evropian</w:t>
      </w:r>
      <w:r w:rsidR="00C7113B" w:rsidRPr="00641640">
        <w:rPr>
          <w:rFonts w:ascii="Times New Roman" w:hAnsi="Times New Roman" w:cs="Times New Roman"/>
          <w:b/>
          <w:bCs/>
          <w:noProof/>
          <w:sz w:val="24"/>
          <w:szCs w:val="24"/>
          <w:lang w:val="sq-AL"/>
        </w:rPr>
        <w:t>”</w:t>
      </w:r>
      <w:r w:rsidR="00C7113B" w:rsidRPr="00BE4FC4">
        <w:rPr>
          <w:rFonts w:ascii="Times New Roman" w:hAnsi="Times New Roman" w:cs="Times New Roman"/>
          <w:noProof/>
          <w:sz w:val="24"/>
          <w:szCs w:val="24"/>
          <w:lang w:val="sq-AL"/>
        </w:rPr>
        <w:t>,</w:t>
      </w:r>
      <w:r w:rsidR="002D647C" w:rsidRPr="00641640">
        <w:rPr>
          <w:rStyle w:val="FootnoteReference"/>
          <w:rFonts w:ascii="Times New Roman" w:hAnsi="Times New Roman" w:cs="Times New Roman"/>
          <w:noProof/>
          <w:sz w:val="24"/>
          <w:szCs w:val="24"/>
          <w:lang w:val="sq-AL"/>
        </w:rPr>
        <w:footnoteReference w:id="13"/>
      </w:r>
      <w:r w:rsidR="002D647C" w:rsidRPr="00641640">
        <w:rPr>
          <w:rFonts w:ascii="Times New Roman" w:hAnsi="Times New Roman" w:cs="Times New Roman"/>
          <w:noProof/>
          <w:sz w:val="24"/>
          <w:szCs w:val="24"/>
          <w:lang w:val="sq-AL"/>
        </w:rPr>
        <w:t xml:space="preserve"> </w:t>
      </w:r>
      <w:r w:rsidR="00C7113B" w:rsidRPr="00641640">
        <w:rPr>
          <w:rFonts w:ascii="Times New Roman" w:hAnsi="Times New Roman" w:cs="Times New Roman"/>
          <w:noProof/>
          <w:sz w:val="24"/>
          <w:szCs w:val="24"/>
          <w:lang w:val="sq-AL"/>
        </w:rPr>
        <w:t xml:space="preserve">i cili </w:t>
      </w:r>
      <w:r w:rsidR="0050541E" w:rsidRPr="00641640">
        <w:rPr>
          <w:rFonts w:ascii="Times New Roman" w:hAnsi="Times New Roman" w:cs="Times New Roman"/>
          <w:noProof/>
          <w:sz w:val="24"/>
          <w:szCs w:val="24"/>
          <w:lang w:val="sq-AL"/>
        </w:rPr>
        <w:t xml:space="preserve">përcakton rregullat për marrëdhëniet e Kuvendit me institucionet e </w:t>
      </w:r>
      <w:r w:rsidR="00C7113B" w:rsidRPr="00641640">
        <w:rPr>
          <w:rFonts w:ascii="Times New Roman" w:hAnsi="Times New Roman" w:cs="Times New Roman"/>
          <w:noProof/>
          <w:sz w:val="24"/>
          <w:szCs w:val="24"/>
          <w:lang w:val="sq-AL"/>
        </w:rPr>
        <w:t>tjera q</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 xml:space="preserve"> g</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zojn</w:t>
      </w:r>
      <w:r w:rsidR="00064AC5" w:rsidRPr="00641640">
        <w:rPr>
          <w:rFonts w:ascii="Times New Roman" w:hAnsi="Times New Roman" w:cs="Times New Roman"/>
          <w:noProof/>
          <w:sz w:val="24"/>
          <w:szCs w:val="24"/>
          <w:lang w:val="sq-AL"/>
        </w:rPr>
        <w:t>ë</w:t>
      </w:r>
      <w:r w:rsidR="00C7113B" w:rsidRPr="00641640">
        <w:rPr>
          <w:rFonts w:ascii="Times New Roman" w:hAnsi="Times New Roman" w:cs="Times New Roman"/>
          <w:noProof/>
          <w:sz w:val="24"/>
          <w:szCs w:val="24"/>
          <w:lang w:val="sq-AL"/>
        </w:rPr>
        <w:t xml:space="preserve"> kompetenca dhe detyrime n</w:t>
      </w:r>
      <w:r w:rsidR="00064AC5" w:rsidRPr="00641640">
        <w:rPr>
          <w:rFonts w:ascii="Times New Roman" w:hAnsi="Times New Roman" w:cs="Times New Roman"/>
          <w:noProof/>
          <w:sz w:val="24"/>
          <w:szCs w:val="24"/>
          <w:lang w:val="sq-AL"/>
        </w:rPr>
        <w:t>ë</w:t>
      </w:r>
      <w:r w:rsidR="0050541E" w:rsidRPr="00641640">
        <w:rPr>
          <w:rFonts w:ascii="Times New Roman" w:hAnsi="Times New Roman" w:cs="Times New Roman"/>
          <w:noProof/>
          <w:sz w:val="24"/>
          <w:szCs w:val="24"/>
          <w:lang w:val="sq-AL"/>
        </w:rPr>
        <w:t xml:space="preserve"> procesin e integrimit të Shqipërisë në B</w:t>
      </w:r>
      <w:r w:rsidR="0032069F" w:rsidRPr="00641640">
        <w:rPr>
          <w:rFonts w:ascii="Times New Roman" w:hAnsi="Times New Roman" w:cs="Times New Roman"/>
          <w:noProof/>
          <w:sz w:val="24"/>
          <w:szCs w:val="24"/>
          <w:lang w:val="sq-AL"/>
        </w:rPr>
        <w:t>E. Ligji ka p</w:t>
      </w:r>
      <w:r w:rsidR="00064AC5" w:rsidRPr="00641640">
        <w:rPr>
          <w:rFonts w:ascii="Times New Roman" w:hAnsi="Times New Roman" w:cs="Times New Roman"/>
          <w:noProof/>
          <w:sz w:val="24"/>
          <w:szCs w:val="24"/>
          <w:lang w:val="sq-AL"/>
        </w:rPr>
        <w:t>ë</w:t>
      </w:r>
      <w:r w:rsidR="0032069F" w:rsidRPr="00641640">
        <w:rPr>
          <w:rFonts w:ascii="Times New Roman" w:hAnsi="Times New Roman" w:cs="Times New Roman"/>
          <w:noProof/>
          <w:sz w:val="24"/>
          <w:szCs w:val="24"/>
          <w:lang w:val="sq-AL"/>
        </w:rPr>
        <w:t>r q</w:t>
      </w:r>
      <w:r w:rsidR="009977D0" w:rsidRPr="00641640">
        <w:rPr>
          <w:rFonts w:ascii="Times New Roman" w:hAnsi="Times New Roman" w:cs="Times New Roman"/>
          <w:noProof/>
          <w:sz w:val="24"/>
          <w:szCs w:val="24"/>
          <w:lang w:val="sq-AL"/>
        </w:rPr>
        <w:t>ëllim rritjen e</w:t>
      </w:r>
      <w:r w:rsidR="000F2FA3" w:rsidRPr="00641640">
        <w:rPr>
          <w:rFonts w:ascii="Times New Roman" w:hAnsi="Times New Roman" w:cs="Times New Roman"/>
          <w:noProof/>
          <w:sz w:val="24"/>
          <w:szCs w:val="24"/>
          <w:lang w:val="sq-AL"/>
        </w:rPr>
        <w:t xml:space="preserve"> rolit të Kuvendit në fazën </w:t>
      </w:r>
      <w:r w:rsidR="0032069F" w:rsidRPr="00641640">
        <w:rPr>
          <w:rFonts w:ascii="Times New Roman" w:hAnsi="Times New Roman" w:cs="Times New Roman"/>
          <w:noProof/>
          <w:sz w:val="24"/>
          <w:szCs w:val="24"/>
          <w:lang w:val="sq-AL"/>
        </w:rPr>
        <w:t xml:space="preserve">aktuale dhe </w:t>
      </w:r>
      <w:r w:rsidR="00FA735D" w:rsidRPr="00641640">
        <w:rPr>
          <w:rFonts w:ascii="Times New Roman" w:hAnsi="Times New Roman" w:cs="Times New Roman"/>
          <w:noProof/>
          <w:sz w:val="24"/>
          <w:szCs w:val="24"/>
          <w:lang w:val="sq-AL"/>
        </w:rPr>
        <w:t>n</w:t>
      </w:r>
      <w:r w:rsidR="00064AC5" w:rsidRPr="00641640">
        <w:rPr>
          <w:rFonts w:ascii="Times New Roman" w:hAnsi="Times New Roman" w:cs="Times New Roman"/>
          <w:noProof/>
          <w:sz w:val="24"/>
          <w:szCs w:val="24"/>
          <w:lang w:val="sq-AL"/>
        </w:rPr>
        <w:t>ë</w:t>
      </w:r>
      <w:r w:rsidR="00FA735D" w:rsidRPr="00641640">
        <w:rPr>
          <w:rFonts w:ascii="Times New Roman" w:hAnsi="Times New Roman" w:cs="Times New Roman"/>
          <w:noProof/>
          <w:sz w:val="24"/>
          <w:szCs w:val="24"/>
          <w:lang w:val="sq-AL"/>
        </w:rPr>
        <w:t xml:space="preserve"> fazat</w:t>
      </w:r>
      <w:r w:rsidR="0032069F" w:rsidRPr="00641640">
        <w:rPr>
          <w:rFonts w:ascii="Times New Roman" w:hAnsi="Times New Roman" w:cs="Times New Roman"/>
          <w:noProof/>
          <w:sz w:val="24"/>
          <w:szCs w:val="24"/>
          <w:lang w:val="sq-AL"/>
        </w:rPr>
        <w:t xml:space="preserve"> vijuese t</w:t>
      </w:r>
      <w:r w:rsidR="00064AC5" w:rsidRPr="00641640">
        <w:rPr>
          <w:rFonts w:ascii="Times New Roman" w:hAnsi="Times New Roman" w:cs="Times New Roman"/>
          <w:noProof/>
          <w:sz w:val="24"/>
          <w:szCs w:val="24"/>
          <w:lang w:val="sq-AL"/>
        </w:rPr>
        <w:t>ë</w:t>
      </w:r>
      <w:r w:rsidR="0032069F" w:rsidRPr="00641640">
        <w:rPr>
          <w:rFonts w:ascii="Times New Roman" w:hAnsi="Times New Roman" w:cs="Times New Roman"/>
          <w:noProof/>
          <w:sz w:val="24"/>
          <w:szCs w:val="24"/>
          <w:lang w:val="sq-AL"/>
        </w:rPr>
        <w:t xml:space="preserve"> procesit t</w:t>
      </w:r>
      <w:r w:rsidR="00064AC5" w:rsidRPr="00641640">
        <w:rPr>
          <w:rFonts w:ascii="Times New Roman" w:hAnsi="Times New Roman" w:cs="Times New Roman"/>
          <w:noProof/>
          <w:sz w:val="24"/>
          <w:szCs w:val="24"/>
          <w:lang w:val="sq-AL"/>
        </w:rPr>
        <w:t>ë</w:t>
      </w:r>
      <w:r w:rsidR="000F2FA3" w:rsidRPr="00641640">
        <w:rPr>
          <w:rFonts w:ascii="Times New Roman" w:hAnsi="Times New Roman" w:cs="Times New Roman"/>
          <w:noProof/>
          <w:sz w:val="24"/>
          <w:szCs w:val="24"/>
          <w:lang w:val="sq-AL"/>
        </w:rPr>
        <w:t xml:space="preserve"> integrim</w:t>
      </w:r>
      <w:r w:rsidR="0032069F" w:rsidRPr="00641640">
        <w:rPr>
          <w:rFonts w:ascii="Times New Roman" w:hAnsi="Times New Roman" w:cs="Times New Roman"/>
          <w:noProof/>
          <w:sz w:val="24"/>
          <w:szCs w:val="24"/>
          <w:lang w:val="sq-AL"/>
        </w:rPr>
        <w:t>i</w:t>
      </w:r>
      <w:r w:rsidR="000F2FA3" w:rsidRPr="00641640">
        <w:rPr>
          <w:rFonts w:ascii="Times New Roman" w:hAnsi="Times New Roman" w:cs="Times New Roman"/>
          <w:noProof/>
          <w:sz w:val="24"/>
          <w:szCs w:val="24"/>
          <w:lang w:val="sq-AL"/>
        </w:rPr>
        <w:t xml:space="preserve">t të </w:t>
      </w:r>
      <w:r w:rsidR="0032069F" w:rsidRPr="00641640">
        <w:rPr>
          <w:rFonts w:ascii="Times New Roman" w:hAnsi="Times New Roman" w:cs="Times New Roman"/>
          <w:noProof/>
          <w:sz w:val="24"/>
          <w:szCs w:val="24"/>
          <w:lang w:val="sq-AL"/>
        </w:rPr>
        <w:t xml:space="preserve">vendit </w:t>
      </w:r>
      <w:r w:rsidR="000F2FA3" w:rsidRPr="00641640">
        <w:rPr>
          <w:rFonts w:ascii="Times New Roman" w:hAnsi="Times New Roman" w:cs="Times New Roman"/>
          <w:noProof/>
          <w:sz w:val="24"/>
          <w:szCs w:val="24"/>
          <w:lang w:val="sq-AL"/>
        </w:rPr>
        <w:t>në Bashkimin Evropian</w:t>
      </w:r>
      <w:r w:rsidR="00FA735D" w:rsidRPr="00641640">
        <w:rPr>
          <w:rFonts w:ascii="Times New Roman" w:hAnsi="Times New Roman" w:cs="Times New Roman"/>
          <w:noProof/>
          <w:sz w:val="24"/>
          <w:szCs w:val="24"/>
          <w:lang w:val="sq-AL"/>
        </w:rPr>
        <w:t>, duke</w:t>
      </w:r>
      <w:r w:rsidR="000F2FA3" w:rsidRPr="00641640">
        <w:rPr>
          <w:rFonts w:ascii="Times New Roman" w:hAnsi="Times New Roman" w:cs="Times New Roman"/>
          <w:noProof/>
          <w:sz w:val="24"/>
          <w:szCs w:val="24"/>
          <w:lang w:val="sq-AL"/>
        </w:rPr>
        <w:t xml:space="preserve"> </w:t>
      </w:r>
      <w:r w:rsidR="00015E92" w:rsidRPr="00641640">
        <w:rPr>
          <w:rFonts w:ascii="Times New Roman" w:hAnsi="Times New Roman" w:cs="Times New Roman"/>
          <w:noProof/>
          <w:sz w:val="24"/>
          <w:szCs w:val="24"/>
          <w:lang w:val="sq-AL"/>
        </w:rPr>
        <w:t>i</w:t>
      </w:r>
      <w:r w:rsidR="000F2FA3" w:rsidRPr="00641640">
        <w:rPr>
          <w:rFonts w:ascii="Times New Roman" w:hAnsi="Times New Roman" w:cs="Times New Roman"/>
          <w:noProof/>
          <w:sz w:val="24"/>
          <w:szCs w:val="24"/>
          <w:lang w:val="sq-AL"/>
        </w:rPr>
        <w:t xml:space="preserve"> </w:t>
      </w:r>
      <w:r w:rsidR="00FA735D" w:rsidRPr="00641640">
        <w:rPr>
          <w:rFonts w:ascii="Times New Roman" w:hAnsi="Times New Roman" w:cs="Times New Roman"/>
          <w:noProof/>
          <w:sz w:val="24"/>
          <w:szCs w:val="24"/>
          <w:lang w:val="sq-AL"/>
        </w:rPr>
        <w:t>dh</w:t>
      </w:r>
      <w:r w:rsidR="00064AC5" w:rsidRPr="00641640">
        <w:rPr>
          <w:rFonts w:ascii="Times New Roman" w:hAnsi="Times New Roman" w:cs="Times New Roman"/>
          <w:noProof/>
          <w:sz w:val="24"/>
          <w:szCs w:val="24"/>
          <w:lang w:val="sq-AL"/>
        </w:rPr>
        <w:t>ë</w:t>
      </w:r>
      <w:r w:rsidR="00FA735D" w:rsidRPr="00641640">
        <w:rPr>
          <w:rFonts w:ascii="Times New Roman" w:hAnsi="Times New Roman" w:cs="Times New Roman"/>
          <w:noProof/>
          <w:sz w:val="24"/>
          <w:szCs w:val="24"/>
          <w:lang w:val="sq-AL"/>
        </w:rPr>
        <w:t>n</w:t>
      </w:r>
      <w:r w:rsidR="00064AC5" w:rsidRPr="00641640">
        <w:rPr>
          <w:rFonts w:ascii="Times New Roman" w:hAnsi="Times New Roman" w:cs="Times New Roman"/>
          <w:noProof/>
          <w:sz w:val="24"/>
          <w:szCs w:val="24"/>
          <w:lang w:val="sq-AL"/>
        </w:rPr>
        <w:t>ë</w:t>
      </w:r>
      <w:r w:rsidR="000F2FA3" w:rsidRPr="00641640">
        <w:rPr>
          <w:rFonts w:ascii="Times New Roman" w:hAnsi="Times New Roman" w:cs="Times New Roman"/>
          <w:noProof/>
          <w:sz w:val="24"/>
          <w:szCs w:val="24"/>
          <w:lang w:val="sq-AL"/>
        </w:rPr>
        <w:t xml:space="preserve"> Kuvendit një rol të shtuar </w:t>
      </w:r>
      <w:r w:rsidR="00FA735D" w:rsidRPr="00641640">
        <w:rPr>
          <w:rFonts w:ascii="Times New Roman" w:hAnsi="Times New Roman" w:cs="Times New Roman"/>
          <w:noProof/>
          <w:sz w:val="24"/>
          <w:szCs w:val="24"/>
          <w:lang w:val="sq-AL"/>
        </w:rPr>
        <w:t>n</w:t>
      </w:r>
      <w:r w:rsidR="00064AC5" w:rsidRPr="00641640">
        <w:rPr>
          <w:rFonts w:ascii="Times New Roman" w:hAnsi="Times New Roman" w:cs="Times New Roman"/>
          <w:noProof/>
          <w:sz w:val="24"/>
          <w:szCs w:val="24"/>
          <w:lang w:val="sq-AL"/>
        </w:rPr>
        <w:t>ë</w:t>
      </w:r>
      <w:r w:rsidR="00FA735D" w:rsidRPr="00641640">
        <w:rPr>
          <w:rFonts w:ascii="Times New Roman" w:hAnsi="Times New Roman" w:cs="Times New Roman"/>
          <w:noProof/>
          <w:sz w:val="24"/>
          <w:szCs w:val="24"/>
          <w:lang w:val="sq-AL"/>
        </w:rPr>
        <w:t xml:space="preserve"> p</w:t>
      </w:r>
      <w:r w:rsidR="00064AC5" w:rsidRPr="00641640">
        <w:rPr>
          <w:rFonts w:ascii="Times New Roman" w:hAnsi="Times New Roman" w:cs="Times New Roman"/>
          <w:noProof/>
          <w:sz w:val="24"/>
          <w:szCs w:val="24"/>
          <w:lang w:val="sq-AL"/>
        </w:rPr>
        <w:t>ë</w:t>
      </w:r>
      <w:r w:rsidR="00FA735D" w:rsidRPr="00641640">
        <w:rPr>
          <w:rFonts w:ascii="Times New Roman" w:hAnsi="Times New Roman" w:cs="Times New Roman"/>
          <w:noProof/>
          <w:sz w:val="24"/>
          <w:szCs w:val="24"/>
          <w:lang w:val="sq-AL"/>
        </w:rPr>
        <w:t>rputhje me frym</w:t>
      </w:r>
      <w:r w:rsidR="00064AC5" w:rsidRPr="00641640">
        <w:rPr>
          <w:rFonts w:ascii="Times New Roman" w:hAnsi="Times New Roman" w:cs="Times New Roman"/>
          <w:noProof/>
          <w:sz w:val="24"/>
          <w:szCs w:val="24"/>
          <w:lang w:val="sq-AL"/>
        </w:rPr>
        <w:t>ë</w:t>
      </w:r>
      <w:r w:rsidR="00FA735D" w:rsidRPr="00641640">
        <w:rPr>
          <w:rFonts w:ascii="Times New Roman" w:hAnsi="Times New Roman" w:cs="Times New Roman"/>
          <w:noProof/>
          <w:sz w:val="24"/>
          <w:szCs w:val="24"/>
          <w:lang w:val="sq-AL"/>
        </w:rPr>
        <w:t xml:space="preserve">n e </w:t>
      </w:r>
      <w:r w:rsidR="0061526C" w:rsidRPr="00641640">
        <w:rPr>
          <w:rFonts w:ascii="Times New Roman" w:hAnsi="Times New Roman" w:cs="Times New Roman"/>
          <w:noProof/>
          <w:sz w:val="24"/>
          <w:szCs w:val="24"/>
          <w:lang w:val="sq-AL"/>
        </w:rPr>
        <w:t>M</w:t>
      </w:r>
      <w:r w:rsidR="002D647C" w:rsidRPr="00641640">
        <w:rPr>
          <w:rFonts w:ascii="Times New Roman" w:hAnsi="Times New Roman" w:cs="Times New Roman"/>
          <w:noProof/>
          <w:sz w:val="24"/>
          <w:szCs w:val="24"/>
          <w:lang w:val="sq-AL"/>
        </w:rPr>
        <w:t xml:space="preserve">etodologjisë </w:t>
      </w:r>
      <w:r w:rsidR="00FA735D" w:rsidRPr="00641640">
        <w:rPr>
          <w:rFonts w:ascii="Times New Roman" w:hAnsi="Times New Roman" w:cs="Times New Roman"/>
          <w:noProof/>
          <w:sz w:val="24"/>
          <w:szCs w:val="24"/>
          <w:lang w:val="sq-AL"/>
        </w:rPr>
        <w:t>s</w:t>
      </w:r>
      <w:r w:rsidR="00064AC5" w:rsidRPr="00641640">
        <w:rPr>
          <w:rFonts w:ascii="Times New Roman" w:hAnsi="Times New Roman" w:cs="Times New Roman"/>
          <w:noProof/>
          <w:sz w:val="24"/>
          <w:szCs w:val="24"/>
          <w:lang w:val="sq-AL"/>
        </w:rPr>
        <w:t>ë</w:t>
      </w:r>
      <w:r w:rsidR="00FA735D" w:rsidRPr="00641640">
        <w:rPr>
          <w:rFonts w:ascii="Times New Roman" w:hAnsi="Times New Roman" w:cs="Times New Roman"/>
          <w:noProof/>
          <w:sz w:val="24"/>
          <w:szCs w:val="24"/>
          <w:lang w:val="sq-AL"/>
        </w:rPr>
        <w:t xml:space="preserve"> </w:t>
      </w:r>
      <w:r w:rsidR="000F2FA3" w:rsidRPr="00641640">
        <w:rPr>
          <w:rFonts w:ascii="Times New Roman" w:hAnsi="Times New Roman" w:cs="Times New Roman"/>
          <w:noProof/>
          <w:sz w:val="24"/>
          <w:szCs w:val="24"/>
          <w:lang w:val="sq-AL"/>
        </w:rPr>
        <w:t xml:space="preserve">re të </w:t>
      </w:r>
      <w:r w:rsidR="0061526C" w:rsidRPr="00641640">
        <w:rPr>
          <w:rFonts w:ascii="Times New Roman" w:hAnsi="Times New Roman" w:cs="Times New Roman"/>
          <w:noProof/>
          <w:sz w:val="24"/>
          <w:szCs w:val="24"/>
          <w:lang w:val="sq-AL"/>
        </w:rPr>
        <w:t>Z</w:t>
      </w:r>
      <w:r w:rsidR="002D647C" w:rsidRPr="00641640">
        <w:rPr>
          <w:rFonts w:ascii="Times New Roman" w:hAnsi="Times New Roman" w:cs="Times New Roman"/>
          <w:noProof/>
          <w:sz w:val="24"/>
          <w:szCs w:val="24"/>
          <w:lang w:val="sq-AL"/>
        </w:rPr>
        <w:t>gjerimit</w:t>
      </w:r>
      <w:r w:rsidR="000F2FA3" w:rsidRPr="00641640">
        <w:rPr>
          <w:rFonts w:ascii="Times New Roman" w:hAnsi="Times New Roman" w:cs="Times New Roman"/>
          <w:noProof/>
          <w:sz w:val="24"/>
          <w:szCs w:val="24"/>
          <w:lang w:val="sq-AL"/>
        </w:rPr>
        <w:t>.</w:t>
      </w:r>
    </w:p>
    <w:p w14:paraId="015BD578" w14:textId="77777777" w:rsidR="00A07E9C" w:rsidRPr="00641640" w:rsidRDefault="00A07E9C" w:rsidP="00F90A1F">
      <w:pPr>
        <w:spacing w:after="0" w:line="276" w:lineRule="auto"/>
        <w:rPr>
          <w:rFonts w:ascii="Times New Roman" w:hAnsi="Times New Roman" w:cs="Times New Roman"/>
          <w:noProof/>
          <w:lang w:val="sq-AL"/>
        </w:rPr>
      </w:pPr>
      <w:bookmarkStart w:id="15" w:name="_Toc161748803"/>
      <w:bookmarkStart w:id="16" w:name="_Toc189510616"/>
    </w:p>
    <w:p w14:paraId="1F020CA9" w14:textId="733031B0" w:rsidR="00FD1BAC" w:rsidRPr="00641640" w:rsidRDefault="00227FBB" w:rsidP="003A395D">
      <w:pPr>
        <w:pStyle w:val="Heading2"/>
        <w:spacing w:line="276" w:lineRule="auto"/>
        <w:jc w:val="both"/>
        <w:rPr>
          <w:rFonts w:ascii="Times New Roman" w:hAnsi="Times New Roman" w:cs="Times New Roman"/>
          <w:b/>
          <w:bCs/>
          <w:noProof/>
          <w:color w:val="C45911" w:themeColor="accent2" w:themeShade="BF"/>
          <w:sz w:val="24"/>
          <w:szCs w:val="24"/>
          <w:lang w:val="sq-AL"/>
        </w:rPr>
      </w:pPr>
      <w:r w:rsidRPr="00641640">
        <w:rPr>
          <w:rFonts w:ascii="Times New Roman" w:hAnsi="Times New Roman" w:cs="Times New Roman"/>
          <w:b/>
          <w:bCs/>
          <w:noProof/>
          <w:color w:val="C45911" w:themeColor="accent2" w:themeShade="BF"/>
          <w:sz w:val="24"/>
          <w:szCs w:val="24"/>
          <w:lang w:val="sq-AL"/>
        </w:rPr>
        <w:t>1</w:t>
      </w:r>
      <w:r w:rsidR="002936C3" w:rsidRPr="00641640">
        <w:rPr>
          <w:rFonts w:ascii="Times New Roman" w:hAnsi="Times New Roman" w:cs="Times New Roman"/>
          <w:b/>
          <w:bCs/>
          <w:noProof/>
          <w:color w:val="C45911" w:themeColor="accent2" w:themeShade="BF"/>
          <w:sz w:val="24"/>
          <w:szCs w:val="24"/>
          <w:lang w:val="sq-AL"/>
        </w:rPr>
        <w:t>.</w:t>
      </w:r>
      <w:r w:rsidRPr="00641640">
        <w:rPr>
          <w:rFonts w:ascii="Times New Roman" w:hAnsi="Times New Roman" w:cs="Times New Roman"/>
          <w:b/>
          <w:bCs/>
          <w:noProof/>
          <w:color w:val="C45911" w:themeColor="accent2" w:themeShade="BF"/>
          <w:sz w:val="24"/>
          <w:szCs w:val="24"/>
          <w:lang w:val="sq-AL"/>
        </w:rPr>
        <w:t>5</w:t>
      </w:r>
      <w:r w:rsidR="00A65B2A" w:rsidRPr="00641640">
        <w:rPr>
          <w:rFonts w:ascii="Times New Roman" w:hAnsi="Times New Roman" w:cs="Times New Roman"/>
          <w:b/>
          <w:bCs/>
          <w:noProof/>
          <w:color w:val="C45911" w:themeColor="accent2" w:themeShade="BF"/>
          <w:sz w:val="24"/>
          <w:szCs w:val="24"/>
          <w:lang w:val="sq-AL"/>
        </w:rPr>
        <w:t>.</w:t>
      </w:r>
      <w:r w:rsidRPr="00641640">
        <w:rPr>
          <w:rFonts w:ascii="Times New Roman" w:hAnsi="Times New Roman" w:cs="Times New Roman"/>
          <w:b/>
          <w:bCs/>
          <w:noProof/>
          <w:color w:val="C45911" w:themeColor="accent2" w:themeShade="BF"/>
          <w:sz w:val="24"/>
          <w:szCs w:val="24"/>
          <w:lang w:val="sq-AL"/>
        </w:rPr>
        <w:t xml:space="preserve"> </w:t>
      </w:r>
      <w:r w:rsidR="0021176F" w:rsidRPr="00641640">
        <w:rPr>
          <w:rFonts w:ascii="Times New Roman" w:hAnsi="Times New Roman" w:cs="Times New Roman"/>
          <w:b/>
          <w:bCs/>
          <w:noProof/>
          <w:color w:val="C45911" w:themeColor="accent2" w:themeShade="BF"/>
          <w:sz w:val="24"/>
          <w:szCs w:val="24"/>
          <w:lang w:val="sq-AL"/>
        </w:rPr>
        <w:t>Ndërlidhja</w:t>
      </w:r>
      <w:r w:rsidR="00FD1BAC" w:rsidRPr="00641640">
        <w:rPr>
          <w:rFonts w:ascii="Times New Roman" w:hAnsi="Times New Roman" w:cs="Times New Roman"/>
          <w:b/>
          <w:bCs/>
          <w:noProof/>
          <w:color w:val="C45911" w:themeColor="accent2" w:themeShade="BF"/>
          <w:sz w:val="24"/>
          <w:szCs w:val="24"/>
          <w:lang w:val="sq-AL"/>
        </w:rPr>
        <w:t xml:space="preserve"> me </w:t>
      </w:r>
      <w:r w:rsidR="006E22FB">
        <w:rPr>
          <w:rFonts w:ascii="Times New Roman" w:hAnsi="Times New Roman" w:cs="Times New Roman"/>
          <w:b/>
          <w:bCs/>
          <w:noProof/>
          <w:color w:val="C45911" w:themeColor="accent2" w:themeShade="BF"/>
          <w:sz w:val="24"/>
          <w:szCs w:val="24"/>
          <w:lang w:val="sq-AL"/>
        </w:rPr>
        <w:t>k</w:t>
      </w:r>
      <w:r w:rsidR="002D647C" w:rsidRPr="00641640">
        <w:rPr>
          <w:rFonts w:ascii="Times New Roman" w:hAnsi="Times New Roman" w:cs="Times New Roman"/>
          <w:b/>
          <w:bCs/>
          <w:noProof/>
          <w:color w:val="C45911" w:themeColor="accent2" w:themeShade="BF"/>
          <w:sz w:val="24"/>
          <w:szCs w:val="24"/>
          <w:lang w:val="sq-AL"/>
        </w:rPr>
        <w:t>ornizën</w:t>
      </w:r>
      <w:r w:rsidR="00FD1BAC" w:rsidRPr="00641640">
        <w:rPr>
          <w:rFonts w:ascii="Times New Roman" w:hAnsi="Times New Roman" w:cs="Times New Roman"/>
          <w:b/>
          <w:bCs/>
          <w:noProof/>
          <w:color w:val="C45911" w:themeColor="accent2" w:themeShade="BF"/>
          <w:sz w:val="24"/>
          <w:szCs w:val="24"/>
          <w:lang w:val="sq-AL"/>
        </w:rPr>
        <w:t xml:space="preserve"> Strategjik</w:t>
      </w:r>
      <w:r w:rsidR="002D647C" w:rsidRPr="00641640">
        <w:rPr>
          <w:rFonts w:ascii="Times New Roman" w:hAnsi="Times New Roman" w:cs="Times New Roman"/>
          <w:b/>
          <w:bCs/>
          <w:noProof/>
          <w:color w:val="C45911" w:themeColor="accent2" w:themeShade="BF"/>
          <w:sz w:val="24"/>
          <w:szCs w:val="24"/>
          <w:lang w:val="sq-AL"/>
        </w:rPr>
        <w:t>e</w:t>
      </w:r>
      <w:r w:rsidR="00FD1BAC" w:rsidRPr="00641640">
        <w:rPr>
          <w:rFonts w:ascii="Times New Roman" w:hAnsi="Times New Roman" w:cs="Times New Roman"/>
          <w:b/>
          <w:bCs/>
          <w:noProof/>
          <w:color w:val="C45911" w:themeColor="accent2" w:themeShade="BF"/>
          <w:sz w:val="24"/>
          <w:szCs w:val="24"/>
          <w:lang w:val="sq-AL"/>
        </w:rPr>
        <w:t xml:space="preserve"> </w:t>
      </w:r>
      <w:r w:rsidR="002D647C" w:rsidRPr="00641640">
        <w:rPr>
          <w:rFonts w:ascii="Times New Roman" w:hAnsi="Times New Roman" w:cs="Times New Roman"/>
          <w:b/>
          <w:bCs/>
          <w:noProof/>
          <w:color w:val="C45911" w:themeColor="accent2" w:themeShade="BF"/>
          <w:sz w:val="24"/>
          <w:szCs w:val="24"/>
          <w:lang w:val="sq-AL"/>
        </w:rPr>
        <w:t xml:space="preserve">Kombëtare </w:t>
      </w:r>
      <w:r w:rsidR="00FD1BAC" w:rsidRPr="00641640">
        <w:rPr>
          <w:rFonts w:ascii="Times New Roman" w:hAnsi="Times New Roman" w:cs="Times New Roman"/>
          <w:b/>
          <w:bCs/>
          <w:noProof/>
          <w:color w:val="C45911" w:themeColor="accent2" w:themeShade="BF"/>
          <w:sz w:val="24"/>
          <w:szCs w:val="24"/>
          <w:lang w:val="sq-AL"/>
        </w:rPr>
        <w:t>për Zhvillim</w:t>
      </w:r>
      <w:r w:rsidR="0067073C" w:rsidRPr="00641640">
        <w:rPr>
          <w:rFonts w:ascii="Times New Roman" w:hAnsi="Times New Roman" w:cs="Times New Roman"/>
          <w:b/>
          <w:bCs/>
          <w:noProof/>
          <w:color w:val="C45911" w:themeColor="accent2" w:themeShade="BF"/>
          <w:sz w:val="24"/>
          <w:szCs w:val="24"/>
          <w:lang w:val="sq-AL"/>
        </w:rPr>
        <w:t>in</w:t>
      </w:r>
      <w:r w:rsidR="00FD1BAC" w:rsidRPr="00641640">
        <w:rPr>
          <w:rFonts w:ascii="Times New Roman" w:hAnsi="Times New Roman" w:cs="Times New Roman"/>
          <w:b/>
          <w:bCs/>
          <w:noProof/>
          <w:color w:val="C45911" w:themeColor="accent2" w:themeShade="BF"/>
          <w:sz w:val="24"/>
          <w:szCs w:val="24"/>
          <w:lang w:val="sq-AL"/>
        </w:rPr>
        <w:t>, Integrimin Evropian, Reformat Ekonomike dhe Qeverisjen e Mirë</w:t>
      </w:r>
      <w:bookmarkEnd w:id="15"/>
      <w:bookmarkEnd w:id="16"/>
    </w:p>
    <w:p w14:paraId="2CAC6EB6" w14:textId="77777777" w:rsidR="00FD1BAC" w:rsidRPr="00641640" w:rsidRDefault="00FD1BAC" w:rsidP="003A395D">
      <w:pPr>
        <w:spacing w:after="0" w:line="276" w:lineRule="auto"/>
        <w:jc w:val="both"/>
        <w:rPr>
          <w:rFonts w:ascii="Times New Roman" w:hAnsi="Times New Roman" w:cs="Times New Roman"/>
          <w:noProof/>
          <w:color w:val="C45911" w:themeColor="accent2" w:themeShade="BF"/>
          <w:sz w:val="24"/>
          <w:szCs w:val="24"/>
          <w:lang w:val="sq-AL"/>
        </w:rPr>
      </w:pPr>
    </w:p>
    <w:p w14:paraId="6E20023F" w14:textId="2B6ED750" w:rsidR="00FD1BAC" w:rsidRPr="00641640" w:rsidRDefault="00FD1BAC"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S</w:t>
      </w:r>
      <w:r w:rsidRPr="00641640">
        <w:rPr>
          <w:rStyle w:val="rynqvb"/>
          <w:rFonts w:ascii="Times New Roman" w:hAnsi="Times New Roman" w:cs="Times New Roman"/>
          <w:noProof/>
          <w:sz w:val="24"/>
          <w:szCs w:val="24"/>
          <w:lang w:val="sq-AL"/>
        </w:rPr>
        <w:t>trategjia Nd</w:t>
      </w:r>
      <w:r w:rsidR="002A77F4" w:rsidRPr="00641640">
        <w:rPr>
          <w:rStyle w:val="rynqvb"/>
          <w:rFonts w:ascii="Times New Roman" w:hAnsi="Times New Roman" w:cs="Times New Roman"/>
          <w:noProof/>
          <w:sz w:val="24"/>
          <w:szCs w:val="24"/>
          <w:lang w:val="sq-AL"/>
        </w:rPr>
        <w:t>ë</w:t>
      </w:r>
      <w:r w:rsidRPr="00641640">
        <w:rPr>
          <w:rStyle w:val="rynqvb"/>
          <w:rFonts w:ascii="Times New Roman" w:hAnsi="Times New Roman" w:cs="Times New Roman"/>
          <w:noProof/>
          <w:sz w:val="24"/>
          <w:szCs w:val="24"/>
          <w:lang w:val="sq-AL"/>
        </w:rPr>
        <w:t>rsektoriale e R</w:t>
      </w:r>
      <w:r w:rsidR="002A77F4" w:rsidRPr="00641640">
        <w:rPr>
          <w:rStyle w:val="rynqvb"/>
          <w:rFonts w:ascii="Times New Roman" w:hAnsi="Times New Roman" w:cs="Times New Roman"/>
          <w:noProof/>
          <w:sz w:val="24"/>
          <w:szCs w:val="24"/>
          <w:lang w:val="sq-AL"/>
        </w:rPr>
        <w:t xml:space="preserve">eformës në </w:t>
      </w:r>
      <w:r w:rsidRPr="00641640">
        <w:rPr>
          <w:rStyle w:val="rynqvb"/>
          <w:rFonts w:ascii="Times New Roman" w:hAnsi="Times New Roman" w:cs="Times New Roman"/>
          <w:noProof/>
          <w:sz w:val="24"/>
          <w:szCs w:val="24"/>
          <w:lang w:val="sq-AL"/>
        </w:rPr>
        <w:t>A</w:t>
      </w:r>
      <w:r w:rsidR="002A77F4" w:rsidRPr="00641640">
        <w:rPr>
          <w:rStyle w:val="rynqvb"/>
          <w:rFonts w:ascii="Times New Roman" w:hAnsi="Times New Roman" w:cs="Times New Roman"/>
          <w:noProof/>
          <w:sz w:val="24"/>
          <w:szCs w:val="24"/>
          <w:lang w:val="sq-AL"/>
        </w:rPr>
        <w:t xml:space="preserve">dministratën </w:t>
      </w:r>
      <w:r w:rsidRPr="00641640">
        <w:rPr>
          <w:rStyle w:val="rynqvb"/>
          <w:rFonts w:ascii="Times New Roman" w:hAnsi="Times New Roman" w:cs="Times New Roman"/>
          <w:noProof/>
          <w:sz w:val="24"/>
          <w:szCs w:val="24"/>
          <w:lang w:val="sq-AL"/>
        </w:rPr>
        <w:t>P</w:t>
      </w:r>
      <w:r w:rsidR="002A77F4" w:rsidRPr="00641640">
        <w:rPr>
          <w:rStyle w:val="rynqvb"/>
          <w:rFonts w:ascii="Times New Roman" w:hAnsi="Times New Roman" w:cs="Times New Roman"/>
          <w:noProof/>
          <w:sz w:val="24"/>
          <w:szCs w:val="24"/>
          <w:lang w:val="sq-AL"/>
        </w:rPr>
        <w:t>ublike</w:t>
      </w:r>
      <w:r w:rsidRPr="00641640">
        <w:rPr>
          <w:rStyle w:val="rynqvb"/>
          <w:rFonts w:ascii="Times New Roman" w:hAnsi="Times New Roman" w:cs="Times New Roman"/>
          <w:noProof/>
          <w:sz w:val="24"/>
          <w:szCs w:val="24"/>
          <w:lang w:val="sq-AL"/>
        </w:rPr>
        <w:t xml:space="preserve"> </w:t>
      </w:r>
      <w:r w:rsidR="00A74DDD" w:rsidRPr="00641640">
        <w:rPr>
          <w:rStyle w:val="rynqvb"/>
          <w:rFonts w:ascii="Times New Roman" w:hAnsi="Times New Roman" w:cs="Times New Roman"/>
          <w:noProof/>
          <w:sz w:val="24"/>
          <w:szCs w:val="24"/>
          <w:lang w:val="sq-AL"/>
        </w:rPr>
        <w:t>202</w:t>
      </w:r>
      <w:r w:rsidR="00A47188" w:rsidRPr="00641640">
        <w:rPr>
          <w:rStyle w:val="rynqvb"/>
          <w:rFonts w:ascii="Times New Roman" w:hAnsi="Times New Roman" w:cs="Times New Roman"/>
          <w:noProof/>
          <w:sz w:val="24"/>
          <w:szCs w:val="24"/>
          <w:lang w:val="sq-AL"/>
        </w:rPr>
        <w:t>5</w:t>
      </w:r>
      <w:r w:rsidR="00A74DDD" w:rsidRPr="00641640">
        <w:rPr>
          <w:rStyle w:val="rynqvb"/>
          <w:rFonts w:ascii="Times New Roman" w:hAnsi="Times New Roman" w:cs="Times New Roman"/>
          <w:noProof/>
          <w:sz w:val="24"/>
          <w:szCs w:val="24"/>
          <w:lang w:val="sq-AL"/>
        </w:rPr>
        <w:t xml:space="preserve">-2030 </w:t>
      </w:r>
      <w:r w:rsidRPr="00641640">
        <w:rPr>
          <w:rStyle w:val="rynqvb"/>
          <w:rFonts w:ascii="Times New Roman" w:hAnsi="Times New Roman" w:cs="Times New Roman"/>
          <w:noProof/>
          <w:sz w:val="24"/>
          <w:szCs w:val="24"/>
          <w:lang w:val="sq-AL"/>
        </w:rPr>
        <w:t>është zhvilluar në përputhje me korniz</w:t>
      </w:r>
      <w:r w:rsidR="00C97559" w:rsidRPr="00641640">
        <w:rPr>
          <w:rStyle w:val="rynqvb"/>
          <w:rFonts w:ascii="Times New Roman" w:hAnsi="Times New Roman" w:cs="Times New Roman"/>
          <w:noProof/>
          <w:sz w:val="24"/>
          <w:szCs w:val="24"/>
          <w:lang w:val="sq-AL"/>
        </w:rPr>
        <w:t xml:space="preserve">at </w:t>
      </w:r>
      <w:r w:rsidRPr="00641640">
        <w:rPr>
          <w:rStyle w:val="rynqvb"/>
          <w:rFonts w:ascii="Times New Roman" w:hAnsi="Times New Roman" w:cs="Times New Roman"/>
          <w:noProof/>
          <w:sz w:val="24"/>
          <w:szCs w:val="24"/>
          <w:lang w:val="sq-AL"/>
        </w:rPr>
        <w:t xml:space="preserve">strategjike </w:t>
      </w:r>
      <w:r w:rsidR="002D647C" w:rsidRPr="00641640">
        <w:rPr>
          <w:rStyle w:val="rynqvb"/>
          <w:rFonts w:ascii="Times New Roman" w:hAnsi="Times New Roman" w:cs="Times New Roman"/>
          <w:noProof/>
          <w:sz w:val="24"/>
          <w:szCs w:val="24"/>
          <w:lang w:val="sq-AL"/>
        </w:rPr>
        <w:t xml:space="preserve">kombëtare </w:t>
      </w:r>
      <w:r w:rsidRPr="00641640">
        <w:rPr>
          <w:rStyle w:val="rynqvb"/>
          <w:rFonts w:ascii="Times New Roman" w:hAnsi="Times New Roman" w:cs="Times New Roman"/>
          <w:noProof/>
          <w:sz w:val="24"/>
          <w:szCs w:val="24"/>
          <w:lang w:val="sq-AL"/>
        </w:rPr>
        <w:t xml:space="preserve">për </w:t>
      </w:r>
      <w:r w:rsidR="002A77F4" w:rsidRPr="00641640">
        <w:rPr>
          <w:rStyle w:val="rynqvb"/>
          <w:rFonts w:ascii="Times New Roman" w:hAnsi="Times New Roman" w:cs="Times New Roman"/>
          <w:noProof/>
          <w:sz w:val="24"/>
          <w:szCs w:val="24"/>
          <w:lang w:val="sq-AL"/>
        </w:rPr>
        <w:t>z</w:t>
      </w:r>
      <w:r w:rsidRPr="00641640">
        <w:rPr>
          <w:rStyle w:val="rynqvb"/>
          <w:rFonts w:ascii="Times New Roman" w:hAnsi="Times New Roman" w:cs="Times New Roman"/>
          <w:noProof/>
          <w:sz w:val="24"/>
          <w:szCs w:val="24"/>
          <w:lang w:val="sq-AL"/>
        </w:rPr>
        <w:t xml:space="preserve">hvillimin, </w:t>
      </w:r>
      <w:r w:rsidR="002A77F4" w:rsidRPr="00641640">
        <w:rPr>
          <w:rStyle w:val="rynqvb"/>
          <w:rFonts w:ascii="Times New Roman" w:hAnsi="Times New Roman" w:cs="Times New Roman"/>
          <w:noProof/>
          <w:sz w:val="24"/>
          <w:szCs w:val="24"/>
          <w:lang w:val="sq-AL"/>
        </w:rPr>
        <w:t>i</w:t>
      </w:r>
      <w:r w:rsidRPr="00641640">
        <w:rPr>
          <w:rStyle w:val="rynqvb"/>
          <w:rFonts w:ascii="Times New Roman" w:hAnsi="Times New Roman" w:cs="Times New Roman"/>
          <w:noProof/>
          <w:sz w:val="24"/>
          <w:szCs w:val="24"/>
          <w:lang w:val="sq-AL"/>
        </w:rPr>
        <w:t xml:space="preserve">ntegrimin </w:t>
      </w:r>
      <w:r w:rsidR="002A77F4" w:rsidRPr="00641640">
        <w:rPr>
          <w:rStyle w:val="rynqvb"/>
          <w:rFonts w:ascii="Times New Roman" w:hAnsi="Times New Roman" w:cs="Times New Roman"/>
          <w:noProof/>
          <w:sz w:val="24"/>
          <w:szCs w:val="24"/>
          <w:lang w:val="sq-AL"/>
        </w:rPr>
        <w:t>e</w:t>
      </w:r>
      <w:r w:rsidRPr="00641640">
        <w:rPr>
          <w:rStyle w:val="rynqvb"/>
          <w:rFonts w:ascii="Times New Roman" w:hAnsi="Times New Roman" w:cs="Times New Roman"/>
          <w:noProof/>
          <w:sz w:val="24"/>
          <w:szCs w:val="24"/>
          <w:lang w:val="sq-AL"/>
        </w:rPr>
        <w:t xml:space="preserve">vropian, </w:t>
      </w:r>
      <w:r w:rsidR="002A77F4" w:rsidRPr="00641640">
        <w:rPr>
          <w:rStyle w:val="rynqvb"/>
          <w:rFonts w:ascii="Times New Roman" w:hAnsi="Times New Roman" w:cs="Times New Roman"/>
          <w:noProof/>
          <w:sz w:val="24"/>
          <w:szCs w:val="24"/>
          <w:lang w:val="sq-AL"/>
        </w:rPr>
        <w:t>r</w:t>
      </w:r>
      <w:r w:rsidRPr="00641640">
        <w:rPr>
          <w:rStyle w:val="rynqvb"/>
          <w:rFonts w:ascii="Times New Roman" w:hAnsi="Times New Roman" w:cs="Times New Roman"/>
          <w:noProof/>
          <w:sz w:val="24"/>
          <w:szCs w:val="24"/>
          <w:lang w:val="sq-AL"/>
        </w:rPr>
        <w:t xml:space="preserve">eformat </w:t>
      </w:r>
      <w:r w:rsidR="002A77F4" w:rsidRPr="00641640">
        <w:rPr>
          <w:rStyle w:val="rynqvb"/>
          <w:rFonts w:ascii="Times New Roman" w:hAnsi="Times New Roman" w:cs="Times New Roman"/>
          <w:noProof/>
          <w:sz w:val="24"/>
          <w:szCs w:val="24"/>
          <w:lang w:val="sq-AL"/>
        </w:rPr>
        <w:t>e</w:t>
      </w:r>
      <w:r w:rsidRPr="00641640">
        <w:rPr>
          <w:rStyle w:val="rynqvb"/>
          <w:rFonts w:ascii="Times New Roman" w:hAnsi="Times New Roman" w:cs="Times New Roman"/>
          <w:noProof/>
          <w:sz w:val="24"/>
          <w:szCs w:val="24"/>
          <w:lang w:val="sq-AL"/>
        </w:rPr>
        <w:t xml:space="preserve">konomike dhe </w:t>
      </w:r>
      <w:r w:rsidR="002A77F4" w:rsidRPr="00641640">
        <w:rPr>
          <w:rStyle w:val="rynqvb"/>
          <w:rFonts w:ascii="Times New Roman" w:hAnsi="Times New Roman" w:cs="Times New Roman"/>
          <w:noProof/>
          <w:sz w:val="24"/>
          <w:szCs w:val="24"/>
          <w:lang w:val="sq-AL"/>
        </w:rPr>
        <w:t>q</w:t>
      </w:r>
      <w:r w:rsidRPr="00641640">
        <w:rPr>
          <w:rStyle w:val="rynqvb"/>
          <w:rFonts w:ascii="Times New Roman" w:hAnsi="Times New Roman" w:cs="Times New Roman"/>
          <w:noProof/>
          <w:sz w:val="24"/>
          <w:szCs w:val="24"/>
          <w:lang w:val="sq-AL"/>
        </w:rPr>
        <w:t xml:space="preserve">everisjen e </w:t>
      </w:r>
      <w:r w:rsidR="002A77F4" w:rsidRPr="00641640">
        <w:rPr>
          <w:rStyle w:val="rynqvb"/>
          <w:rFonts w:ascii="Times New Roman" w:hAnsi="Times New Roman" w:cs="Times New Roman"/>
          <w:noProof/>
          <w:sz w:val="24"/>
          <w:szCs w:val="24"/>
          <w:lang w:val="sq-AL"/>
        </w:rPr>
        <w:t>m</w:t>
      </w:r>
      <w:r w:rsidRPr="00641640">
        <w:rPr>
          <w:rStyle w:val="rynqvb"/>
          <w:rFonts w:ascii="Times New Roman" w:hAnsi="Times New Roman" w:cs="Times New Roman"/>
          <w:noProof/>
          <w:sz w:val="24"/>
          <w:szCs w:val="24"/>
          <w:lang w:val="sq-AL"/>
        </w:rPr>
        <w:t xml:space="preserve">irë, </w:t>
      </w:r>
      <w:r w:rsidR="003121DF"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3121DF" w:rsidRPr="00641640">
        <w:rPr>
          <w:rFonts w:ascii="Times New Roman" w:hAnsi="Times New Roman" w:cs="Times New Roman"/>
          <w:noProof/>
          <w:sz w:val="24"/>
          <w:szCs w:val="24"/>
          <w:lang w:val="sq-AL"/>
        </w:rPr>
        <w:t xml:space="preserve"> cilat detajohen </w:t>
      </w:r>
      <w:r w:rsidR="00C97559"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C97559" w:rsidRPr="00641640">
        <w:rPr>
          <w:rFonts w:ascii="Times New Roman" w:hAnsi="Times New Roman" w:cs="Times New Roman"/>
          <w:noProof/>
          <w:sz w:val="24"/>
          <w:szCs w:val="24"/>
          <w:lang w:val="sq-AL"/>
        </w:rPr>
        <w:t>rkat</w:t>
      </w:r>
      <w:r w:rsidR="00064AC5" w:rsidRPr="00641640">
        <w:rPr>
          <w:rFonts w:ascii="Times New Roman" w:hAnsi="Times New Roman" w:cs="Times New Roman"/>
          <w:noProof/>
          <w:sz w:val="24"/>
          <w:szCs w:val="24"/>
          <w:lang w:val="sq-AL"/>
        </w:rPr>
        <w:t>ë</w:t>
      </w:r>
      <w:r w:rsidR="00C97559" w:rsidRPr="00641640">
        <w:rPr>
          <w:rFonts w:ascii="Times New Roman" w:hAnsi="Times New Roman" w:cs="Times New Roman"/>
          <w:noProof/>
          <w:sz w:val="24"/>
          <w:szCs w:val="24"/>
          <w:lang w:val="sq-AL"/>
        </w:rPr>
        <w:t xml:space="preserve">sisht </w:t>
      </w:r>
      <w:r w:rsidR="003121DF" w:rsidRPr="00641640">
        <w:rPr>
          <w:rFonts w:ascii="Times New Roman" w:hAnsi="Times New Roman" w:cs="Times New Roman"/>
          <w:noProof/>
          <w:sz w:val="24"/>
          <w:szCs w:val="24"/>
          <w:lang w:val="sq-AL"/>
        </w:rPr>
        <w:t>n</w:t>
      </w:r>
      <w:r w:rsidR="00064AC5" w:rsidRPr="00641640">
        <w:rPr>
          <w:rFonts w:ascii="Times New Roman" w:hAnsi="Times New Roman" w:cs="Times New Roman"/>
          <w:noProof/>
          <w:sz w:val="24"/>
          <w:szCs w:val="24"/>
          <w:lang w:val="sq-AL"/>
        </w:rPr>
        <w:t>ë</w:t>
      </w:r>
      <w:r w:rsidR="003121DF" w:rsidRPr="00641640">
        <w:rPr>
          <w:rFonts w:ascii="Times New Roman" w:hAnsi="Times New Roman" w:cs="Times New Roman"/>
          <w:noProof/>
          <w:sz w:val="24"/>
          <w:szCs w:val="24"/>
          <w:lang w:val="sq-AL"/>
        </w:rPr>
        <w:t xml:space="preserve"> dokumentat e m</w:t>
      </w:r>
      <w:r w:rsidR="00064AC5" w:rsidRPr="00641640">
        <w:rPr>
          <w:rFonts w:ascii="Times New Roman" w:hAnsi="Times New Roman" w:cs="Times New Roman"/>
          <w:noProof/>
          <w:sz w:val="24"/>
          <w:szCs w:val="24"/>
          <w:lang w:val="sq-AL"/>
        </w:rPr>
        <w:t>ë</w:t>
      </w:r>
      <w:r w:rsidR="003121DF" w:rsidRPr="00641640">
        <w:rPr>
          <w:rFonts w:ascii="Times New Roman" w:hAnsi="Times New Roman" w:cs="Times New Roman"/>
          <w:noProof/>
          <w:sz w:val="24"/>
          <w:szCs w:val="24"/>
          <w:lang w:val="sq-AL"/>
        </w:rPr>
        <w:t>posht</w:t>
      </w:r>
      <w:r w:rsidR="00064AC5" w:rsidRPr="00641640">
        <w:rPr>
          <w:rFonts w:ascii="Times New Roman" w:hAnsi="Times New Roman" w:cs="Times New Roman"/>
          <w:noProof/>
          <w:sz w:val="24"/>
          <w:szCs w:val="24"/>
          <w:lang w:val="sq-AL"/>
        </w:rPr>
        <w:t>ë</w:t>
      </w:r>
      <w:r w:rsidR="003121DF" w:rsidRPr="00641640">
        <w:rPr>
          <w:rFonts w:ascii="Times New Roman" w:hAnsi="Times New Roman" w:cs="Times New Roman"/>
          <w:noProof/>
          <w:sz w:val="24"/>
          <w:szCs w:val="24"/>
          <w:lang w:val="sq-AL"/>
        </w:rPr>
        <w:t>m strategjik</w:t>
      </w:r>
      <w:r w:rsidR="00064AC5" w:rsidRPr="00641640">
        <w:rPr>
          <w:rFonts w:ascii="Times New Roman" w:hAnsi="Times New Roman" w:cs="Times New Roman"/>
          <w:noProof/>
          <w:sz w:val="24"/>
          <w:szCs w:val="24"/>
          <w:lang w:val="sq-AL"/>
        </w:rPr>
        <w:t>ë</w:t>
      </w:r>
      <w:r w:rsidRPr="00641640">
        <w:rPr>
          <w:rStyle w:val="rynqvb"/>
          <w:rFonts w:ascii="Times New Roman" w:hAnsi="Times New Roman" w:cs="Times New Roman"/>
          <w:noProof/>
          <w:sz w:val="24"/>
          <w:szCs w:val="24"/>
          <w:lang w:val="sq-AL"/>
        </w:rPr>
        <w:t>:</w:t>
      </w:r>
    </w:p>
    <w:p w14:paraId="5D032BB0" w14:textId="6884E909" w:rsidR="00FD1BAC" w:rsidRPr="00641640" w:rsidRDefault="00FD1BAC" w:rsidP="003A395D">
      <w:pPr>
        <w:pStyle w:val="N-Bullet"/>
        <w:numPr>
          <w:ilvl w:val="0"/>
          <w:numId w:val="3"/>
        </w:num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Strategji</w:t>
      </w:r>
      <w:r w:rsidR="002A77F4" w:rsidRPr="00641640">
        <w:rPr>
          <w:rFonts w:ascii="Times New Roman" w:hAnsi="Times New Roman" w:cs="Times New Roman"/>
          <w:noProof/>
          <w:sz w:val="24"/>
          <w:szCs w:val="24"/>
          <w:lang w:val="sq-AL"/>
        </w:rPr>
        <w:t>a</w:t>
      </w:r>
      <w:r w:rsidRPr="00641640">
        <w:rPr>
          <w:rFonts w:ascii="Times New Roman" w:hAnsi="Times New Roman" w:cs="Times New Roman"/>
          <w:noProof/>
          <w:sz w:val="24"/>
          <w:szCs w:val="24"/>
          <w:lang w:val="sq-AL"/>
        </w:rPr>
        <w:t xml:space="preserve"> </w:t>
      </w:r>
      <w:r w:rsidRPr="00641640">
        <w:rPr>
          <w:rStyle w:val="rynqvb"/>
          <w:rFonts w:ascii="Times New Roman" w:hAnsi="Times New Roman" w:cs="Times New Roman"/>
          <w:noProof/>
          <w:sz w:val="24"/>
          <w:szCs w:val="24"/>
          <w:lang w:val="sq-AL"/>
        </w:rPr>
        <w:t>Kombëtare për Zhvillim dhe Integrim Evropian (SKZHIE) 2022-2030</w:t>
      </w:r>
      <w:r w:rsidR="003121DF" w:rsidRPr="00641640">
        <w:rPr>
          <w:rStyle w:val="rynqvb"/>
          <w:rFonts w:ascii="Times New Roman" w:hAnsi="Times New Roman" w:cs="Times New Roman"/>
          <w:noProof/>
          <w:sz w:val="24"/>
          <w:szCs w:val="24"/>
          <w:lang w:val="sq-AL"/>
        </w:rPr>
        <w:t>;</w:t>
      </w:r>
      <w:r w:rsidR="001751FD" w:rsidRPr="00641640">
        <w:rPr>
          <w:rStyle w:val="FootnoteReference"/>
          <w:rFonts w:ascii="Times New Roman" w:hAnsi="Times New Roman" w:cs="Times New Roman"/>
          <w:noProof/>
          <w:sz w:val="24"/>
          <w:szCs w:val="24"/>
          <w:lang w:val="sq-AL"/>
        </w:rPr>
        <w:footnoteReference w:id="14"/>
      </w:r>
    </w:p>
    <w:p w14:paraId="5FCD0BF9" w14:textId="37212957" w:rsidR="001530E5" w:rsidRPr="00641640" w:rsidRDefault="001530E5" w:rsidP="003A395D">
      <w:pPr>
        <w:pStyle w:val="N-Bullet"/>
        <w:numPr>
          <w:ilvl w:val="0"/>
          <w:numId w:val="3"/>
        </w:num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Programi Kombëtar për Aderimin në Bashkimin Evropian (PKABE) 2024-2030</w:t>
      </w:r>
      <w:r w:rsidR="003121DF" w:rsidRPr="00641640">
        <w:rPr>
          <w:rFonts w:ascii="Times New Roman" w:hAnsi="Times New Roman" w:cs="Times New Roman"/>
          <w:noProof/>
          <w:sz w:val="24"/>
          <w:szCs w:val="24"/>
          <w:lang w:val="sq-AL"/>
        </w:rPr>
        <w:t>;</w:t>
      </w:r>
    </w:p>
    <w:p w14:paraId="3F808BEE" w14:textId="1CC0A73E" w:rsidR="00FD1BAC" w:rsidRPr="00641640" w:rsidRDefault="00FD1BAC" w:rsidP="003A395D">
      <w:pPr>
        <w:pStyle w:val="N-Bullet"/>
        <w:numPr>
          <w:ilvl w:val="0"/>
          <w:numId w:val="3"/>
        </w:numPr>
        <w:spacing w:line="276" w:lineRule="auto"/>
        <w:jc w:val="both"/>
        <w:rPr>
          <w:rStyle w:val="rynqvb"/>
          <w:rFonts w:ascii="Times New Roman" w:hAnsi="Times New Roman" w:cs="Times New Roman"/>
          <w:noProof/>
          <w:sz w:val="24"/>
          <w:szCs w:val="24"/>
          <w:lang w:val="sq-AL"/>
        </w:rPr>
      </w:pPr>
      <w:r w:rsidRPr="00641640">
        <w:rPr>
          <w:rStyle w:val="rynqvb"/>
          <w:rFonts w:ascii="Times New Roman" w:hAnsi="Times New Roman" w:cs="Times New Roman"/>
          <w:noProof/>
          <w:sz w:val="24"/>
          <w:szCs w:val="24"/>
          <w:lang w:val="sq-AL"/>
        </w:rPr>
        <w:t>Plani Kombëtar për Integrimin Evropian (PKIE)</w:t>
      </w:r>
      <w:r w:rsidR="003121DF" w:rsidRPr="00641640">
        <w:rPr>
          <w:rStyle w:val="rynqvb"/>
          <w:rFonts w:ascii="Times New Roman" w:hAnsi="Times New Roman" w:cs="Times New Roman"/>
          <w:noProof/>
          <w:sz w:val="24"/>
          <w:szCs w:val="24"/>
          <w:lang w:val="sq-AL"/>
        </w:rPr>
        <w:t>;</w:t>
      </w:r>
      <w:r w:rsidRPr="00641640">
        <w:rPr>
          <w:rStyle w:val="rynqvb"/>
          <w:rFonts w:ascii="Times New Roman" w:hAnsi="Times New Roman" w:cs="Times New Roman"/>
          <w:noProof/>
          <w:sz w:val="24"/>
          <w:szCs w:val="24"/>
          <w:lang w:val="sq-AL"/>
        </w:rPr>
        <w:t xml:space="preserve"> </w:t>
      </w:r>
    </w:p>
    <w:p w14:paraId="30BF89F3" w14:textId="485777E6" w:rsidR="00854523" w:rsidRPr="00641640" w:rsidRDefault="00854523" w:rsidP="003A395D">
      <w:pPr>
        <w:pStyle w:val="N-Bullet"/>
        <w:numPr>
          <w:ilvl w:val="0"/>
          <w:numId w:val="3"/>
        </w:numPr>
        <w:spacing w:line="276" w:lineRule="auto"/>
        <w:jc w:val="both"/>
        <w:rPr>
          <w:rStyle w:val="rynqvb"/>
          <w:rFonts w:ascii="Times New Roman" w:hAnsi="Times New Roman" w:cs="Times New Roman"/>
          <w:noProof/>
          <w:sz w:val="24"/>
          <w:szCs w:val="24"/>
          <w:lang w:val="sq-AL"/>
        </w:rPr>
      </w:pPr>
      <w:r w:rsidRPr="00641640">
        <w:rPr>
          <w:rStyle w:val="rynqvb"/>
          <w:rFonts w:ascii="Times New Roman" w:hAnsi="Times New Roman" w:cs="Times New Roman"/>
          <w:noProof/>
          <w:sz w:val="24"/>
          <w:szCs w:val="24"/>
          <w:lang w:val="sq-AL"/>
        </w:rPr>
        <w:t>Dokumenti i Politikës “Agjenda Kombëtare e Reformave (AKR) 2024</w:t>
      </w:r>
      <w:r w:rsidR="002D647C" w:rsidRPr="00641640">
        <w:rPr>
          <w:rStyle w:val="rynqvb"/>
          <w:rFonts w:ascii="Times New Roman" w:hAnsi="Times New Roman" w:cs="Times New Roman"/>
          <w:noProof/>
          <w:sz w:val="24"/>
          <w:szCs w:val="24"/>
          <w:lang w:val="sq-AL"/>
        </w:rPr>
        <w:t>-</w:t>
      </w:r>
      <w:r w:rsidRPr="00641640">
        <w:rPr>
          <w:rStyle w:val="rynqvb"/>
          <w:rFonts w:ascii="Times New Roman" w:hAnsi="Times New Roman" w:cs="Times New Roman"/>
          <w:noProof/>
          <w:sz w:val="24"/>
          <w:szCs w:val="24"/>
          <w:lang w:val="sq-AL"/>
        </w:rPr>
        <w:t>2027”</w:t>
      </w:r>
      <w:r w:rsidR="003121DF" w:rsidRPr="00641640">
        <w:rPr>
          <w:rStyle w:val="rynqvb"/>
          <w:rFonts w:ascii="Times New Roman" w:hAnsi="Times New Roman" w:cs="Times New Roman"/>
          <w:noProof/>
          <w:sz w:val="24"/>
          <w:szCs w:val="24"/>
          <w:lang w:val="sq-AL"/>
        </w:rPr>
        <w:t>;</w:t>
      </w:r>
      <w:r w:rsidR="002D647C" w:rsidRPr="00641640">
        <w:rPr>
          <w:rStyle w:val="FootnoteReference"/>
          <w:rFonts w:ascii="Times New Roman" w:hAnsi="Times New Roman" w:cs="Times New Roman"/>
          <w:noProof/>
          <w:sz w:val="24"/>
          <w:szCs w:val="24"/>
          <w:lang w:val="sq-AL"/>
        </w:rPr>
        <w:footnoteReference w:id="15"/>
      </w:r>
    </w:p>
    <w:p w14:paraId="4B606E5A" w14:textId="2148A8C3" w:rsidR="00854523" w:rsidRPr="00641640" w:rsidRDefault="00854523" w:rsidP="003A395D">
      <w:pPr>
        <w:pStyle w:val="N-Bullet"/>
        <w:numPr>
          <w:ilvl w:val="0"/>
          <w:numId w:val="3"/>
        </w:numPr>
        <w:spacing w:line="276" w:lineRule="auto"/>
        <w:jc w:val="both"/>
        <w:rPr>
          <w:rStyle w:val="rynqvb"/>
          <w:rFonts w:ascii="Times New Roman" w:hAnsi="Times New Roman" w:cs="Times New Roman"/>
          <w:noProof/>
          <w:sz w:val="24"/>
          <w:szCs w:val="24"/>
          <w:lang w:val="sq-AL"/>
        </w:rPr>
      </w:pPr>
      <w:r w:rsidRPr="00641640">
        <w:rPr>
          <w:rStyle w:val="rynqvb"/>
          <w:rFonts w:ascii="Times New Roman" w:hAnsi="Times New Roman" w:cs="Times New Roman"/>
          <w:noProof/>
          <w:sz w:val="24"/>
          <w:szCs w:val="24"/>
          <w:lang w:val="sq-AL"/>
        </w:rPr>
        <w:t>Programi i Reformës Ekonomike (PRE)</w:t>
      </w:r>
      <w:r w:rsidR="003121DF" w:rsidRPr="00641640">
        <w:rPr>
          <w:rStyle w:val="rynqvb"/>
          <w:rFonts w:ascii="Times New Roman" w:hAnsi="Times New Roman" w:cs="Times New Roman"/>
          <w:noProof/>
          <w:sz w:val="24"/>
          <w:szCs w:val="24"/>
          <w:lang w:val="sq-AL"/>
        </w:rPr>
        <w:t>;</w:t>
      </w:r>
      <w:r w:rsidRPr="00641640">
        <w:rPr>
          <w:rStyle w:val="rynqvb"/>
          <w:rFonts w:ascii="Times New Roman" w:hAnsi="Times New Roman" w:cs="Times New Roman"/>
          <w:noProof/>
          <w:sz w:val="24"/>
          <w:szCs w:val="24"/>
          <w:lang w:val="sq-AL"/>
        </w:rPr>
        <w:t xml:space="preserve"> </w:t>
      </w:r>
    </w:p>
    <w:p w14:paraId="752A2317" w14:textId="6EB05CA1" w:rsidR="001530E5" w:rsidRPr="00641640" w:rsidRDefault="001530E5" w:rsidP="003A395D">
      <w:pPr>
        <w:pStyle w:val="N-Bullet"/>
        <w:numPr>
          <w:ilvl w:val="0"/>
          <w:numId w:val="3"/>
        </w:num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Udhërrëfyesi për Reformën në Administratën Publike 2023</w:t>
      </w:r>
      <w:r w:rsidR="002D647C"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2030</w:t>
      </w:r>
      <w:r w:rsidR="003121DF" w:rsidRPr="00641640">
        <w:rPr>
          <w:rFonts w:ascii="Times New Roman" w:hAnsi="Times New Roman" w:cs="Times New Roman"/>
          <w:noProof/>
          <w:sz w:val="24"/>
          <w:szCs w:val="24"/>
          <w:lang w:val="sq-AL"/>
        </w:rPr>
        <w:t>;</w:t>
      </w:r>
    </w:p>
    <w:p w14:paraId="4184F690" w14:textId="50F4BD03" w:rsidR="00FD1BAC" w:rsidRPr="00641640" w:rsidRDefault="00FD1BAC" w:rsidP="003A395D">
      <w:pPr>
        <w:pStyle w:val="N-Bullet"/>
        <w:numPr>
          <w:ilvl w:val="0"/>
          <w:numId w:val="3"/>
        </w:numPr>
        <w:spacing w:line="276" w:lineRule="auto"/>
        <w:jc w:val="both"/>
        <w:rPr>
          <w:rStyle w:val="rynqvb"/>
          <w:rFonts w:ascii="Times New Roman" w:hAnsi="Times New Roman" w:cs="Times New Roman"/>
          <w:noProof/>
          <w:sz w:val="24"/>
          <w:szCs w:val="24"/>
          <w:lang w:val="sq-AL"/>
        </w:rPr>
      </w:pPr>
      <w:r w:rsidRPr="00641640">
        <w:rPr>
          <w:rStyle w:val="rynqvb"/>
          <w:rFonts w:ascii="Times New Roman" w:hAnsi="Times New Roman" w:cs="Times New Roman"/>
          <w:noProof/>
          <w:sz w:val="24"/>
          <w:szCs w:val="24"/>
          <w:lang w:val="sq-AL"/>
        </w:rPr>
        <w:t>Strategji</w:t>
      </w:r>
      <w:r w:rsidR="002A77F4" w:rsidRPr="00641640">
        <w:rPr>
          <w:rStyle w:val="rynqvb"/>
          <w:rFonts w:ascii="Times New Roman" w:hAnsi="Times New Roman" w:cs="Times New Roman"/>
          <w:noProof/>
          <w:sz w:val="24"/>
          <w:szCs w:val="24"/>
          <w:lang w:val="sq-AL"/>
        </w:rPr>
        <w:t>a</w:t>
      </w:r>
      <w:r w:rsidRPr="00641640">
        <w:rPr>
          <w:rStyle w:val="rynqvb"/>
          <w:rFonts w:ascii="Times New Roman" w:hAnsi="Times New Roman" w:cs="Times New Roman"/>
          <w:noProof/>
          <w:sz w:val="24"/>
          <w:szCs w:val="24"/>
          <w:lang w:val="sq-AL"/>
        </w:rPr>
        <w:t xml:space="preserve"> Ndërsektoriale për Decentralizimin dhe Qeverisjen Vendore 2023</w:t>
      </w:r>
      <w:r w:rsidR="002D647C" w:rsidRPr="00641640">
        <w:rPr>
          <w:rStyle w:val="rynqvb"/>
          <w:rFonts w:ascii="Times New Roman" w:hAnsi="Times New Roman" w:cs="Times New Roman"/>
          <w:noProof/>
          <w:sz w:val="24"/>
          <w:szCs w:val="24"/>
          <w:lang w:val="sq-AL"/>
        </w:rPr>
        <w:t>-</w:t>
      </w:r>
      <w:r w:rsidRPr="00641640">
        <w:rPr>
          <w:rStyle w:val="rynqvb"/>
          <w:rFonts w:ascii="Times New Roman" w:hAnsi="Times New Roman" w:cs="Times New Roman"/>
          <w:noProof/>
          <w:sz w:val="24"/>
          <w:szCs w:val="24"/>
          <w:lang w:val="sq-AL"/>
        </w:rPr>
        <w:t>2030</w:t>
      </w:r>
      <w:r w:rsidR="003121DF" w:rsidRPr="00641640">
        <w:rPr>
          <w:rStyle w:val="rynqvb"/>
          <w:rFonts w:ascii="Times New Roman" w:hAnsi="Times New Roman" w:cs="Times New Roman"/>
          <w:noProof/>
          <w:sz w:val="24"/>
          <w:szCs w:val="24"/>
          <w:lang w:val="sq-AL"/>
        </w:rPr>
        <w:t>;</w:t>
      </w:r>
      <w:r w:rsidR="001751FD" w:rsidRPr="00641640">
        <w:rPr>
          <w:rStyle w:val="FootnoteReference"/>
          <w:rFonts w:ascii="Times New Roman" w:hAnsi="Times New Roman" w:cs="Times New Roman"/>
          <w:noProof/>
          <w:sz w:val="24"/>
          <w:szCs w:val="24"/>
          <w:lang w:val="sq-AL"/>
        </w:rPr>
        <w:footnoteReference w:id="16"/>
      </w:r>
    </w:p>
    <w:p w14:paraId="2BFA87DA" w14:textId="5803EC69" w:rsidR="001530E5" w:rsidRPr="00641640" w:rsidRDefault="001530E5" w:rsidP="003A395D">
      <w:pPr>
        <w:pStyle w:val="N-Bullet"/>
        <w:numPr>
          <w:ilvl w:val="0"/>
          <w:numId w:val="3"/>
        </w:numPr>
        <w:spacing w:line="276" w:lineRule="auto"/>
        <w:jc w:val="both"/>
        <w:rPr>
          <w:rStyle w:val="rynqvb"/>
          <w:rFonts w:ascii="Times New Roman" w:hAnsi="Times New Roman" w:cs="Times New Roman"/>
          <w:noProof/>
          <w:sz w:val="24"/>
          <w:szCs w:val="24"/>
          <w:lang w:val="sq-AL"/>
        </w:rPr>
      </w:pPr>
      <w:r w:rsidRPr="00641640">
        <w:rPr>
          <w:rStyle w:val="rynqvb"/>
          <w:rFonts w:ascii="Times New Roman" w:hAnsi="Times New Roman" w:cs="Times New Roman"/>
          <w:noProof/>
          <w:sz w:val="24"/>
          <w:szCs w:val="24"/>
          <w:lang w:val="sq-AL"/>
        </w:rPr>
        <w:t xml:space="preserve">Strategjia </w:t>
      </w:r>
      <w:r w:rsidR="00C97559" w:rsidRPr="00641640">
        <w:rPr>
          <w:rStyle w:val="rynqvb"/>
          <w:rFonts w:ascii="Times New Roman" w:hAnsi="Times New Roman" w:cs="Times New Roman"/>
          <w:noProof/>
          <w:sz w:val="24"/>
          <w:szCs w:val="24"/>
          <w:lang w:val="sq-AL"/>
        </w:rPr>
        <w:t>Nd</w:t>
      </w:r>
      <w:r w:rsidR="00064AC5" w:rsidRPr="00641640">
        <w:rPr>
          <w:rStyle w:val="rynqvb"/>
          <w:rFonts w:ascii="Times New Roman" w:hAnsi="Times New Roman" w:cs="Times New Roman"/>
          <w:noProof/>
          <w:sz w:val="24"/>
          <w:szCs w:val="24"/>
          <w:lang w:val="sq-AL"/>
        </w:rPr>
        <w:t>ë</w:t>
      </w:r>
      <w:r w:rsidR="00C97559" w:rsidRPr="00641640">
        <w:rPr>
          <w:rStyle w:val="rynqvb"/>
          <w:rFonts w:ascii="Times New Roman" w:hAnsi="Times New Roman" w:cs="Times New Roman"/>
          <w:noProof/>
          <w:sz w:val="24"/>
          <w:szCs w:val="24"/>
          <w:lang w:val="sq-AL"/>
        </w:rPr>
        <w:t>rsektoriale “Agjenda Digjitale e Shqip</w:t>
      </w:r>
      <w:r w:rsidR="00064AC5" w:rsidRPr="00641640">
        <w:rPr>
          <w:rStyle w:val="rynqvb"/>
          <w:rFonts w:ascii="Times New Roman" w:hAnsi="Times New Roman" w:cs="Times New Roman"/>
          <w:noProof/>
          <w:sz w:val="24"/>
          <w:szCs w:val="24"/>
          <w:lang w:val="sq-AL"/>
        </w:rPr>
        <w:t>ë</w:t>
      </w:r>
      <w:r w:rsidR="00C97559" w:rsidRPr="00641640">
        <w:rPr>
          <w:rStyle w:val="rynqvb"/>
          <w:rFonts w:ascii="Times New Roman" w:hAnsi="Times New Roman" w:cs="Times New Roman"/>
          <w:noProof/>
          <w:sz w:val="24"/>
          <w:szCs w:val="24"/>
          <w:lang w:val="sq-AL"/>
        </w:rPr>
        <w:t>ris</w:t>
      </w:r>
      <w:r w:rsidR="00064AC5" w:rsidRPr="00641640">
        <w:rPr>
          <w:rStyle w:val="rynqvb"/>
          <w:rFonts w:ascii="Times New Roman" w:hAnsi="Times New Roman" w:cs="Times New Roman"/>
          <w:noProof/>
          <w:sz w:val="24"/>
          <w:szCs w:val="24"/>
          <w:lang w:val="sq-AL"/>
        </w:rPr>
        <w:t>ë</w:t>
      </w:r>
      <w:r w:rsidR="00C97559" w:rsidRPr="00641640">
        <w:rPr>
          <w:rStyle w:val="rynqvb"/>
          <w:rFonts w:ascii="Times New Roman" w:hAnsi="Times New Roman" w:cs="Times New Roman"/>
          <w:noProof/>
          <w:sz w:val="24"/>
          <w:szCs w:val="24"/>
          <w:lang w:val="sq-AL"/>
        </w:rPr>
        <w:t xml:space="preserve"> </w:t>
      </w:r>
      <w:r w:rsidRPr="00641640">
        <w:rPr>
          <w:rStyle w:val="rynqvb"/>
          <w:rFonts w:ascii="Times New Roman" w:hAnsi="Times New Roman" w:cs="Times New Roman"/>
          <w:noProof/>
          <w:sz w:val="24"/>
          <w:szCs w:val="24"/>
          <w:lang w:val="sq-AL"/>
        </w:rPr>
        <w:t>2022</w:t>
      </w:r>
      <w:r w:rsidR="002D647C" w:rsidRPr="00641640">
        <w:rPr>
          <w:rStyle w:val="rynqvb"/>
          <w:rFonts w:ascii="Times New Roman" w:hAnsi="Times New Roman" w:cs="Times New Roman"/>
          <w:noProof/>
          <w:sz w:val="24"/>
          <w:szCs w:val="24"/>
          <w:lang w:val="sq-AL"/>
        </w:rPr>
        <w:t>-</w:t>
      </w:r>
      <w:r w:rsidRPr="00641640">
        <w:rPr>
          <w:rStyle w:val="rynqvb"/>
          <w:rFonts w:ascii="Times New Roman" w:hAnsi="Times New Roman" w:cs="Times New Roman"/>
          <w:noProof/>
          <w:sz w:val="24"/>
          <w:szCs w:val="24"/>
          <w:lang w:val="sq-AL"/>
        </w:rPr>
        <w:t>2026</w:t>
      </w:r>
      <w:r w:rsidR="00C97559" w:rsidRPr="00641640">
        <w:rPr>
          <w:rStyle w:val="rynqvb"/>
          <w:rFonts w:ascii="Times New Roman" w:hAnsi="Times New Roman" w:cs="Times New Roman"/>
          <w:noProof/>
          <w:sz w:val="24"/>
          <w:szCs w:val="24"/>
          <w:lang w:val="sq-AL"/>
        </w:rPr>
        <w:t>”</w:t>
      </w:r>
      <w:r w:rsidR="007F4C36" w:rsidRPr="00641640">
        <w:rPr>
          <w:rStyle w:val="rynqvb"/>
          <w:rFonts w:ascii="Times New Roman" w:hAnsi="Times New Roman" w:cs="Times New Roman"/>
          <w:noProof/>
          <w:sz w:val="24"/>
          <w:szCs w:val="24"/>
          <w:lang w:val="sq-AL"/>
        </w:rPr>
        <w:t xml:space="preserve"> dhe Plani i Veprimit</w:t>
      </w:r>
      <w:r w:rsidR="003121DF" w:rsidRPr="00641640">
        <w:rPr>
          <w:rStyle w:val="rynqvb"/>
          <w:rFonts w:ascii="Times New Roman" w:hAnsi="Times New Roman" w:cs="Times New Roman"/>
          <w:noProof/>
          <w:sz w:val="24"/>
          <w:szCs w:val="24"/>
          <w:lang w:val="sq-AL"/>
        </w:rPr>
        <w:t>;</w:t>
      </w:r>
      <w:r w:rsidR="00C97559" w:rsidRPr="00641640">
        <w:rPr>
          <w:rStyle w:val="FootnoteReference"/>
          <w:rFonts w:ascii="Times New Roman" w:hAnsi="Times New Roman" w:cs="Times New Roman"/>
          <w:noProof/>
          <w:sz w:val="24"/>
          <w:szCs w:val="24"/>
          <w:lang w:val="sq-AL"/>
        </w:rPr>
        <w:footnoteReference w:id="17"/>
      </w:r>
    </w:p>
    <w:p w14:paraId="4B0FB0DC" w14:textId="29916D8F" w:rsidR="007F4C36" w:rsidRPr="00641640" w:rsidRDefault="007F4C36" w:rsidP="003A395D">
      <w:pPr>
        <w:pStyle w:val="N-Bullet"/>
        <w:numPr>
          <w:ilvl w:val="0"/>
          <w:numId w:val="3"/>
        </w:numPr>
        <w:spacing w:line="276" w:lineRule="auto"/>
        <w:jc w:val="both"/>
        <w:rPr>
          <w:rStyle w:val="rynqvb"/>
          <w:rFonts w:ascii="Times New Roman" w:hAnsi="Times New Roman" w:cs="Times New Roman"/>
          <w:noProof/>
          <w:sz w:val="24"/>
          <w:szCs w:val="24"/>
          <w:lang w:val="sq-AL"/>
        </w:rPr>
      </w:pPr>
      <w:r w:rsidRPr="00641640">
        <w:rPr>
          <w:rStyle w:val="rynqvb"/>
          <w:rFonts w:ascii="Times New Roman" w:hAnsi="Times New Roman" w:cs="Times New Roman"/>
          <w:noProof/>
          <w:sz w:val="24"/>
          <w:szCs w:val="24"/>
          <w:lang w:val="sq-AL"/>
        </w:rPr>
        <w:t>Strategjia e Menaxhimit të Financave Publike 2023</w:t>
      </w:r>
      <w:r w:rsidR="002D647C" w:rsidRPr="00641640">
        <w:rPr>
          <w:rStyle w:val="rynqvb"/>
          <w:rFonts w:ascii="Times New Roman" w:hAnsi="Times New Roman" w:cs="Times New Roman"/>
          <w:noProof/>
          <w:sz w:val="24"/>
          <w:szCs w:val="24"/>
          <w:lang w:val="sq-AL"/>
        </w:rPr>
        <w:t>-</w:t>
      </w:r>
      <w:r w:rsidRPr="00641640">
        <w:rPr>
          <w:rStyle w:val="rynqvb"/>
          <w:rFonts w:ascii="Times New Roman" w:hAnsi="Times New Roman" w:cs="Times New Roman"/>
          <w:noProof/>
          <w:sz w:val="24"/>
          <w:szCs w:val="24"/>
          <w:lang w:val="sq-AL"/>
        </w:rPr>
        <w:t>2030 dhe Plani i Veprimit</w:t>
      </w:r>
      <w:r w:rsidR="003121DF" w:rsidRPr="00641640">
        <w:rPr>
          <w:rStyle w:val="rynqvb"/>
          <w:rFonts w:ascii="Times New Roman" w:hAnsi="Times New Roman" w:cs="Times New Roman"/>
          <w:noProof/>
          <w:sz w:val="24"/>
          <w:szCs w:val="24"/>
          <w:lang w:val="sq-AL"/>
        </w:rPr>
        <w:t>;</w:t>
      </w:r>
      <w:r w:rsidR="001751FD" w:rsidRPr="00641640">
        <w:rPr>
          <w:rStyle w:val="FootnoteReference"/>
          <w:rFonts w:ascii="Times New Roman" w:hAnsi="Times New Roman" w:cs="Times New Roman"/>
          <w:noProof/>
          <w:sz w:val="24"/>
          <w:szCs w:val="24"/>
          <w:lang w:val="sq-AL"/>
        </w:rPr>
        <w:footnoteReference w:id="18"/>
      </w:r>
    </w:p>
    <w:p w14:paraId="24F3C8A2" w14:textId="5EB12F7F" w:rsidR="00FD1BAC" w:rsidRPr="00641640" w:rsidRDefault="00FD1BAC" w:rsidP="003A395D">
      <w:pPr>
        <w:pStyle w:val="N-Bullet"/>
        <w:numPr>
          <w:ilvl w:val="0"/>
          <w:numId w:val="3"/>
        </w:numPr>
        <w:spacing w:line="276" w:lineRule="auto"/>
        <w:jc w:val="both"/>
        <w:rPr>
          <w:rStyle w:val="rynqvb"/>
          <w:rFonts w:ascii="Times New Roman" w:hAnsi="Times New Roman" w:cs="Times New Roman"/>
          <w:noProof/>
          <w:sz w:val="24"/>
          <w:szCs w:val="24"/>
          <w:lang w:val="sq-AL"/>
        </w:rPr>
      </w:pPr>
      <w:r w:rsidRPr="00641640">
        <w:rPr>
          <w:rStyle w:val="rynqvb"/>
          <w:rFonts w:ascii="Times New Roman" w:hAnsi="Times New Roman" w:cs="Times New Roman"/>
          <w:noProof/>
          <w:sz w:val="24"/>
          <w:szCs w:val="24"/>
          <w:lang w:val="sq-AL"/>
        </w:rPr>
        <w:t>Strategji</w:t>
      </w:r>
      <w:r w:rsidR="002A77F4" w:rsidRPr="00641640">
        <w:rPr>
          <w:rStyle w:val="rynqvb"/>
          <w:rFonts w:ascii="Times New Roman" w:hAnsi="Times New Roman" w:cs="Times New Roman"/>
          <w:noProof/>
          <w:sz w:val="24"/>
          <w:szCs w:val="24"/>
          <w:lang w:val="sq-AL"/>
        </w:rPr>
        <w:t>a</w:t>
      </w:r>
      <w:r w:rsidRPr="00641640">
        <w:rPr>
          <w:rStyle w:val="rynqvb"/>
          <w:rFonts w:ascii="Times New Roman" w:hAnsi="Times New Roman" w:cs="Times New Roman"/>
          <w:noProof/>
          <w:sz w:val="24"/>
          <w:szCs w:val="24"/>
          <w:lang w:val="sq-AL"/>
        </w:rPr>
        <w:t xml:space="preserve"> </w:t>
      </w:r>
      <w:r w:rsidR="003121DF" w:rsidRPr="00641640">
        <w:rPr>
          <w:rStyle w:val="rynqvb"/>
          <w:rFonts w:ascii="Times New Roman" w:hAnsi="Times New Roman" w:cs="Times New Roman"/>
          <w:noProof/>
          <w:sz w:val="24"/>
          <w:szCs w:val="24"/>
          <w:lang w:val="sq-AL"/>
        </w:rPr>
        <w:t>Nd</w:t>
      </w:r>
      <w:r w:rsidR="00064AC5" w:rsidRPr="00641640">
        <w:rPr>
          <w:rStyle w:val="rynqvb"/>
          <w:rFonts w:ascii="Times New Roman" w:hAnsi="Times New Roman" w:cs="Times New Roman"/>
          <w:noProof/>
          <w:sz w:val="24"/>
          <w:szCs w:val="24"/>
          <w:lang w:val="sq-AL"/>
        </w:rPr>
        <w:t>ë</w:t>
      </w:r>
      <w:r w:rsidR="003121DF" w:rsidRPr="00641640">
        <w:rPr>
          <w:rStyle w:val="rynqvb"/>
          <w:rFonts w:ascii="Times New Roman" w:hAnsi="Times New Roman" w:cs="Times New Roman"/>
          <w:noProof/>
          <w:sz w:val="24"/>
          <w:szCs w:val="24"/>
          <w:lang w:val="sq-AL"/>
        </w:rPr>
        <w:t>rsektoriale K</w:t>
      </w:r>
      <w:r w:rsidRPr="00641640">
        <w:rPr>
          <w:rStyle w:val="rynqvb"/>
          <w:rFonts w:ascii="Times New Roman" w:hAnsi="Times New Roman" w:cs="Times New Roman"/>
          <w:noProof/>
          <w:sz w:val="24"/>
          <w:szCs w:val="24"/>
          <w:lang w:val="sq-AL"/>
        </w:rPr>
        <w:t xml:space="preserve">undër </w:t>
      </w:r>
      <w:r w:rsidR="003121DF" w:rsidRPr="00641640">
        <w:rPr>
          <w:rStyle w:val="rynqvb"/>
          <w:rFonts w:ascii="Times New Roman" w:hAnsi="Times New Roman" w:cs="Times New Roman"/>
          <w:noProof/>
          <w:sz w:val="24"/>
          <w:szCs w:val="24"/>
          <w:lang w:val="sq-AL"/>
        </w:rPr>
        <w:t>K</w:t>
      </w:r>
      <w:r w:rsidRPr="00641640">
        <w:rPr>
          <w:rStyle w:val="rynqvb"/>
          <w:rFonts w:ascii="Times New Roman" w:hAnsi="Times New Roman" w:cs="Times New Roman"/>
          <w:noProof/>
          <w:sz w:val="24"/>
          <w:szCs w:val="24"/>
          <w:lang w:val="sq-AL"/>
        </w:rPr>
        <w:t>orrupsionit 2024</w:t>
      </w:r>
      <w:r w:rsidR="0067073C" w:rsidRPr="00641640">
        <w:rPr>
          <w:rStyle w:val="rynqvb"/>
          <w:rFonts w:ascii="Times New Roman" w:hAnsi="Times New Roman" w:cs="Times New Roman"/>
          <w:noProof/>
          <w:sz w:val="24"/>
          <w:szCs w:val="24"/>
          <w:lang w:val="sq-AL"/>
        </w:rPr>
        <w:t xml:space="preserve"> </w:t>
      </w:r>
      <w:r w:rsidR="002D647C" w:rsidRPr="00641640">
        <w:rPr>
          <w:rStyle w:val="rynqvb"/>
          <w:rFonts w:ascii="Times New Roman" w:hAnsi="Times New Roman" w:cs="Times New Roman"/>
          <w:noProof/>
          <w:sz w:val="24"/>
          <w:szCs w:val="24"/>
          <w:lang w:val="sq-AL"/>
        </w:rPr>
        <w:t>-</w:t>
      </w:r>
      <w:r w:rsidR="008A0516" w:rsidRPr="00641640">
        <w:rPr>
          <w:rStyle w:val="rynqvb"/>
          <w:rFonts w:ascii="Times New Roman" w:hAnsi="Times New Roman" w:cs="Times New Roman"/>
          <w:noProof/>
          <w:sz w:val="24"/>
          <w:szCs w:val="24"/>
          <w:lang w:val="sq-AL"/>
        </w:rPr>
        <w:t>2030</w:t>
      </w:r>
      <w:r w:rsidR="002D647C" w:rsidRPr="00641640">
        <w:rPr>
          <w:rStyle w:val="rynqvb"/>
          <w:rFonts w:ascii="Times New Roman" w:hAnsi="Times New Roman" w:cs="Times New Roman"/>
          <w:noProof/>
          <w:sz w:val="24"/>
          <w:szCs w:val="24"/>
          <w:lang w:val="sq-AL"/>
        </w:rPr>
        <w:t xml:space="preserve"> dhe Plani i Veprimit 2024-2026;</w:t>
      </w:r>
      <w:r w:rsidR="008A0516" w:rsidRPr="00641640">
        <w:rPr>
          <w:rStyle w:val="FootnoteReference"/>
          <w:rFonts w:ascii="Times New Roman" w:hAnsi="Times New Roman" w:cs="Times New Roman"/>
          <w:noProof/>
          <w:sz w:val="24"/>
          <w:szCs w:val="24"/>
          <w:lang w:val="sq-AL"/>
        </w:rPr>
        <w:footnoteReference w:id="19"/>
      </w:r>
    </w:p>
    <w:p w14:paraId="7D1EE6C9" w14:textId="4E780024" w:rsidR="00DA106B" w:rsidRPr="00641640" w:rsidRDefault="00DA106B" w:rsidP="003A395D">
      <w:pPr>
        <w:pStyle w:val="N-Bullet"/>
        <w:numPr>
          <w:ilvl w:val="0"/>
          <w:numId w:val="3"/>
        </w:numPr>
        <w:spacing w:line="276" w:lineRule="auto"/>
        <w:jc w:val="both"/>
        <w:rPr>
          <w:rStyle w:val="rynqvb"/>
          <w:rFonts w:ascii="Times New Roman" w:hAnsi="Times New Roman" w:cs="Times New Roman"/>
          <w:noProof/>
          <w:sz w:val="24"/>
          <w:szCs w:val="24"/>
          <w:lang w:val="sq-AL"/>
        </w:rPr>
      </w:pPr>
      <w:r w:rsidRPr="00641640">
        <w:rPr>
          <w:rStyle w:val="rynqvb"/>
          <w:rFonts w:ascii="Times New Roman" w:hAnsi="Times New Roman" w:cs="Times New Roman"/>
          <w:noProof/>
          <w:sz w:val="24"/>
          <w:szCs w:val="24"/>
          <w:lang w:val="sq-AL"/>
        </w:rPr>
        <w:t>Strategjia Kombëtare për Barazinë Gjinore 2021</w:t>
      </w:r>
      <w:r w:rsidR="002D647C" w:rsidRPr="00641640">
        <w:rPr>
          <w:rStyle w:val="rynqvb"/>
          <w:rFonts w:ascii="Times New Roman" w:hAnsi="Times New Roman" w:cs="Times New Roman"/>
          <w:noProof/>
          <w:sz w:val="24"/>
          <w:szCs w:val="24"/>
          <w:lang w:val="sq-AL"/>
        </w:rPr>
        <w:t>-</w:t>
      </w:r>
      <w:r w:rsidRPr="00641640">
        <w:rPr>
          <w:rStyle w:val="rynqvb"/>
          <w:rFonts w:ascii="Times New Roman" w:hAnsi="Times New Roman" w:cs="Times New Roman"/>
          <w:noProof/>
          <w:sz w:val="24"/>
          <w:szCs w:val="24"/>
          <w:lang w:val="sq-AL"/>
        </w:rPr>
        <w:t>2030</w:t>
      </w:r>
      <w:r w:rsidR="00C97559" w:rsidRPr="00641640">
        <w:rPr>
          <w:rStyle w:val="rynqvb"/>
          <w:rFonts w:ascii="Times New Roman" w:hAnsi="Times New Roman" w:cs="Times New Roman"/>
          <w:noProof/>
          <w:sz w:val="24"/>
          <w:szCs w:val="24"/>
          <w:lang w:val="sq-AL"/>
        </w:rPr>
        <w:t>;</w:t>
      </w:r>
      <w:r w:rsidR="001751FD" w:rsidRPr="00641640">
        <w:rPr>
          <w:rStyle w:val="FootnoteReference"/>
          <w:rFonts w:ascii="Times New Roman" w:hAnsi="Times New Roman" w:cs="Times New Roman"/>
          <w:noProof/>
          <w:sz w:val="24"/>
          <w:szCs w:val="24"/>
          <w:lang w:val="sq-AL"/>
        </w:rPr>
        <w:footnoteReference w:id="20"/>
      </w:r>
    </w:p>
    <w:p w14:paraId="23EDBB70" w14:textId="596218DF" w:rsidR="00DA106B" w:rsidRPr="00641640" w:rsidRDefault="00DA106B" w:rsidP="003A395D">
      <w:pPr>
        <w:pStyle w:val="N-Bullet"/>
        <w:numPr>
          <w:ilvl w:val="0"/>
          <w:numId w:val="3"/>
        </w:numPr>
        <w:spacing w:line="276" w:lineRule="auto"/>
        <w:jc w:val="both"/>
        <w:rPr>
          <w:rStyle w:val="rynqvb"/>
          <w:rFonts w:ascii="Times New Roman" w:hAnsi="Times New Roman" w:cs="Times New Roman"/>
          <w:noProof/>
          <w:sz w:val="24"/>
          <w:szCs w:val="24"/>
          <w:lang w:val="sq-AL"/>
        </w:rPr>
      </w:pPr>
      <w:r w:rsidRPr="00641640">
        <w:rPr>
          <w:rStyle w:val="rynqvb"/>
          <w:rFonts w:ascii="Times New Roman" w:hAnsi="Times New Roman" w:cs="Times New Roman"/>
          <w:noProof/>
          <w:sz w:val="24"/>
          <w:szCs w:val="24"/>
          <w:lang w:val="sq-AL"/>
        </w:rPr>
        <w:t xml:space="preserve">Plani Kombëtar i Veprimit </w:t>
      </w:r>
      <w:r w:rsidR="00B87A8A" w:rsidRPr="00641640">
        <w:rPr>
          <w:rStyle w:val="rynqvb"/>
          <w:rFonts w:ascii="Times New Roman" w:hAnsi="Times New Roman" w:cs="Times New Roman"/>
          <w:noProof/>
          <w:sz w:val="24"/>
          <w:szCs w:val="24"/>
          <w:lang w:val="sq-AL"/>
        </w:rPr>
        <w:t>‘</w:t>
      </w:r>
      <w:r w:rsidRPr="00641640">
        <w:rPr>
          <w:rStyle w:val="rynqvb"/>
          <w:rFonts w:ascii="Times New Roman" w:hAnsi="Times New Roman" w:cs="Times New Roman"/>
          <w:noProof/>
          <w:sz w:val="24"/>
          <w:szCs w:val="24"/>
          <w:lang w:val="sq-AL"/>
        </w:rPr>
        <w:t>Partneriteti për Qeverisjen e Hapur (2023-2025)</w:t>
      </w:r>
      <w:r w:rsidR="00FC0793" w:rsidRPr="00641640">
        <w:rPr>
          <w:rStyle w:val="rynqvb"/>
          <w:rFonts w:ascii="Times New Roman" w:hAnsi="Times New Roman" w:cs="Times New Roman"/>
          <w:noProof/>
          <w:sz w:val="24"/>
          <w:szCs w:val="24"/>
          <w:lang w:val="sq-AL"/>
        </w:rPr>
        <w:t>”</w:t>
      </w:r>
      <w:r w:rsidR="00C97559" w:rsidRPr="00641640">
        <w:rPr>
          <w:rStyle w:val="rynqvb"/>
          <w:rFonts w:ascii="Times New Roman" w:hAnsi="Times New Roman" w:cs="Times New Roman"/>
          <w:noProof/>
          <w:sz w:val="24"/>
          <w:szCs w:val="24"/>
          <w:lang w:val="sq-AL"/>
        </w:rPr>
        <w:t>;</w:t>
      </w:r>
    </w:p>
    <w:p w14:paraId="6B5A2131" w14:textId="6C8EAC9D" w:rsidR="00FD1BAC" w:rsidRPr="00641640" w:rsidRDefault="00FD1BAC" w:rsidP="003A395D">
      <w:pPr>
        <w:pStyle w:val="N-Bullet"/>
        <w:numPr>
          <w:ilvl w:val="0"/>
          <w:numId w:val="3"/>
        </w:numPr>
        <w:spacing w:line="276" w:lineRule="auto"/>
        <w:jc w:val="both"/>
        <w:rPr>
          <w:rStyle w:val="rynqvb"/>
          <w:rFonts w:ascii="Times New Roman" w:hAnsi="Times New Roman" w:cs="Times New Roman"/>
          <w:noProof/>
          <w:sz w:val="24"/>
          <w:szCs w:val="24"/>
          <w:lang w:val="sq-AL"/>
        </w:rPr>
      </w:pPr>
      <w:r w:rsidRPr="00641640">
        <w:rPr>
          <w:rStyle w:val="rynqvb"/>
          <w:rFonts w:ascii="Times New Roman" w:hAnsi="Times New Roman" w:cs="Times New Roman"/>
          <w:noProof/>
          <w:sz w:val="24"/>
          <w:szCs w:val="24"/>
          <w:lang w:val="sq-AL"/>
        </w:rPr>
        <w:lastRenderedPageBreak/>
        <w:t>A</w:t>
      </w:r>
      <w:r w:rsidR="002A77F4" w:rsidRPr="00641640">
        <w:rPr>
          <w:rStyle w:val="rynqvb"/>
          <w:rFonts w:ascii="Times New Roman" w:hAnsi="Times New Roman" w:cs="Times New Roman"/>
          <w:noProof/>
          <w:sz w:val="24"/>
          <w:szCs w:val="24"/>
          <w:lang w:val="sq-AL"/>
        </w:rPr>
        <w:t>gj</w:t>
      </w:r>
      <w:r w:rsidRPr="00641640">
        <w:rPr>
          <w:rStyle w:val="rynqvb"/>
          <w:rFonts w:ascii="Times New Roman" w:hAnsi="Times New Roman" w:cs="Times New Roman"/>
          <w:noProof/>
          <w:sz w:val="24"/>
          <w:szCs w:val="24"/>
          <w:lang w:val="sq-AL"/>
        </w:rPr>
        <w:t>enda e Kombeve të Bashkuara për Zhvillim të Q</w:t>
      </w:r>
      <w:r w:rsidR="005A5BCF" w:rsidRPr="00641640">
        <w:rPr>
          <w:rStyle w:val="rynqvb"/>
          <w:rFonts w:ascii="Times New Roman" w:hAnsi="Times New Roman" w:cs="Times New Roman"/>
          <w:noProof/>
          <w:sz w:val="24"/>
          <w:szCs w:val="24"/>
          <w:lang w:val="sq-AL"/>
        </w:rPr>
        <w:t>e</w:t>
      </w:r>
      <w:r w:rsidRPr="00641640">
        <w:rPr>
          <w:rStyle w:val="rynqvb"/>
          <w:rFonts w:ascii="Times New Roman" w:hAnsi="Times New Roman" w:cs="Times New Roman"/>
          <w:noProof/>
          <w:sz w:val="24"/>
          <w:szCs w:val="24"/>
          <w:lang w:val="sq-AL"/>
        </w:rPr>
        <w:t>ndrueshëm</w:t>
      </w:r>
      <w:r w:rsidR="002A77F4" w:rsidRPr="00641640">
        <w:rPr>
          <w:rStyle w:val="rynqvb"/>
          <w:rFonts w:ascii="Times New Roman" w:hAnsi="Times New Roman" w:cs="Times New Roman"/>
          <w:noProof/>
          <w:sz w:val="24"/>
          <w:szCs w:val="24"/>
          <w:lang w:val="sq-AL"/>
        </w:rPr>
        <w:t xml:space="preserve"> 2030</w:t>
      </w:r>
      <w:r w:rsidR="001751FD" w:rsidRPr="00641640">
        <w:rPr>
          <w:rStyle w:val="rynqvb"/>
          <w:rFonts w:ascii="Times New Roman" w:hAnsi="Times New Roman" w:cs="Times New Roman"/>
          <w:noProof/>
          <w:sz w:val="24"/>
          <w:szCs w:val="24"/>
          <w:lang w:val="sq-AL"/>
        </w:rPr>
        <w:t>.</w:t>
      </w:r>
    </w:p>
    <w:p w14:paraId="68F560DE" w14:textId="77777777" w:rsidR="00FD1BAC" w:rsidRPr="0007033C" w:rsidRDefault="00FD1BAC" w:rsidP="003A395D">
      <w:pPr>
        <w:pStyle w:val="N-Bullet"/>
        <w:spacing w:before="240" w:after="240" w:line="276" w:lineRule="auto"/>
        <w:jc w:val="both"/>
        <w:rPr>
          <w:rFonts w:ascii="Times New Roman" w:hAnsi="Times New Roman" w:cs="Times New Roman"/>
          <w:noProof/>
          <w:sz w:val="16"/>
          <w:szCs w:val="16"/>
          <w:lang w:val="sq-AL"/>
        </w:rPr>
      </w:pPr>
    </w:p>
    <w:p w14:paraId="2892162B" w14:textId="79BBD4CE" w:rsidR="00FD1BAC" w:rsidRPr="00641640" w:rsidRDefault="002D647C"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 xml:space="preserve">Ndërlidhja </w:t>
      </w:r>
      <w:r w:rsidR="001751FD" w:rsidRPr="00641640">
        <w:rPr>
          <w:rFonts w:ascii="Times New Roman" w:hAnsi="Times New Roman" w:cs="Times New Roman"/>
          <w:b/>
          <w:bCs/>
          <w:noProof/>
          <w:sz w:val="24"/>
          <w:szCs w:val="24"/>
          <w:lang w:val="sq-AL"/>
        </w:rPr>
        <w:t>e SNRAP 202</w:t>
      </w:r>
      <w:r w:rsidR="007B6FCA">
        <w:rPr>
          <w:rFonts w:ascii="Times New Roman" w:hAnsi="Times New Roman" w:cs="Times New Roman"/>
          <w:b/>
          <w:bCs/>
          <w:noProof/>
          <w:sz w:val="24"/>
          <w:szCs w:val="24"/>
          <w:lang w:val="sq-AL"/>
        </w:rPr>
        <w:t>5</w:t>
      </w:r>
      <w:r w:rsidR="001751FD" w:rsidRPr="00641640">
        <w:rPr>
          <w:rFonts w:ascii="Times New Roman" w:hAnsi="Times New Roman" w:cs="Times New Roman"/>
          <w:b/>
          <w:bCs/>
          <w:noProof/>
          <w:sz w:val="24"/>
          <w:szCs w:val="24"/>
          <w:lang w:val="sq-AL"/>
        </w:rPr>
        <w:t xml:space="preserve">-2030 me </w:t>
      </w:r>
      <w:r w:rsidR="00FD1BAC" w:rsidRPr="00641640">
        <w:rPr>
          <w:rFonts w:ascii="Times New Roman" w:hAnsi="Times New Roman" w:cs="Times New Roman"/>
          <w:b/>
          <w:bCs/>
          <w:noProof/>
          <w:sz w:val="24"/>
          <w:szCs w:val="24"/>
          <w:lang w:val="sq-AL"/>
        </w:rPr>
        <w:t>Strategji</w:t>
      </w:r>
      <w:r w:rsidR="001751FD" w:rsidRPr="00641640">
        <w:rPr>
          <w:rFonts w:ascii="Times New Roman" w:hAnsi="Times New Roman" w:cs="Times New Roman"/>
          <w:b/>
          <w:bCs/>
          <w:noProof/>
          <w:sz w:val="24"/>
          <w:szCs w:val="24"/>
          <w:lang w:val="sq-AL"/>
        </w:rPr>
        <w:t>n</w:t>
      </w:r>
      <w:r w:rsidR="00064AC5" w:rsidRPr="00641640">
        <w:rPr>
          <w:rFonts w:ascii="Times New Roman" w:hAnsi="Times New Roman" w:cs="Times New Roman"/>
          <w:b/>
          <w:bCs/>
          <w:noProof/>
          <w:sz w:val="24"/>
          <w:szCs w:val="24"/>
          <w:lang w:val="sq-AL"/>
        </w:rPr>
        <w:t>ë</w:t>
      </w:r>
      <w:r w:rsidR="00FD1BAC" w:rsidRPr="00641640">
        <w:rPr>
          <w:rFonts w:ascii="Times New Roman" w:hAnsi="Times New Roman" w:cs="Times New Roman"/>
          <w:b/>
          <w:bCs/>
          <w:noProof/>
          <w:sz w:val="24"/>
          <w:szCs w:val="24"/>
          <w:lang w:val="sq-AL"/>
        </w:rPr>
        <w:t xml:space="preserve"> Kombëtare për Zhvillim dhe Integrim Evropian 2022</w:t>
      </w:r>
      <w:r w:rsidR="00B87A8A" w:rsidRPr="00641640">
        <w:rPr>
          <w:rFonts w:ascii="Times New Roman" w:hAnsi="Times New Roman" w:cs="Times New Roman"/>
          <w:b/>
          <w:bCs/>
          <w:noProof/>
          <w:sz w:val="24"/>
          <w:szCs w:val="24"/>
          <w:lang w:val="sq-AL"/>
        </w:rPr>
        <w:t xml:space="preserve"> </w:t>
      </w:r>
      <w:r w:rsidR="00FD1BAC" w:rsidRPr="00641640">
        <w:rPr>
          <w:rFonts w:ascii="Times New Roman" w:hAnsi="Times New Roman" w:cs="Times New Roman"/>
          <w:b/>
          <w:bCs/>
          <w:noProof/>
          <w:sz w:val="24"/>
          <w:szCs w:val="24"/>
          <w:lang w:val="sq-AL"/>
        </w:rPr>
        <w:t>-</w:t>
      </w:r>
      <w:r w:rsidR="00B87A8A" w:rsidRPr="00641640">
        <w:rPr>
          <w:rFonts w:ascii="Times New Roman" w:hAnsi="Times New Roman" w:cs="Times New Roman"/>
          <w:b/>
          <w:bCs/>
          <w:noProof/>
          <w:sz w:val="24"/>
          <w:szCs w:val="24"/>
          <w:lang w:val="sq-AL"/>
        </w:rPr>
        <w:t xml:space="preserve"> </w:t>
      </w:r>
      <w:r w:rsidR="00FD1BAC" w:rsidRPr="00641640">
        <w:rPr>
          <w:rFonts w:ascii="Times New Roman" w:hAnsi="Times New Roman" w:cs="Times New Roman"/>
          <w:b/>
          <w:bCs/>
          <w:noProof/>
          <w:sz w:val="24"/>
          <w:szCs w:val="24"/>
          <w:lang w:val="sq-AL"/>
        </w:rPr>
        <w:t xml:space="preserve">2030 </w:t>
      </w:r>
    </w:p>
    <w:p w14:paraId="3746DD05" w14:textId="2FB22551" w:rsidR="00DF7EE7" w:rsidRPr="00641640" w:rsidRDefault="00DF7EE7"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w:t>
      </w:r>
      <w:r w:rsidR="00093F46" w:rsidRPr="00641640">
        <w:rPr>
          <w:rFonts w:ascii="Times New Roman" w:hAnsi="Times New Roman" w:cs="Times New Roman"/>
          <w:noProof/>
          <w:sz w:val="24"/>
          <w:szCs w:val="24"/>
          <w:lang w:val="sq-AL"/>
        </w:rPr>
        <w:t xml:space="preserve">arimet e administratës publike </w:t>
      </w:r>
      <w:r w:rsidR="00B87A8A" w:rsidRPr="00641640">
        <w:rPr>
          <w:rFonts w:ascii="Times New Roman" w:hAnsi="Times New Roman" w:cs="Times New Roman"/>
          <w:noProof/>
          <w:sz w:val="24"/>
          <w:szCs w:val="24"/>
          <w:lang w:val="sq-AL"/>
        </w:rPr>
        <w:t>mb</w:t>
      </w:r>
      <w:r w:rsidR="007F00FB" w:rsidRPr="00641640">
        <w:rPr>
          <w:rFonts w:ascii="Times New Roman" w:hAnsi="Times New Roman" w:cs="Times New Roman"/>
          <w:noProof/>
          <w:sz w:val="24"/>
          <w:szCs w:val="24"/>
          <w:lang w:val="sq-AL"/>
        </w:rPr>
        <w:t>ë</w:t>
      </w:r>
      <w:r w:rsidR="00B87A8A" w:rsidRPr="00641640">
        <w:rPr>
          <w:rFonts w:ascii="Times New Roman" w:hAnsi="Times New Roman" w:cs="Times New Roman"/>
          <w:noProof/>
          <w:sz w:val="24"/>
          <w:szCs w:val="24"/>
          <w:lang w:val="sq-AL"/>
        </w:rPr>
        <w:t xml:space="preserve">shteten </w:t>
      </w:r>
      <w:r w:rsidR="00093F46" w:rsidRPr="00641640">
        <w:rPr>
          <w:rFonts w:ascii="Times New Roman" w:hAnsi="Times New Roman" w:cs="Times New Roman"/>
          <w:noProof/>
          <w:sz w:val="24"/>
          <w:szCs w:val="24"/>
          <w:lang w:val="sq-AL"/>
        </w:rPr>
        <w:t xml:space="preserve">nga një kornizë strategjike e konsoliduar e </w:t>
      </w:r>
      <w:r w:rsidR="0077052E" w:rsidRPr="00641640">
        <w:rPr>
          <w:rFonts w:ascii="Times New Roman" w:hAnsi="Times New Roman" w:cs="Times New Roman"/>
          <w:noProof/>
          <w:sz w:val="24"/>
          <w:szCs w:val="24"/>
          <w:lang w:val="sq-AL"/>
        </w:rPr>
        <w:t>RAP</w:t>
      </w:r>
      <w:r w:rsidR="00093F46" w:rsidRPr="00641640">
        <w:rPr>
          <w:rFonts w:ascii="Times New Roman" w:hAnsi="Times New Roman" w:cs="Times New Roman"/>
          <w:noProof/>
          <w:sz w:val="24"/>
          <w:szCs w:val="24"/>
          <w:lang w:val="sq-AL"/>
        </w:rPr>
        <w:t>, në kulmin e së cilës q</w:t>
      </w:r>
      <w:r w:rsidR="003D5BC2" w:rsidRPr="00641640">
        <w:rPr>
          <w:rFonts w:ascii="Times New Roman" w:hAnsi="Times New Roman" w:cs="Times New Roman"/>
          <w:noProof/>
          <w:sz w:val="24"/>
          <w:szCs w:val="24"/>
          <w:lang w:val="sq-AL"/>
        </w:rPr>
        <w:t>e</w:t>
      </w:r>
      <w:r w:rsidR="00093F46" w:rsidRPr="00641640">
        <w:rPr>
          <w:rFonts w:ascii="Times New Roman" w:hAnsi="Times New Roman" w:cs="Times New Roman"/>
          <w:noProof/>
          <w:sz w:val="24"/>
          <w:szCs w:val="24"/>
          <w:lang w:val="sq-AL"/>
        </w:rPr>
        <w:t>ndron Strategjia Kombëtare për Zhvillim dhe Integrim Evropian (SKZHIE) 2022–2030</w:t>
      </w:r>
      <w:r w:rsidR="0077052E" w:rsidRPr="00641640">
        <w:rPr>
          <w:rStyle w:val="FootnoteReference"/>
          <w:rFonts w:ascii="Times New Roman" w:hAnsi="Times New Roman" w:cs="Times New Roman"/>
          <w:noProof/>
          <w:sz w:val="24"/>
          <w:szCs w:val="24"/>
          <w:lang w:val="sq-AL"/>
        </w:rPr>
        <w:footnoteReference w:id="21"/>
      </w:r>
      <w:r w:rsidR="00093F46" w:rsidRPr="00641640">
        <w:rPr>
          <w:rFonts w:ascii="Times New Roman" w:hAnsi="Times New Roman" w:cs="Times New Roman"/>
          <w:noProof/>
          <w:sz w:val="24"/>
          <w:szCs w:val="24"/>
          <w:lang w:val="sq-AL"/>
        </w:rPr>
        <w:t>.</w:t>
      </w:r>
      <w:r w:rsidR="00BF77A3"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Prioritet</w:t>
      </w:r>
      <w:r w:rsidR="001751FD" w:rsidRPr="00641640">
        <w:rPr>
          <w:rFonts w:ascii="Times New Roman" w:hAnsi="Times New Roman" w:cs="Times New Roman"/>
          <w:noProof/>
          <w:sz w:val="24"/>
          <w:szCs w:val="24"/>
          <w:lang w:val="sq-AL"/>
        </w:rPr>
        <w:t>et</w:t>
      </w:r>
      <w:r w:rsidRPr="00641640">
        <w:rPr>
          <w:rFonts w:ascii="Times New Roman" w:hAnsi="Times New Roman" w:cs="Times New Roman"/>
          <w:noProof/>
          <w:sz w:val="24"/>
          <w:szCs w:val="24"/>
          <w:lang w:val="sq-AL"/>
        </w:rPr>
        <w:t xml:space="preserve"> e </w:t>
      </w:r>
      <w:r w:rsidRPr="00641640">
        <w:rPr>
          <w:rStyle w:val="rynqvb"/>
          <w:rFonts w:ascii="Times New Roman" w:hAnsi="Times New Roman" w:cs="Times New Roman"/>
          <w:noProof/>
          <w:sz w:val="24"/>
          <w:szCs w:val="24"/>
          <w:lang w:val="sq-AL"/>
        </w:rPr>
        <w:t>Reformës në Administratën Publike</w:t>
      </w:r>
      <w:r w:rsidR="00B87A8A" w:rsidRPr="00641640">
        <w:rPr>
          <w:rFonts w:ascii="Times New Roman" w:hAnsi="Times New Roman" w:cs="Times New Roman"/>
          <w:noProof/>
          <w:sz w:val="24"/>
          <w:szCs w:val="24"/>
          <w:lang w:val="sq-AL"/>
        </w:rPr>
        <w:t xml:space="preserve"> q</w:t>
      </w:r>
      <w:r w:rsidR="003D5BC2" w:rsidRPr="00641640">
        <w:rPr>
          <w:rFonts w:ascii="Times New Roman" w:hAnsi="Times New Roman" w:cs="Times New Roman"/>
          <w:noProof/>
          <w:sz w:val="24"/>
          <w:szCs w:val="24"/>
          <w:lang w:val="sq-AL"/>
        </w:rPr>
        <w:t>e</w:t>
      </w:r>
      <w:r w:rsidR="00B87A8A" w:rsidRPr="00641640">
        <w:rPr>
          <w:rFonts w:ascii="Times New Roman" w:hAnsi="Times New Roman" w:cs="Times New Roman"/>
          <w:noProof/>
          <w:sz w:val="24"/>
          <w:szCs w:val="24"/>
          <w:lang w:val="sq-AL"/>
        </w:rPr>
        <w:t>ndrojn</w:t>
      </w:r>
      <w:r w:rsidR="007F00FB" w:rsidRPr="00641640">
        <w:rPr>
          <w:rFonts w:ascii="Times New Roman" w:hAnsi="Times New Roman" w:cs="Times New Roman"/>
          <w:noProof/>
          <w:sz w:val="24"/>
          <w:szCs w:val="24"/>
          <w:lang w:val="sq-AL"/>
        </w:rPr>
        <w:t>ë</w:t>
      </w:r>
      <w:r w:rsidR="00B87A8A" w:rsidRPr="00641640">
        <w:rPr>
          <w:rFonts w:ascii="Times New Roman" w:hAnsi="Times New Roman" w:cs="Times New Roman"/>
          <w:noProof/>
          <w:sz w:val="24"/>
          <w:szCs w:val="24"/>
          <w:lang w:val="sq-AL"/>
        </w:rPr>
        <w:t xml:space="preserve"> n</w:t>
      </w:r>
      <w:r w:rsidRPr="00641640">
        <w:rPr>
          <w:rFonts w:ascii="Times New Roman" w:hAnsi="Times New Roman" w:cs="Times New Roman"/>
          <w:noProof/>
          <w:sz w:val="24"/>
          <w:szCs w:val="24"/>
          <w:lang w:val="sq-AL"/>
        </w:rPr>
        <w:t xml:space="preserve">ë </w:t>
      </w:r>
      <w:r w:rsidR="00B87A8A" w:rsidRPr="00641640">
        <w:rPr>
          <w:rFonts w:ascii="Times New Roman" w:hAnsi="Times New Roman" w:cs="Times New Roman"/>
          <w:noProof/>
          <w:sz w:val="24"/>
          <w:szCs w:val="24"/>
          <w:lang w:val="sq-AL"/>
        </w:rPr>
        <w:t xml:space="preserve">themelet e </w:t>
      </w:r>
      <w:r w:rsidR="001751FD" w:rsidRPr="00641640">
        <w:rPr>
          <w:rFonts w:ascii="Times New Roman" w:hAnsi="Times New Roman" w:cs="Times New Roman"/>
          <w:noProof/>
          <w:sz w:val="24"/>
          <w:szCs w:val="24"/>
          <w:lang w:val="sq-AL"/>
        </w:rPr>
        <w:t>“</w:t>
      </w:r>
      <w:r w:rsidR="00B87A8A" w:rsidRPr="00641640">
        <w:rPr>
          <w:rFonts w:ascii="Times New Roman" w:hAnsi="Times New Roman" w:cs="Times New Roman"/>
          <w:noProof/>
          <w:sz w:val="24"/>
          <w:szCs w:val="24"/>
          <w:lang w:val="sq-AL"/>
        </w:rPr>
        <w:t xml:space="preserve">Programit </w:t>
      </w:r>
      <w:r w:rsidR="001751FD" w:rsidRPr="00641640">
        <w:rPr>
          <w:rFonts w:ascii="Times New Roman" w:hAnsi="Times New Roman" w:cs="Times New Roman"/>
          <w:noProof/>
          <w:sz w:val="24"/>
          <w:szCs w:val="24"/>
          <w:lang w:val="sq-AL"/>
        </w:rPr>
        <w:t>Qeveris</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s</w:t>
      </w:r>
      <w:r w:rsidR="00B87A8A" w:rsidRPr="00641640">
        <w:rPr>
          <w:rFonts w:ascii="Times New Roman" w:hAnsi="Times New Roman" w:cs="Times New Roman"/>
          <w:noProof/>
          <w:sz w:val="24"/>
          <w:szCs w:val="24"/>
          <w:lang w:val="sq-AL"/>
        </w:rPr>
        <w:t xml:space="preserve"> 2021-2025</w:t>
      </w:r>
      <w:r w:rsidR="001751FD" w:rsidRPr="00641640">
        <w:rPr>
          <w:rFonts w:ascii="Times New Roman" w:hAnsi="Times New Roman" w:cs="Times New Roman"/>
          <w:noProof/>
          <w:sz w:val="24"/>
          <w:szCs w:val="24"/>
          <w:lang w:val="sq-AL"/>
        </w:rPr>
        <w:t>”,</w:t>
      </w:r>
      <w:r w:rsidR="001751FD" w:rsidRPr="00641640">
        <w:rPr>
          <w:rStyle w:val="FootnoteReference"/>
          <w:rFonts w:ascii="Times New Roman" w:hAnsi="Times New Roman" w:cs="Times New Roman"/>
          <w:noProof/>
          <w:sz w:val="24"/>
          <w:szCs w:val="24"/>
          <w:lang w:val="sq-AL"/>
        </w:rPr>
        <w:footnoteReference w:id="22"/>
      </w:r>
      <w:r w:rsidR="00B87A8A" w:rsidRPr="00641640">
        <w:rPr>
          <w:rFonts w:ascii="Times New Roman" w:hAnsi="Times New Roman" w:cs="Times New Roman"/>
          <w:noProof/>
          <w:sz w:val="24"/>
          <w:szCs w:val="24"/>
          <w:lang w:val="sq-AL"/>
        </w:rPr>
        <w:t xml:space="preserve"> SKZHIE dhe </w:t>
      </w:r>
      <w:r w:rsidRPr="00641640">
        <w:rPr>
          <w:rFonts w:ascii="Times New Roman" w:hAnsi="Times New Roman" w:cs="Times New Roman"/>
          <w:noProof/>
          <w:sz w:val="24"/>
          <w:szCs w:val="24"/>
          <w:lang w:val="sq-AL"/>
        </w:rPr>
        <w:t xml:space="preserve">dokumenteve të planifikimit horizontal. </w:t>
      </w:r>
    </w:p>
    <w:p w14:paraId="6D319F4D" w14:textId="3B56B720" w:rsidR="001530E5" w:rsidRPr="00641640" w:rsidRDefault="00FD1BAC"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SKZHIE </w:t>
      </w:r>
      <w:r w:rsidR="00DF7EE7" w:rsidRPr="00641640">
        <w:rPr>
          <w:rFonts w:ascii="Times New Roman" w:hAnsi="Times New Roman" w:cs="Times New Roman"/>
          <w:noProof/>
          <w:sz w:val="24"/>
          <w:szCs w:val="24"/>
          <w:lang w:val="sq-AL"/>
        </w:rPr>
        <w:t>2023</w:t>
      </w:r>
      <w:r w:rsidR="00B87A8A" w:rsidRPr="00641640">
        <w:rPr>
          <w:rFonts w:ascii="Times New Roman" w:hAnsi="Times New Roman" w:cs="Times New Roman"/>
          <w:noProof/>
          <w:sz w:val="24"/>
          <w:szCs w:val="24"/>
          <w:lang w:val="sq-AL"/>
        </w:rPr>
        <w:t xml:space="preserve"> </w:t>
      </w:r>
      <w:r w:rsidR="00DF7EE7" w:rsidRPr="00641640">
        <w:rPr>
          <w:rFonts w:ascii="Times New Roman" w:hAnsi="Times New Roman" w:cs="Times New Roman"/>
          <w:noProof/>
          <w:sz w:val="24"/>
          <w:szCs w:val="24"/>
          <w:lang w:val="sq-AL"/>
        </w:rPr>
        <w:t>-</w:t>
      </w:r>
      <w:r w:rsidR="00B87A8A" w:rsidRPr="00641640">
        <w:rPr>
          <w:rFonts w:ascii="Times New Roman" w:hAnsi="Times New Roman" w:cs="Times New Roman"/>
          <w:noProof/>
          <w:sz w:val="24"/>
          <w:szCs w:val="24"/>
          <w:lang w:val="sq-AL"/>
        </w:rPr>
        <w:t xml:space="preserve"> </w:t>
      </w:r>
      <w:r w:rsidR="00DF7EE7" w:rsidRPr="00641640">
        <w:rPr>
          <w:rFonts w:ascii="Times New Roman" w:hAnsi="Times New Roman" w:cs="Times New Roman"/>
          <w:noProof/>
          <w:sz w:val="24"/>
          <w:szCs w:val="24"/>
          <w:lang w:val="sq-AL"/>
        </w:rPr>
        <w:t xml:space="preserve">2030 </w:t>
      </w:r>
      <w:r w:rsidRPr="00641640">
        <w:rPr>
          <w:rFonts w:ascii="Times New Roman" w:hAnsi="Times New Roman" w:cs="Times New Roman"/>
          <w:noProof/>
          <w:sz w:val="24"/>
          <w:szCs w:val="24"/>
          <w:lang w:val="sq-AL"/>
        </w:rPr>
        <w:t xml:space="preserve">përcakton drejtimin e zhvillimit të Shqipërisë deri në vitin 2030 me synim parësor integrimin e plotë në Bashkimin Evropian. </w:t>
      </w:r>
      <w:r w:rsidR="002A77F4" w:rsidRPr="00641640">
        <w:rPr>
          <w:rFonts w:ascii="Times New Roman" w:hAnsi="Times New Roman" w:cs="Times New Roman"/>
          <w:noProof/>
          <w:sz w:val="24"/>
          <w:szCs w:val="24"/>
          <w:lang w:val="sq-AL"/>
        </w:rPr>
        <w:t>Një ndër</w:t>
      </w:r>
      <w:r w:rsidRPr="00641640">
        <w:rPr>
          <w:rFonts w:ascii="Times New Roman" w:hAnsi="Times New Roman" w:cs="Times New Roman"/>
          <w:noProof/>
          <w:sz w:val="24"/>
          <w:szCs w:val="24"/>
          <w:lang w:val="sq-AL"/>
        </w:rPr>
        <w:t xml:space="preserve"> shtyllat kryesore të </w:t>
      </w:r>
      <w:r w:rsidR="002A77F4" w:rsidRPr="00641640">
        <w:rPr>
          <w:rFonts w:ascii="Times New Roman" w:hAnsi="Times New Roman" w:cs="Times New Roman"/>
          <w:noProof/>
          <w:sz w:val="24"/>
          <w:szCs w:val="24"/>
          <w:lang w:val="sq-AL"/>
        </w:rPr>
        <w:t>SKZHIE</w:t>
      </w:r>
      <w:r w:rsidRPr="00641640">
        <w:rPr>
          <w:rFonts w:ascii="Times New Roman" w:hAnsi="Times New Roman" w:cs="Times New Roman"/>
          <w:noProof/>
          <w:sz w:val="24"/>
          <w:szCs w:val="24"/>
          <w:lang w:val="sq-AL"/>
        </w:rPr>
        <w:t xml:space="preserve"> </w:t>
      </w:r>
      <w:r w:rsidR="002A77F4" w:rsidRPr="00641640">
        <w:rPr>
          <w:rFonts w:ascii="Times New Roman" w:hAnsi="Times New Roman" w:cs="Times New Roman"/>
          <w:noProof/>
          <w:sz w:val="24"/>
          <w:szCs w:val="24"/>
          <w:lang w:val="sq-AL"/>
        </w:rPr>
        <w:t xml:space="preserve">është </w:t>
      </w:r>
      <w:r w:rsidR="002A77F4" w:rsidRPr="00641640">
        <w:rPr>
          <w:rFonts w:ascii="Times New Roman" w:hAnsi="Times New Roman" w:cs="Times New Roman"/>
          <w:i/>
          <w:noProof/>
          <w:sz w:val="24"/>
          <w:szCs w:val="24"/>
          <w:lang w:val="sq-AL"/>
        </w:rPr>
        <w:t>“</w:t>
      </w:r>
      <w:r w:rsidRPr="00641640">
        <w:rPr>
          <w:rFonts w:ascii="Times New Roman" w:hAnsi="Times New Roman" w:cs="Times New Roman"/>
          <w:i/>
          <w:noProof/>
          <w:sz w:val="24"/>
          <w:szCs w:val="24"/>
          <w:lang w:val="sq-AL"/>
        </w:rPr>
        <w:t xml:space="preserve">Demokracia e fuqizimi </w:t>
      </w:r>
      <w:r w:rsidR="00DF7EE7" w:rsidRPr="00641640">
        <w:rPr>
          <w:rFonts w:ascii="Times New Roman" w:hAnsi="Times New Roman" w:cs="Times New Roman"/>
          <w:i/>
          <w:noProof/>
          <w:sz w:val="24"/>
          <w:szCs w:val="24"/>
          <w:lang w:val="sq-AL"/>
        </w:rPr>
        <w:t>i</w:t>
      </w:r>
      <w:r w:rsidRPr="00641640">
        <w:rPr>
          <w:rFonts w:ascii="Times New Roman" w:hAnsi="Times New Roman" w:cs="Times New Roman"/>
          <w:i/>
          <w:noProof/>
          <w:sz w:val="24"/>
          <w:szCs w:val="24"/>
          <w:lang w:val="sq-AL"/>
        </w:rPr>
        <w:t xml:space="preserve"> institucioneve dhe qeverisjes së </w:t>
      </w:r>
      <w:r w:rsidR="002A77F4" w:rsidRPr="00641640">
        <w:rPr>
          <w:rFonts w:ascii="Times New Roman" w:hAnsi="Times New Roman" w:cs="Times New Roman"/>
          <w:i/>
          <w:noProof/>
          <w:sz w:val="24"/>
          <w:szCs w:val="24"/>
          <w:lang w:val="sq-AL"/>
        </w:rPr>
        <w:t>mir</w:t>
      </w:r>
      <w:r w:rsidR="00DF7EE7" w:rsidRPr="00641640">
        <w:rPr>
          <w:rFonts w:ascii="Times New Roman" w:hAnsi="Times New Roman" w:cs="Times New Roman"/>
          <w:i/>
          <w:noProof/>
          <w:sz w:val="24"/>
          <w:szCs w:val="24"/>
          <w:lang w:val="sq-AL"/>
        </w:rPr>
        <w:t>ë</w:t>
      </w:r>
      <w:r w:rsidR="002A77F4" w:rsidRPr="00641640">
        <w:rPr>
          <w:rFonts w:ascii="Times New Roman" w:hAnsi="Times New Roman" w:cs="Times New Roman"/>
          <w:i/>
          <w:noProof/>
          <w:sz w:val="24"/>
          <w:szCs w:val="24"/>
          <w:lang w:val="sq-AL"/>
        </w:rPr>
        <w:t>”</w:t>
      </w:r>
      <w:r w:rsidRPr="00641640">
        <w:rPr>
          <w:rFonts w:ascii="Times New Roman" w:hAnsi="Times New Roman" w:cs="Times New Roman"/>
          <w:noProof/>
          <w:sz w:val="24"/>
          <w:szCs w:val="24"/>
          <w:lang w:val="sq-AL"/>
        </w:rPr>
        <w:t xml:space="preserve">. </w:t>
      </w:r>
      <w:r w:rsidR="001751FD" w:rsidRPr="00641640">
        <w:rPr>
          <w:rFonts w:ascii="Times New Roman" w:hAnsi="Times New Roman" w:cs="Times New Roman"/>
          <w:noProof/>
          <w:sz w:val="24"/>
          <w:szCs w:val="24"/>
          <w:lang w:val="sq-AL"/>
        </w:rPr>
        <w:t xml:space="preserve">Në seksionin </w:t>
      </w:r>
      <w:r w:rsidR="001751FD" w:rsidRPr="00641640">
        <w:rPr>
          <w:rFonts w:ascii="Times New Roman" w:hAnsi="Times New Roman" w:cs="Times New Roman"/>
          <w:i/>
          <w:noProof/>
          <w:sz w:val="24"/>
          <w:szCs w:val="24"/>
          <w:lang w:val="sq-AL"/>
        </w:rPr>
        <w:t>“Qeverisja e hapur dhe administrimi publik”</w:t>
      </w:r>
      <w:r w:rsidR="001751FD"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SKZHIE </w:t>
      </w:r>
      <w:r w:rsidR="001751FD" w:rsidRPr="00641640">
        <w:rPr>
          <w:rFonts w:ascii="Times New Roman" w:hAnsi="Times New Roman" w:cs="Times New Roman"/>
          <w:noProof/>
          <w:sz w:val="24"/>
          <w:szCs w:val="24"/>
          <w:lang w:val="sq-AL"/>
        </w:rPr>
        <w:t>planifikon nj</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 xml:space="preserve"> objektiv t</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 xml:space="preserve"> dedikuar p</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r planifikimin strategjik efektiv dhe politikëbërjen e bazuar në të dhëna, gjithëpërfshirëse dhe transparente në qeverisjen qendrore dhe vendore. Nj</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her</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sh, nj</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 xml:space="preserve"> seri objektivash dhe reformash n</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 xml:space="preserve"> fushat e RAP parashtrohen n</w:t>
      </w:r>
      <w:r w:rsidR="00064AC5" w:rsidRPr="00641640">
        <w:rPr>
          <w:rFonts w:ascii="Times New Roman" w:hAnsi="Times New Roman" w:cs="Times New Roman"/>
          <w:noProof/>
          <w:sz w:val="24"/>
          <w:szCs w:val="24"/>
          <w:lang w:val="sq-AL"/>
        </w:rPr>
        <w:t>ë</w:t>
      </w:r>
      <w:r w:rsidR="001751FD" w:rsidRPr="00641640">
        <w:rPr>
          <w:rFonts w:ascii="Times New Roman" w:hAnsi="Times New Roman" w:cs="Times New Roman"/>
          <w:noProof/>
          <w:sz w:val="24"/>
          <w:szCs w:val="24"/>
          <w:lang w:val="sq-AL"/>
        </w:rPr>
        <w:t xml:space="preserve"> Strategji</w:t>
      </w:r>
      <w:r w:rsidR="00F863ED" w:rsidRPr="00641640">
        <w:rPr>
          <w:rFonts w:ascii="Times New Roman" w:hAnsi="Times New Roman" w:cs="Times New Roman"/>
          <w:noProof/>
          <w:sz w:val="24"/>
          <w:szCs w:val="24"/>
          <w:lang w:val="sq-AL"/>
        </w:rPr>
        <w:t>, si rritja e motivimit t</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 xml:space="preserve"> punonj</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sve t</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 xml:space="preserve"> administrat</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 xml:space="preserve">s publike, si </w:t>
      </w:r>
      <w:r w:rsidR="00B87A8A" w:rsidRPr="00641640">
        <w:rPr>
          <w:rFonts w:ascii="Times New Roman" w:hAnsi="Times New Roman" w:cs="Times New Roman"/>
          <w:noProof/>
          <w:sz w:val="24"/>
          <w:szCs w:val="24"/>
          <w:lang w:val="sq-AL"/>
        </w:rPr>
        <w:t xml:space="preserve">dhe </w:t>
      </w:r>
      <w:r w:rsidR="0077052E" w:rsidRPr="00641640">
        <w:rPr>
          <w:rFonts w:ascii="Times New Roman" w:hAnsi="Times New Roman" w:cs="Times New Roman"/>
          <w:noProof/>
          <w:sz w:val="24"/>
          <w:szCs w:val="24"/>
          <w:lang w:val="sq-AL"/>
        </w:rPr>
        <w:t>di</w:t>
      </w:r>
      <w:r w:rsidR="00DF7EE7" w:rsidRPr="00641640">
        <w:rPr>
          <w:rFonts w:ascii="Times New Roman" w:hAnsi="Times New Roman" w:cs="Times New Roman"/>
          <w:noProof/>
          <w:sz w:val="24"/>
          <w:szCs w:val="24"/>
          <w:lang w:val="sq-AL"/>
        </w:rPr>
        <w:t>gj</w:t>
      </w:r>
      <w:r w:rsidR="0077052E" w:rsidRPr="00641640">
        <w:rPr>
          <w:rFonts w:ascii="Times New Roman" w:hAnsi="Times New Roman" w:cs="Times New Roman"/>
          <w:noProof/>
          <w:sz w:val="24"/>
          <w:szCs w:val="24"/>
          <w:lang w:val="sq-AL"/>
        </w:rPr>
        <w:t>italizimi e rritja e transparencës së administratës publike</w:t>
      </w:r>
      <w:r w:rsidR="00BC36BD" w:rsidRPr="00641640">
        <w:rPr>
          <w:rFonts w:ascii="Times New Roman" w:hAnsi="Times New Roman" w:cs="Times New Roman"/>
          <w:noProof/>
          <w:sz w:val="24"/>
          <w:szCs w:val="24"/>
          <w:lang w:val="sq-AL"/>
        </w:rPr>
        <w:t>, t</w:t>
      </w:r>
      <w:r w:rsidR="00064AC5" w:rsidRPr="00641640">
        <w:rPr>
          <w:rFonts w:ascii="Times New Roman" w:hAnsi="Times New Roman" w:cs="Times New Roman"/>
          <w:noProof/>
          <w:sz w:val="24"/>
          <w:szCs w:val="24"/>
          <w:lang w:val="sq-AL"/>
        </w:rPr>
        <w:t>ë</w:t>
      </w:r>
      <w:r w:rsidR="00BC36BD" w:rsidRPr="00641640">
        <w:rPr>
          <w:rFonts w:ascii="Times New Roman" w:hAnsi="Times New Roman" w:cs="Times New Roman"/>
          <w:noProof/>
          <w:sz w:val="24"/>
          <w:szCs w:val="24"/>
          <w:lang w:val="sq-AL"/>
        </w:rPr>
        <w:t xml:space="preserve"> cilat jan</w:t>
      </w:r>
      <w:r w:rsidR="00064AC5" w:rsidRPr="00641640">
        <w:rPr>
          <w:rFonts w:ascii="Times New Roman" w:hAnsi="Times New Roman" w:cs="Times New Roman"/>
          <w:noProof/>
          <w:sz w:val="24"/>
          <w:szCs w:val="24"/>
          <w:lang w:val="sq-AL"/>
        </w:rPr>
        <w:t>ë</w:t>
      </w:r>
      <w:r w:rsidR="00BC36BD" w:rsidRPr="00641640">
        <w:rPr>
          <w:rFonts w:ascii="Times New Roman" w:hAnsi="Times New Roman" w:cs="Times New Roman"/>
          <w:noProof/>
          <w:sz w:val="24"/>
          <w:szCs w:val="24"/>
          <w:lang w:val="sq-AL"/>
        </w:rPr>
        <w:t xml:space="preserve"> linj</w:t>
      </w:r>
      <w:r w:rsidR="00064AC5" w:rsidRPr="00641640">
        <w:rPr>
          <w:rFonts w:ascii="Times New Roman" w:hAnsi="Times New Roman" w:cs="Times New Roman"/>
          <w:noProof/>
          <w:sz w:val="24"/>
          <w:szCs w:val="24"/>
          <w:lang w:val="sq-AL"/>
        </w:rPr>
        <w:t>ë</w:t>
      </w:r>
      <w:r w:rsidR="00BC36BD" w:rsidRPr="00641640">
        <w:rPr>
          <w:rFonts w:ascii="Times New Roman" w:hAnsi="Times New Roman" w:cs="Times New Roman"/>
          <w:noProof/>
          <w:sz w:val="24"/>
          <w:szCs w:val="24"/>
          <w:lang w:val="sq-AL"/>
        </w:rPr>
        <w:t>zuar dhe reflektuar n</w:t>
      </w:r>
      <w:r w:rsidR="00064AC5" w:rsidRPr="00641640">
        <w:rPr>
          <w:rFonts w:ascii="Times New Roman" w:hAnsi="Times New Roman" w:cs="Times New Roman"/>
          <w:noProof/>
          <w:sz w:val="24"/>
          <w:szCs w:val="24"/>
          <w:lang w:val="sq-AL"/>
        </w:rPr>
        <w:t>ë</w:t>
      </w:r>
      <w:r w:rsidR="00BC36BD" w:rsidRPr="00641640">
        <w:rPr>
          <w:rFonts w:ascii="Times New Roman" w:hAnsi="Times New Roman" w:cs="Times New Roman"/>
          <w:noProof/>
          <w:sz w:val="24"/>
          <w:szCs w:val="24"/>
          <w:lang w:val="sq-AL"/>
        </w:rPr>
        <w:t xml:space="preserve"> parashikimet e SNRAP 202</w:t>
      </w:r>
      <w:r w:rsidR="002209CC" w:rsidRPr="00641640">
        <w:rPr>
          <w:rFonts w:ascii="Times New Roman" w:hAnsi="Times New Roman" w:cs="Times New Roman"/>
          <w:noProof/>
          <w:sz w:val="24"/>
          <w:szCs w:val="24"/>
          <w:lang w:val="sq-AL"/>
        </w:rPr>
        <w:t>5</w:t>
      </w:r>
      <w:r w:rsidR="00BC36BD" w:rsidRPr="00641640">
        <w:rPr>
          <w:rFonts w:ascii="Times New Roman" w:hAnsi="Times New Roman" w:cs="Times New Roman"/>
          <w:noProof/>
          <w:sz w:val="24"/>
          <w:szCs w:val="24"/>
          <w:lang w:val="sq-AL"/>
        </w:rPr>
        <w:t xml:space="preserve">-2030. </w:t>
      </w:r>
    </w:p>
    <w:p w14:paraId="0829F0E6" w14:textId="77777777" w:rsidR="007700CC" w:rsidRPr="0007033C" w:rsidRDefault="007700CC" w:rsidP="003A395D">
      <w:pPr>
        <w:spacing w:after="0" w:line="276" w:lineRule="auto"/>
        <w:jc w:val="both"/>
        <w:rPr>
          <w:rFonts w:ascii="Times New Roman" w:hAnsi="Times New Roman" w:cs="Times New Roman"/>
          <w:b/>
          <w:bCs/>
          <w:noProof/>
          <w:sz w:val="16"/>
          <w:szCs w:val="16"/>
          <w:lang w:val="sq-AL"/>
        </w:rPr>
      </w:pPr>
    </w:p>
    <w:p w14:paraId="377C38C8" w14:textId="5CDD8654" w:rsidR="00C53CFB" w:rsidRPr="00641640" w:rsidRDefault="002D647C"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Ndërl</w:t>
      </w:r>
      <w:r w:rsidR="00BC36BD" w:rsidRPr="00641640">
        <w:rPr>
          <w:rFonts w:ascii="Times New Roman" w:hAnsi="Times New Roman" w:cs="Times New Roman"/>
          <w:b/>
          <w:bCs/>
          <w:noProof/>
          <w:sz w:val="24"/>
          <w:szCs w:val="24"/>
          <w:lang w:val="sq-AL"/>
        </w:rPr>
        <w:t>i</w:t>
      </w:r>
      <w:r w:rsidR="00ED7D3F" w:rsidRPr="00641640">
        <w:rPr>
          <w:rFonts w:ascii="Times New Roman" w:hAnsi="Times New Roman" w:cs="Times New Roman"/>
          <w:b/>
          <w:bCs/>
          <w:noProof/>
          <w:sz w:val="24"/>
          <w:szCs w:val="24"/>
          <w:lang w:val="sq-AL"/>
        </w:rPr>
        <w:t xml:space="preserve">dhja e SNRAP me </w:t>
      </w:r>
      <w:r w:rsidR="00752422" w:rsidRPr="00641640">
        <w:rPr>
          <w:rFonts w:ascii="Times New Roman" w:hAnsi="Times New Roman" w:cs="Times New Roman"/>
          <w:b/>
          <w:bCs/>
          <w:noProof/>
          <w:sz w:val="24"/>
          <w:szCs w:val="24"/>
          <w:lang w:val="sq-AL"/>
        </w:rPr>
        <w:t>Programi</w:t>
      </w:r>
      <w:r w:rsidR="00ED7D3F" w:rsidRPr="00641640">
        <w:rPr>
          <w:rFonts w:ascii="Times New Roman" w:hAnsi="Times New Roman" w:cs="Times New Roman"/>
          <w:b/>
          <w:bCs/>
          <w:noProof/>
          <w:sz w:val="24"/>
          <w:szCs w:val="24"/>
          <w:lang w:val="sq-AL"/>
        </w:rPr>
        <w:t>n</w:t>
      </w:r>
      <w:r w:rsidR="00752422" w:rsidRPr="00641640">
        <w:rPr>
          <w:rFonts w:ascii="Times New Roman" w:hAnsi="Times New Roman" w:cs="Times New Roman"/>
          <w:b/>
          <w:bCs/>
          <w:noProof/>
          <w:sz w:val="24"/>
          <w:szCs w:val="24"/>
          <w:lang w:val="sq-AL"/>
        </w:rPr>
        <w:t xml:space="preserve"> Kombëtar për Aderimin në Bashkimin Evropian dhe </w:t>
      </w:r>
      <w:r w:rsidR="00FD1BAC" w:rsidRPr="00641640">
        <w:rPr>
          <w:rFonts w:ascii="Times New Roman" w:hAnsi="Times New Roman" w:cs="Times New Roman"/>
          <w:b/>
          <w:bCs/>
          <w:noProof/>
          <w:sz w:val="24"/>
          <w:szCs w:val="24"/>
          <w:lang w:val="sq-AL"/>
        </w:rPr>
        <w:t>Plani</w:t>
      </w:r>
      <w:r w:rsidR="00ED7D3F" w:rsidRPr="00641640">
        <w:rPr>
          <w:rFonts w:ascii="Times New Roman" w:hAnsi="Times New Roman" w:cs="Times New Roman"/>
          <w:b/>
          <w:bCs/>
          <w:noProof/>
          <w:sz w:val="24"/>
          <w:szCs w:val="24"/>
          <w:lang w:val="sq-AL"/>
        </w:rPr>
        <w:t>n</w:t>
      </w:r>
      <w:r w:rsidR="00FD1BAC" w:rsidRPr="00641640">
        <w:rPr>
          <w:rFonts w:ascii="Times New Roman" w:hAnsi="Times New Roman" w:cs="Times New Roman"/>
          <w:b/>
          <w:bCs/>
          <w:noProof/>
          <w:sz w:val="24"/>
          <w:szCs w:val="24"/>
          <w:lang w:val="sq-AL"/>
        </w:rPr>
        <w:t xml:space="preserve"> Kombëtar për Integrimin Evropian </w:t>
      </w:r>
    </w:p>
    <w:p w14:paraId="384B2029" w14:textId="58F865AC" w:rsidR="005847E4" w:rsidRPr="00641640" w:rsidRDefault="005847E4"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Integrimi Evropian është synimi politik dhe strategjik më i rëndësishëm i Shqipërisë dhe i sistemeve të saj ligjore, ekonomike dhe institucionale. Procesi i integrimit në BE përfaqëson mbështetjen për demokratizimin e Shqipërisë, forcimin e shtetit të së drejtës, konsolidimin e institucioneve publike dhe vazhdimin e proceseve reformuese, duke përshpejtuar zhvillimin ekonomik dhe përqasjen me nivelet më të mira evropiane të mirëqenies, konvergjencës dhe gjithëpërfshirjes sociale.</w:t>
      </w:r>
    </w:p>
    <w:p w14:paraId="2B59AAD2" w14:textId="642BE9C0" w:rsidR="00F15BFA" w:rsidRPr="00641640" w:rsidRDefault="00C53CFB"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Programi Kombëtar për Aderimin në Bashkimin Evropian (PKABE) 2024</w:t>
      </w:r>
      <w:r w:rsidR="00B87A8A"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w:t>
      </w:r>
      <w:r w:rsidR="00B87A8A"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2030 dhe </w:t>
      </w:r>
      <w:r w:rsidR="00FD1BAC" w:rsidRPr="00641640">
        <w:rPr>
          <w:rFonts w:ascii="Times New Roman" w:hAnsi="Times New Roman" w:cs="Times New Roman"/>
          <w:noProof/>
          <w:sz w:val="24"/>
          <w:szCs w:val="24"/>
          <w:lang w:val="sq-AL"/>
        </w:rPr>
        <w:t>Plani Kombëtar për Integrimin Evropian</w:t>
      </w:r>
      <w:r w:rsidRPr="00641640">
        <w:rPr>
          <w:rFonts w:ascii="Times New Roman" w:hAnsi="Times New Roman" w:cs="Times New Roman"/>
          <w:noProof/>
          <w:sz w:val="24"/>
          <w:szCs w:val="24"/>
          <w:lang w:val="sq-AL"/>
        </w:rPr>
        <w:t xml:space="preserve"> (PKIE),</w:t>
      </w:r>
      <w:r w:rsidR="00FD1BAC"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si pjesë përbërëse e tij, </w:t>
      </w:r>
      <w:r w:rsidR="00FD1BAC" w:rsidRPr="00641640">
        <w:rPr>
          <w:rFonts w:ascii="Times New Roman" w:hAnsi="Times New Roman" w:cs="Times New Roman"/>
          <w:noProof/>
          <w:sz w:val="24"/>
          <w:szCs w:val="24"/>
          <w:lang w:val="sq-AL"/>
        </w:rPr>
        <w:t>syno</w:t>
      </w:r>
      <w:r w:rsidR="00BC36BD" w:rsidRPr="00641640">
        <w:rPr>
          <w:rFonts w:ascii="Times New Roman" w:hAnsi="Times New Roman" w:cs="Times New Roman"/>
          <w:noProof/>
          <w:sz w:val="24"/>
          <w:szCs w:val="24"/>
          <w:lang w:val="sq-AL"/>
        </w:rPr>
        <w:t>j</w:t>
      </w:r>
      <w:r w:rsidR="00FD1BAC" w:rsidRPr="00641640">
        <w:rPr>
          <w:rFonts w:ascii="Times New Roman" w:hAnsi="Times New Roman" w:cs="Times New Roman"/>
          <w:noProof/>
          <w:sz w:val="24"/>
          <w:szCs w:val="24"/>
          <w:lang w:val="sq-AL"/>
        </w:rPr>
        <w:t>n</w:t>
      </w:r>
      <w:r w:rsidR="00064AC5" w:rsidRPr="00641640">
        <w:rPr>
          <w:rFonts w:ascii="Times New Roman" w:hAnsi="Times New Roman" w:cs="Times New Roman"/>
          <w:noProof/>
          <w:sz w:val="24"/>
          <w:szCs w:val="24"/>
          <w:lang w:val="sq-AL"/>
        </w:rPr>
        <w:t>ë</w:t>
      </w:r>
      <w:r w:rsidR="00FD1BAC" w:rsidRPr="00641640">
        <w:rPr>
          <w:rFonts w:ascii="Times New Roman" w:hAnsi="Times New Roman" w:cs="Times New Roman"/>
          <w:noProof/>
          <w:sz w:val="24"/>
          <w:szCs w:val="24"/>
          <w:lang w:val="sq-AL"/>
        </w:rPr>
        <w:t xml:space="preserve"> të bashkërendoj</w:t>
      </w:r>
      <w:r w:rsidR="00BC36BD" w:rsidRPr="00641640">
        <w:rPr>
          <w:rFonts w:ascii="Times New Roman" w:hAnsi="Times New Roman" w:cs="Times New Roman"/>
          <w:noProof/>
          <w:sz w:val="24"/>
          <w:szCs w:val="24"/>
          <w:lang w:val="sq-AL"/>
        </w:rPr>
        <w:t>n</w:t>
      </w:r>
      <w:r w:rsidR="00FD1BAC" w:rsidRPr="00641640">
        <w:rPr>
          <w:rFonts w:ascii="Times New Roman" w:hAnsi="Times New Roman" w:cs="Times New Roman"/>
          <w:noProof/>
          <w:sz w:val="24"/>
          <w:szCs w:val="24"/>
          <w:lang w:val="sq-AL"/>
        </w:rPr>
        <w:t>ë procesin e përafrimit</w:t>
      </w:r>
      <w:r w:rsidRPr="00641640">
        <w:rPr>
          <w:rFonts w:ascii="Times New Roman" w:hAnsi="Times New Roman" w:cs="Times New Roman"/>
          <w:noProof/>
          <w:sz w:val="24"/>
          <w:szCs w:val="24"/>
          <w:lang w:val="sq-AL"/>
        </w:rPr>
        <w:t xml:space="preserve"> të</w:t>
      </w:r>
      <w:r w:rsidR="00FD1BAC"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politikave shtetërore dhe legjislacionit kombëtar me </w:t>
      </w:r>
      <w:r w:rsidRPr="00641640">
        <w:rPr>
          <w:rFonts w:ascii="Times New Roman" w:hAnsi="Times New Roman" w:cs="Times New Roman"/>
          <w:i/>
          <w:noProof/>
          <w:sz w:val="24"/>
          <w:szCs w:val="24"/>
          <w:lang w:val="sq-AL"/>
        </w:rPr>
        <w:t>acquis</w:t>
      </w:r>
      <w:r w:rsidR="00ED7D3F" w:rsidRPr="00641640">
        <w:rPr>
          <w:rFonts w:ascii="Times New Roman" w:hAnsi="Times New Roman" w:cs="Times New Roman"/>
          <w:noProof/>
          <w:sz w:val="24"/>
          <w:szCs w:val="24"/>
          <w:lang w:val="sq-AL"/>
        </w:rPr>
        <w:t>-n</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dhe standardet e </w:t>
      </w:r>
      <w:r w:rsidR="00FD1BAC" w:rsidRPr="00641640">
        <w:rPr>
          <w:rFonts w:ascii="Times New Roman" w:hAnsi="Times New Roman" w:cs="Times New Roman"/>
          <w:noProof/>
          <w:sz w:val="24"/>
          <w:szCs w:val="24"/>
          <w:lang w:val="sq-AL"/>
        </w:rPr>
        <w:t>BE-</w:t>
      </w:r>
      <w:r w:rsidRPr="00641640">
        <w:rPr>
          <w:rFonts w:ascii="Times New Roman" w:hAnsi="Times New Roman" w:cs="Times New Roman"/>
          <w:noProof/>
          <w:sz w:val="24"/>
          <w:szCs w:val="24"/>
          <w:lang w:val="sq-AL"/>
        </w:rPr>
        <w:t>s</w:t>
      </w:r>
      <w:r w:rsidR="00FD1BAC" w:rsidRPr="00641640">
        <w:rPr>
          <w:rFonts w:ascii="Times New Roman" w:hAnsi="Times New Roman" w:cs="Times New Roman"/>
          <w:noProof/>
          <w:sz w:val="24"/>
          <w:szCs w:val="24"/>
          <w:lang w:val="sq-AL"/>
        </w:rPr>
        <w:t xml:space="preserve">ë </w:t>
      </w:r>
      <w:r w:rsidR="0040068E" w:rsidRPr="00641640">
        <w:rPr>
          <w:rFonts w:ascii="Times New Roman" w:hAnsi="Times New Roman" w:cs="Times New Roman"/>
          <w:noProof/>
          <w:sz w:val="24"/>
          <w:szCs w:val="24"/>
          <w:lang w:val="sq-AL"/>
        </w:rPr>
        <w:t>p</w:t>
      </w:r>
      <w:r w:rsidR="007F00FB" w:rsidRPr="00641640">
        <w:rPr>
          <w:rFonts w:ascii="Times New Roman" w:hAnsi="Times New Roman" w:cs="Times New Roman"/>
          <w:noProof/>
          <w:sz w:val="24"/>
          <w:szCs w:val="24"/>
          <w:lang w:val="sq-AL"/>
        </w:rPr>
        <w:t>ë</w:t>
      </w:r>
      <w:r w:rsidR="0040068E" w:rsidRPr="00641640">
        <w:rPr>
          <w:rFonts w:ascii="Times New Roman" w:hAnsi="Times New Roman" w:cs="Times New Roman"/>
          <w:noProof/>
          <w:sz w:val="24"/>
          <w:szCs w:val="24"/>
          <w:lang w:val="sq-AL"/>
        </w:rPr>
        <w:t xml:space="preserve">r </w:t>
      </w:r>
      <w:r w:rsidR="00FD1BAC" w:rsidRPr="00641640">
        <w:rPr>
          <w:rFonts w:ascii="Times New Roman" w:hAnsi="Times New Roman" w:cs="Times New Roman"/>
          <w:noProof/>
          <w:sz w:val="24"/>
          <w:szCs w:val="24"/>
          <w:lang w:val="sq-AL"/>
        </w:rPr>
        <w:t>përmbushjen e detyrimeve nga Marrëveshja e Stabilizim-Asociimit dhe detyrime</w:t>
      </w:r>
      <w:r w:rsidR="00ED7D3F" w:rsidRPr="00641640">
        <w:rPr>
          <w:rFonts w:ascii="Times New Roman" w:hAnsi="Times New Roman" w:cs="Times New Roman"/>
          <w:noProof/>
          <w:sz w:val="24"/>
          <w:szCs w:val="24"/>
          <w:lang w:val="sq-AL"/>
        </w:rPr>
        <w:t>ve</w:t>
      </w:r>
      <w:r w:rsidR="00FD1BAC" w:rsidRPr="00641640">
        <w:rPr>
          <w:rFonts w:ascii="Times New Roman" w:hAnsi="Times New Roman" w:cs="Times New Roman"/>
          <w:noProof/>
          <w:sz w:val="24"/>
          <w:szCs w:val="24"/>
          <w:lang w:val="sq-AL"/>
        </w:rPr>
        <w:t xml:space="preserve"> që dalin si pjesë e procesit të anëtarësimit në Bashkimin Evropian. </w:t>
      </w:r>
      <w:r w:rsidR="001530E5" w:rsidRPr="00641640">
        <w:rPr>
          <w:rFonts w:ascii="Times New Roman" w:hAnsi="Times New Roman" w:cs="Times New Roman"/>
          <w:noProof/>
          <w:sz w:val="24"/>
          <w:szCs w:val="24"/>
          <w:lang w:val="sq-AL"/>
        </w:rPr>
        <w:t>Reforma e Administratës Publike është pjesë përbërëse e PKABE dhe PKIE-së</w:t>
      </w:r>
      <w:r w:rsidR="00BC36BD" w:rsidRPr="00641640">
        <w:rPr>
          <w:rFonts w:ascii="Times New Roman" w:hAnsi="Times New Roman" w:cs="Times New Roman"/>
          <w:noProof/>
          <w:sz w:val="24"/>
          <w:szCs w:val="24"/>
          <w:lang w:val="sq-AL"/>
        </w:rPr>
        <w:t xml:space="preserve">, e trajtuar në kuadër të </w:t>
      </w:r>
      <w:r w:rsidR="00BC36BD" w:rsidRPr="00641640">
        <w:rPr>
          <w:rFonts w:ascii="Times New Roman" w:hAnsi="Times New Roman" w:cs="Times New Roman"/>
          <w:i/>
          <w:noProof/>
          <w:sz w:val="24"/>
          <w:szCs w:val="24"/>
          <w:lang w:val="sq-AL"/>
        </w:rPr>
        <w:t>Kriterit Politik</w:t>
      </w:r>
      <w:r w:rsidR="00BC36BD" w:rsidRPr="00641640">
        <w:rPr>
          <w:rFonts w:ascii="Times New Roman" w:hAnsi="Times New Roman" w:cs="Times New Roman"/>
          <w:noProof/>
          <w:sz w:val="24"/>
          <w:szCs w:val="24"/>
          <w:lang w:val="sq-AL"/>
        </w:rPr>
        <w:t xml:space="preserve">. </w:t>
      </w:r>
    </w:p>
    <w:p w14:paraId="70D1EF63" w14:textId="5DF0D7C8" w:rsidR="005847E4" w:rsidRPr="00641640" w:rsidRDefault="005847E4"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lastRenderedPageBreak/>
        <w:t>Plani Kombëtar për Integrimin Evropian 2025-2027 ka një objektiv të dyfishtë. Së pari, ai do të shërbejë si instrument i planifikimit të plotësimit të detyrimeve të lindura nga Marrëveshja e Stabilizim-Asociimit. Kjo marrëveshje, ratifikuar me ligjin nr.</w:t>
      </w:r>
      <w:r w:rsidR="00B41E91"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9590, datë 27.7.2006, “</w:t>
      </w:r>
      <w:r w:rsidRPr="007B6FCA">
        <w:rPr>
          <w:rFonts w:ascii="Times New Roman" w:hAnsi="Times New Roman" w:cs="Times New Roman"/>
          <w:i/>
          <w:iCs/>
          <w:noProof/>
          <w:sz w:val="24"/>
          <w:szCs w:val="24"/>
          <w:lang w:val="sq-AL"/>
        </w:rPr>
        <w:t>Për ratifikimin e Marrëveshjes së Stabilizim-Asociimit ndërmjet Republikës së Shqipërisë dhe komuniteteve evropiane e shteteve të tyre anëtare</w:t>
      </w:r>
      <w:r w:rsidRPr="00641640">
        <w:rPr>
          <w:rFonts w:ascii="Times New Roman" w:hAnsi="Times New Roman" w:cs="Times New Roman"/>
          <w:noProof/>
          <w:sz w:val="24"/>
          <w:szCs w:val="24"/>
          <w:lang w:val="sq-AL"/>
        </w:rPr>
        <w:t xml:space="preserve">”, përcakton në nenin 70 të saj, detyrimin e Republikës së Shqipërisë për përafrimin e legjislacionit kombëtar me legjislacionin e Bashkimit Evropian, në përputhje me afatet e përcaktuara nga kjo marrëveshje. </w:t>
      </w:r>
    </w:p>
    <w:p w14:paraId="40D99709" w14:textId="5D519B49" w:rsidR="005847E4" w:rsidRPr="00641640" w:rsidRDefault="005847E4"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Së dyti, PKIE 2025-2027 ka si pikësynim final përafrimin e plotë të legjislacionit shqiptar me acquis-n</w:t>
      </w:r>
      <w:r w:rsidR="00785F70"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e Bashkimit Evropian, si një nga kriteret e anëtarësimit në Bashkimin Evropian</w:t>
      </w:r>
      <w:r w:rsidR="00F863ED" w:rsidRPr="00641640">
        <w:rPr>
          <w:rFonts w:ascii="Times New Roman" w:hAnsi="Times New Roman" w:cs="Times New Roman"/>
          <w:noProof/>
          <w:sz w:val="24"/>
          <w:szCs w:val="24"/>
          <w:lang w:val="sq-AL"/>
        </w:rPr>
        <w:t>. Ritmi i k</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tij procesi p</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rafrues ka nj</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 xml:space="preserve"> r</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nd</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si jetike</w:t>
      </w:r>
      <w:r w:rsidRPr="00641640">
        <w:rPr>
          <w:rFonts w:ascii="Times New Roman" w:hAnsi="Times New Roman" w:cs="Times New Roman"/>
          <w:noProof/>
          <w:sz w:val="24"/>
          <w:szCs w:val="24"/>
          <w:lang w:val="sq-AL"/>
        </w:rPr>
        <w:t xml:space="preserve"> </w:t>
      </w:r>
      <w:r w:rsidR="00F863ED" w:rsidRPr="00641640">
        <w:rPr>
          <w:rFonts w:ascii="Times New Roman" w:hAnsi="Times New Roman" w:cs="Times New Roman"/>
          <w:noProof/>
          <w:sz w:val="24"/>
          <w:szCs w:val="24"/>
          <w:lang w:val="sq-AL"/>
        </w:rPr>
        <w:t>veçan</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 xml:space="preserve">risht </w:t>
      </w:r>
      <w:r w:rsidRPr="00641640">
        <w:rPr>
          <w:rFonts w:ascii="Times New Roman" w:hAnsi="Times New Roman" w:cs="Times New Roman"/>
          <w:noProof/>
          <w:sz w:val="24"/>
          <w:szCs w:val="24"/>
          <w:lang w:val="sq-AL"/>
        </w:rPr>
        <w:t>pas mbajtjes s</w:t>
      </w:r>
      <w:r w:rsidR="00785F70" w:rsidRPr="00641640">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 xml:space="preserve"> kat</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r Konferencave Nd</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rqeveritare, p</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rkat</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sisht n</w:t>
      </w:r>
      <w:r w:rsidR="00785F70"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0066598E" w:rsidRPr="00641640">
        <w:rPr>
          <w:rFonts w:ascii="Times New Roman" w:hAnsi="Times New Roman" w:cs="Times New Roman"/>
          <w:noProof/>
          <w:sz w:val="24"/>
          <w:szCs w:val="24"/>
          <w:lang w:val="sq-AL"/>
        </w:rPr>
        <w:t>T</w:t>
      </w:r>
      <w:r w:rsidRPr="00641640">
        <w:rPr>
          <w:rFonts w:ascii="Times New Roman" w:hAnsi="Times New Roman" w:cs="Times New Roman"/>
          <w:noProof/>
          <w:sz w:val="24"/>
          <w:szCs w:val="24"/>
          <w:lang w:val="sq-AL"/>
        </w:rPr>
        <w:t>etor 2024</w:t>
      </w:r>
      <w:r w:rsidR="00F863ED" w:rsidRPr="00641640">
        <w:rPr>
          <w:rFonts w:ascii="Times New Roman" w:hAnsi="Times New Roman" w:cs="Times New Roman"/>
          <w:noProof/>
          <w:sz w:val="24"/>
          <w:szCs w:val="24"/>
          <w:lang w:val="sq-AL"/>
        </w:rPr>
        <w:t xml:space="preserve"> ku u </w:t>
      </w:r>
      <w:r w:rsidRPr="00641640">
        <w:rPr>
          <w:rFonts w:ascii="Times New Roman" w:hAnsi="Times New Roman" w:cs="Times New Roman"/>
          <w:noProof/>
          <w:sz w:val="24"/>
          <w:szCs w:val="24"/>
          <w:lang w:val="sq-AL"/>
        </w:rPr>
        <w:t>zyrtariz</w:t>
      </w:r>
      <w:r w:rsidR="00F863ED" w:rsidRPr="00641640">
        <w:rPr>
          <w:rFonts w:ascii="Times New Roman" w:hAnsi="Times New Roman" w:cs="Times New Roman"/>
          <w:noProof/>
          <w:sz w:val="24"/>
          <w:szCs w:val="24"/>
          <w:lang w:val="sq-AL"/>
        </w:rPr>
        <w:t>ua</w:t>
      </w:r>
      <w:r w:rsidRPr="00641640">
        <w:rPr>
          <w:rFonts w:ascii="Times New Roman" w:hAnsi="Times New Roman" w:cs="Times New Roman"/>
          <w:noProof/>
          <w:sz w:val="24"/>
          <w:szCs w:val="24"/>
          <w:lang w:val="sq-AL"/>
        </w:rPr>
        <w:t xml:space="preserve"> hapj</w:t>
      </w:r>
      <w:r w:rsidR="00F863ED" w:rsidRPr="00641640">
        <w:rPr>
          <w:rFonts w:ascii="Times New Roman" w:hAnsi="Times New Roman" w:cs="Times New Roman"/>
          <w:noProof/>
          <w:sz w:val="24"/>
          <w:szCs w:val="24"/>
          <w:lang w:val="sq-AL"/>
        </w:rPr>
        <w:t>a</w:t>
      </w:r>
      <w:r w:rsidRPr="00641640">
        <w:rPr>
          <w:rFonts w:ascii="Times New Roman" w:hAnsi="Times New Roman" w:cs="Times New Roman"/>
          <w:noProof/>
          <w:sz w:val="24"/>
          <w:szCs w:val="24"/>
          <w:lang w:val="sq-AL"/>
        </w:rPr>
        <w:t xml:space="preserve"> e negociatave p</w:t>
      </w:r>
      <w:r w:rsidR="00785F70"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 Grupkapitullin I-rë “Themeloret”, </w:t>
      </w:r>
      <w:r w:rsidR="00F863ED" w:rsidRPr="00641640">
        <w:rPr>
          <w:rFonts w:ascii="Times New Roman" w:hAnsi="Times New Roman" w:cs="Times New Roman"/>
          <w:noProof/>
          <w:sz w:val="24"/>
          <w:szCs w:val="24"/>
          <w:lang w:val="sq-AL"/>
        </w:rPr>
        <w:t>n</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 xml:space="preserve"> D</w:t>
      </w:r>
      <w:r w:rsidRPr="00641640">
        <w:rPr>
          <w:rFonts w:ascii="Times New Roman" w:hAnsi="Times New Roman" w:cs="Times New Roman"/>
          <w:noProof/>
          <w:sz w:val="24"/>
          <w:szCs w:val="24"/>
          <w:lang w:val="sq-AL"/>
        </w:rPr>
        <w:t>hjetor 2024</w:t>
      </w:r>
      <w:r w:rsidR="00F863ED" w:rsidRPr="00641640">
        <w:rPr>
          <w:rFonts w:ascii="Times New Roman" w:hAnsi="Times New Roman" w:cs="Times New Roman"/>
          <w:noProof/>
          <w:sz w:val="24"/>
          <w:szCs w:val="24"/>
          <w:lang w:val="sq-AL"/>
        </w:rPr>
        <w:t xml:space="preserve"> ku u </w:t>
      </w:r>
      <w:r w:rsidRPr="00641640">
        <w:rPr>
          <w:rFonts w:ascii="Times New Roman" w:hAnsi="Times New Roman" w:cs="Times New Roman"/>
          <w:noProof/>
          <w:sz w:val="24"/>
          <w:szCs w:val="24"/>
          <w:lang w:val="sq-AL"/>
        </w:rPr>
        <w:t>zyrtariz</w:t>
      </w:r>
      <w:r w:rsidR="00F863ED" w:rsidRPr="00641640">
        <w:rPr>
          <w:rFonts w:ascii="Times New Roman" w:hAnsi="Times New Roman" w:cs="Times New Roman"/>
          <w:noProof/>
          <w:sz w:val="24"/>
          <w:szCs w:val="24"/>
          <w:lang w:val="sq-AL"/>
        </w:rPr>
        <w:t>ua</w:t>
      </w:r>
      <w:r w:rsidRPr="00641640">
        <w:rPr>
          <w:rFonts w:ascii="Times New Roman" w:hAnsi="Times New Roman" w:cs="Times New Roman"/>
          <w:noProof/>
          <w:sz w:val="24"/>
          <w:szCs w:val="24"/>
          <w:lang w:val="sq-AL"/>
        </w:rPr>
        <w:t xml:space="preserve"> hapj</w:t>
      </w:r>
      <w:r w:rsidR="00F863ED" w:rsidRPr="00641640">
        <w:rPr>
          <w:rFonts w:ascii="Times New Roman" w:hAnsi="Times New Roman" w:cs="Times New Roman"/>
          <w:noProof/>
          <w:sz w:val="24"/>
          <w:szCs w:val="24"/>
          <w:lang w:val="sq-AL"/>
        </w:rPr>
        <w:t>a</w:t>
      </w:r>
      <w:r w:rsidRPr="00641640">
        <w:rPr>
          <w:rFonts w:ascii="Times New Roman" w:hAnsi="Times New Roman" w:cs="Times New Roman"/>
          <w:noProof/>
          <w:sz w:val="24"/>
          <w:szCs w:val="24"/>
          <w:lang w:val="sq-AL"/>
        </w:rPr>
        <w:t xml:space="preserve"> e negociatave t</w:t>
      </w:r>
      <w:r w:rsidR="00785F70"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anëtarësimit p</w:t>
      </w:r>
      <w:r w:rsidR="00785F70"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Grupkapitullin VI-të “Marrëdhëniet me jashtë”</w:t>
      </w:r>
      <w:r w:rsidR="00F863ED" w:rsidRPr="00641640">
        <w:rPr>
          <w:rFonts w:ascii="Times New Roman" w:hAnsi="Times New Roman" w:cs="Times New Roman"/>
          <w:noProof/>
          <w:sz w:val="24"/>
          <w:szCs w:val="24"/>
          <w:lang w:val="sq-AL"/>
        </w:rPr>
        <w:t>, n</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 xml:space="preserve"> Prill 2025 p</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r hapjen e negociatave p</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r Grupkapitullin II “Tregu i Brendsh</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m” dhe n</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 xml:space="preserve"> Maj 2025 p</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r Grupkapitullin III “Konkurrueshm</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ria dhe Rritja Gjith</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p</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rfshir</w:t>
      </w:r>
      <w:r w:rsidR="002B2907">
        <w:rPr>
          <w:rFonts w:ascii="Times New Roman" w:hAnsi="Times New Roman" w:cs="Times New Roman"/>
          <w:noProof/>
          <w:sz w:val="24"/>
          <w:szCs w:val="24"/>
          <w:lang w:val="sq-AL"/>
        </w:rPr>
        <w:t>ë</w:t>
      </w:r>
      <w:r w:rsidR="00F863ED" w:rsidRPr="00641640">
        <w:rPr>
          <w:rFonts w:ascii="Times New Roman" w:hAnsi="Times New Roman" w:cs="Times New Roman"/>
          <w:noProof/>
          <w:sz w:val="24"/>
          <w:szCs w:val="24"/>
          <w:lang w:val="sq-AL"/>
        </w:rPr>
        <w:t xml:space="preserve">se”. </w:t>
      </w:r>
    </w:p>
    <w:p w14:paraId="7C287825" w14:textId="77777777" w:rsidR="00F0387F" w:rsidRPr="00641640" w:rsidRDefault="005847E4"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PKIE 2025-2027 përfshin masat politiko - ligjore, institucionale - administrative dhe zbatuese që do të miratohen nga institucionet shqiptare gjatë kësaj periudhe. Çështjet e parashikuara në Kapitullin </w:t>
      </w:r>
      <w:r w:rsidRPr="00641640">
        <w:rPr>
          <w:rFonts w:ascii="Times New Roman" w:hAnsi="Times New Roman" w:cs="Times New Roman"/>
          <w:i/>
          <w:noProof/>
          <w:sz w:val="24"/>
          <w:szCs w:val="24"/>
          <w:lang w:val="sq-AL"/>
        </w:rPr>
        <w:t>“Reforma e Administratës Publike (RAP)”</w:t>
      </w:r>
      <w:r w:rsidRPr="00641640">
        <w:rPr>
          <w:rFonts w:ascii="Times New Roman" w:hAnsi="Times New Roman" w:cs="Times New Roman"/>
          <w:noProof/>
          <w:sz w:val="24"/>
          <w:szCs w:val="24"/>
          <w:lang w:val="sq-AL"/>
        </w:rPr>
        <w:t xml:space="preserve"> lidhen me shërbimin civil, menaxhimin e burimeve njerëzore, si dhe me zhvillimin dhe koordinimin e politikave. </w:t>
      </w:r>
    </w:p>
    <w:p w14:paraId="36F76C8A" w14:textId="37962298" w:rsidR="005847E4" w:rsidRPr="00641640" w:rsidRDefault="005847E4"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PKIE-ja është e lidhur me ciklin e programimit të Programit Buxhetor Afatmesëm (PBA) dhe në të njëjtën linjë me PBA mbulon një periudhë 3-vjeçare buxhetimi dhe përditësohet çdo vit. Gjithashtu, çdo projektvendim i Këshillit të Ministrave dhe çdo projektligj i planifikuar në PKIE, është pjesë e listës së akteve që janë parashikuar për miratim në Programin e Përgjithshëm Analitik të Projektakteve (PPAP).</w:t>
      </w:r>
    </w:p>
    <w:p w14:paraId="2926AD39" w14:textId="77777777" w:rsidR="000E22D7" w:rsidRPr="0007033C" w:rsidRDefault="000E22D7" w:rsidP="003A395D">
      <w:pPr>
        <w:spacing w:after="0" w:line="276" w:lineRule="auto"/>
        <w:jc w:val="both"/>
        <w:rPr>
          <w:rFonts w:ascii="Times New Roman" w:hAnsi="Times New Roman" w:cs="Times New Roman"/>
          <w:noProof/>
          <w:sz w:val="16"/>
          <w:szCs w:val="16"/>
          <w:lang w:val="sq-AL"/>
        </w:rPr>
      </w:pPr>
    </w:p>
    <w:p w14:paraId="763DC72A" w14:textId="5CAB5CD5" w:rsidR="00EC234C" w:rsidRPr="00641640" w:rsidRDefault="002D647C"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Ndërl</w:t>
      </w:r>
      <w:r w:rsidR="00BC36BD" w:rsidRPr="00641640">
        <w:rPr>
          <w:rFonts w:ascii="Times New Roman" w:hAnsi="Times New Roman" w:cs="Times New Roman"/>
          <w:b/>
          <w:bCs/>
          <w:noProof/>
          <w:sz w:val="24"/>
          <w:szCs w:val="24"/>
          <w:lang w:val="sq-AL"/>
        </w:rPr>
        <w:t>idhja e SNRAP 202</w:t>
      </w:r>
      <w:r w:rsidR="00A67766" w:rsidRPr="00641640">
        <w:rPr>
          <w:rFonts w:ascii="Times New Roman" w:hAnsi="Times New Roman" w:cs="Times New Roman"/>
          <w:b/>
          <w:bCs/>
          <w:noProof/>
          <w:sz w:val="24"/>
          <w:szCs w:val="24"/>
          <w:lang w:val="sq-AL"/>
        </w:rPr>
        <w:t>5</w:t>
      </w:r>
      <w:r w:rsidR="00BC36BD" w:rsidRPr="00641640">
        <w:rPr>
          <w:rFonts w:ascii="Times New Roman" w:hAnsi="Times New Roman" w:cs="Times New Roman"/>
          <w:b/>
          <w:bCs/>
          <w:noProof/>
          <w:sz w:val="24"/>
          <w:szCs w:val="24"/>
          <w:lang w:val="sq-AL"/>
        </w:rPr>
        <w:t xml:space="preserve">-2030 me </w:t>
      </w:r>
      <w:r w:rsidR="00EC234C" w:rsidRPr="00641640">
        <w:rPr>
          <w:rFonts w:ascii="Times New Roman" w:hAnsi="Times New Roman" w:cs="Times New Roman"/>
          <w:b/>
          <w:bCs/>
          <w:noProof/>
          <w:sz w:val="24"/>
          <w:szCs w:val="24"/>
          <w:lang w:val="sq-AL"/>
        </w:rPr>
        <w:t>Dokumenti</w:t>
      </w:r>
      <w:r w:rsidR="00BC36BD" w:rsidRPr="00641640">
        <w:rPr>
          <w:rFonts w:ascii="Times New Roman" w:hAnsi="Times New Roman" w:cs="Times New Roman"/>
          <w:b/>
          <w:bCs/>
          <w:noProof/>
          <w:sz w:val="24"/>
          <w:szCs w:val="24"/>
          <w:lang w:val="sq-AL"/>
        </w:rPr>
        <w:t>n e</w:t>
      </w:r>
      <w:r w:rsidR="00EC234C" w:rsidRPr="00641640">
        <w:rPr>
          <w:rFonts w:ascii="Times New Roman" w:hAnsi="Times New Roman" w:cs="Times New Roman"/>
          <w:b/>
          <w:bCs/>
          <w:noProof/>
          <w:sz w:val="24"/>
          <w:szCs w:val="24"/>
          <w:lang w:val="sq-AL"/>
        </w:rPr>
        <w:t xml:space="preserve"> Politikës “Agjenda Kombëtare e Reformave 2024 – 2027”</w:t>
      </w:r>
    </w:p>
    <w:p w14:paraId="30DF9DEA" w14:textId="7F7C503A" w:rsidR="00CA197E" w:rsidRPr="00641640" w:rsidRDefault="00EC234C"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Dokumenti i Politikës “Agjenda Kombëtare e Reformave 2024-2027 (AKR 2024-2027)” mundëson vënien në zbatim të instrumentit të BE-së</w:t>
      </w:r>
      <w:r w:rsidR="00E20DE7"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w:t>
      </w:r>
      <w:r w:rsidR="002D647C" w:rsidRPr="00641640">
        <w:rPr>
          <w:rFonts w:ascii="Times New Roman" w:hAnsi="Times New Roman" w:cs="Times New Roman"/>
          <w:noProof/>
          <w:sz w:val="24"/>
          <w:szCs w:val="24"/>
          <w:lang w:val="sq-AL"/>
        </w:rPr>
        <w:t>“Faciliteti për reforma dhe rritje për Ballkanin Perëndimor”</w:t>
      </w:r>
      <w:r w:rsidR="00E20DE7" w:rsidRPr="00641640">
        <w:rPr>
          <w:rFonts w:ascii="Times New Roman" w:hAnsi="Times New Roman" w:cs="Times New Roman"/>
          <w:noProof/>
          <w:sz w:val="24"/>
          <w:szCs w:val="24"/>
          <w:lang w:val="sq-AL"/>
        </w:rPr>
        <w:t>.</w:t>
      </w:r>
      <w:r w:rsidR="002D647C"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AKR 2024</w:t>
      </w:r>
      <w:r w:rsidR="0040068E"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w:t>
      </w:r>
      <w:r w:rsidR="0040068E"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2027 </w:t>
      </w:r>
      <w:r w:rsidR="00BC36BD" w:rsidRPr="00641640">
        <w:rPr>
          <w:rFonts w:ascii="Times New Roman" w:hAnsi="Times New Roman" w:cs="Times New Roman"/>
          <w:noProof/>
          <w:sz w:val="24"/>
          <w:szCs w:val="24"/>
          <w:lang w:val="sq-AL"/>
        </w:rPr>
        <w:t>do t</w:t>
      </w:r>
      <w:r w:rsidR="00064AC5" w:rsidRPr="00641640">
        <w:rPr>
          <w:rFonts w:ascii="Times New Roman" w:hAnsi="Times New Roman" w:cs="Times New Roman"/>
          <w:noProof/>
          <w:sz w:val="24"/>
          <w:szCs w:val="24"/>
          <w:lang w:val="sq-AL"/>
        </w:rPr>
        <w:t>ë</w:t>
      </w:r>
      <w:r w:rsidR="00BC36BD" w:rsidRPr="00641640">
        <w:rPr>
          <w:rFonts w:ascii="Times New Roman" w:hAnsi="Times New Roman" w:cs="Times New Roman"/>
          <w:noProof/>
          <w:sz w:val="24"/>
          <w:szCs w:val="24"/>
          <w:lang w:val="sq-AL"/>
        </w:rPr>
        <w:t xml:space="preserve"> jet</w:t>
      </w:r>
      <w:r w:rsidR="00064AC5" w:rsidRPr="00641640">
        <w:rPr>
          <w:rFonts w:ascii="Times New Roman" w:hAnsi="Times New Roman" w:cs="Times New Roman"/>
          <w:noProof/>
          <w:sz w:val="24"/>
          <w:szCs w:val="24"/>
          <w:lang w:val="sq-AL"/>
        </w:rPr>
        <w:t>ë</w:t>
      </w:r>
      <w:r w:rsidR="00BC36BD"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një instrument kyç</w:t>
      </w:r>
      <w:r w:rsidR="0040068E" w:rsidRPr="00641640">
        <w:rPr>
          <w:rFonts w:ascii="Times New Roman" w:hAnsi="Times New Roman" w:cs="Times New Roman"/>
          <w:noProof/>
          <w:sz w:val="24"/>
          <w:szCs w:val="24"/>
          <w:lang w:val="sq-AL"/>
        </w:rPr>
        <w:t xml:space="preserve"> p</w:t>
      </w:r>
      <w:r w:rsidR="007F00FB" w:rsidRPr="00641640">
        <w:rPr>
          <w:rFonts w:ascii="Times New Roman" w:hAnsi="Times New Roman" w:cs="Times New Roman"/>
          <w:noProof/>
          <w:sz w:val="24"/>
          <w:szCs w:val="24"/>
          <w:lang w:val="sq-AL"/>
        </w:rPr>
        <w:t>ë</w:t>
      </w:r>
      <w:r w:rsidR="0040068E" w:rsidRPr="00641640">
        <w:rPr>
          <w:rFonts w:ascii="Times New Roman" w:hAnsi="Times New Roman" w:cs="Times New Roman"/>
          <w:noProof/>
          <w:sz w:val="24"/>
          <w:szCs w:val="24"/>
          <w:lang w:val="sq-AL"/>
        </w:rPr>
        <w:t xml:space="preserve">r </w:t>
      </w:r>
      <w:r w:rsidRPr="00641640">
        <w:rPr>
          <w:rFonts w:ascii="Times New Roman" w:hAnsi="Times New Roman" w:cs="Times New Roman"/>
          <w:noProof/>
          <w:sz w:val="24"/>
          <w:szCs w:val="24"/>
          <w:lang w:val="sq-AL"/>
        </w:rPr>
        <w:t>nxi</w:t>
      </w:r>
      <w:r w:rsidR="0040068E" w:rsidRPr="00641640">
        <w:rPr>
          <w:rFonts w:ascii="Times New Roman" w:hAnsi="Times New Roman" w:cs="Times New Roman"/>
          <w:noProof/>
          <w:sz w:val="24"/>
          <w:szCs w:val="24"/>
          <w:lang w:val="sq-AL"/>
        </w:rPr>
        <w:t>tjen e</w:t>
      </w:r>
      <w:r w:rsidRPr="00641640">
        <w:rPr>
          <w:rFonts w:ascii="Times New Roman" w:hAnsi="Times New Roman" w:cs="Times New Roman"/>
          <w:noProof/>
          <w:sz w:val="24"/>
          <w:szCs w:val="24"/>
          <w:lang w:val="sq-AL"/>
        </w:rPr>
        <w:t xml:space="preserve"> përgatitje</w:t>
      </w:r>
      <w:r w:rsidR="0040068E" w:rsidRPr="00641640">
        <w:rPr>
          <w:rFonts w:ascii="Times New Roman" w:hAnsi="Times New Roman" w:cs="Times New Roman"/>
          <w:noProof/>
          <w:sz w:val="24"/>
          <w:szCs w:val="24"/>
          <w:lang w:val="sq-AL"/>
        </w:rPr>
        <w:t>s</w:t>
      </w:r>
      <w:r w:rsidRPr="00641640">
        <w:rPr>
          <w:rFonts w:ascii="Times New Roman" w:hAnsi="Times New Roman" w:cs="Times New Roman"/>
          <w:noProof/>
          <w:sz w:val="24"/>
          <w:szCs w:val="24"/>
          <w:lang w:val="sq-AL"/>
        </w:rPr>
        <w:t xml:space="preserve"> ekonomike të orientuar nga tregu për hyrjen e ekonomisë shqiptare në </w:t>
      </w:r>
      <w:r w:rsidR="002D647C" w:rsidRPr="00641640">
        <w:rPr>
          <w:rFonts w:ascii="Times New Roman" w:hAnsi="Times New Roman" w:cs="Times New Roman"/>
          <w:noProof/>
          <w:sz w:val="24"/>
          <w:szCs w:val="24"/>
          <w:lang w:val="sq-AL"/>
        </w:rPr>
        <w:t>t</w:t>
      </w:r>
      <w:r w:rsidRPr="00641640">
        <w:rPr>
          <w:rFonts w:ascii="Times New Roman" w:hAnsi="Times New Roman" w:cs="Times New Roman"/>
          <w:noProof/>
          <w:sz w:val="24"/>
          <w:szCs w:val="24"/>
          <w:lang w:val="sq-AL"/>
        </w:rPr>
        <w:t xml:space="preserve">regun </w:t>
      </w:r>
      <w:r w:rsidR="00BC36BD" w:rsidRPr="00641640">
        <w:rPr>
          <w:rFonts w:ascii="Times New Roman" w:hAnsi="Times New Roman" w:cs="Times New Roman"/>
          <w:noProof/>
          <w:sz w:val="24"/>
          <w:szCs w:val="24"/>
          <w:lang w:val="sq-AL"/>
        </w:rPr>
        <w:t xml:space="preserve">e </w:t>
      </w:r>
      <w:r w:rsidR="002D647C"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BC36BD" w:rsidRPr="00641640">
        <w:rPr>
          <w:rFonts w:ascii="Times New Roman" w:hAnsi="Times New Roman" w:cs="Times New Roman"/>
          <w:noProof/>
          <w:sz w:val="24"/>
          <w:szCs w:val="24"/>
          <w:lang w:val="sq-AL"/>
        </w:rPr>
        <w:t>rbashk</w:t>
      </w:r>
      <w:r w:rsidR="00064AC5" w:rsidRPr="00641640">
        <w:rPr>
          <w:rFonts w:ascii="Times New Roman" w:hAnsi="Times New Roman" w:cs="Times New Roman"/>
          <w:noProof/>
          <w:sz w:val="24"/>
          <w:szCs w:val="24"/>
          <w:lang w:val="sq-AL"/>
        </w:rPr>
        <w:t>ë</w:t>
      </w:r>
      <w:r w:rsidR="00BC36BD" w:rsidRPr="00641640">
        <w:rPr>
          <w:rFonts w:ascii="Times New Roman" w:hAnsi="Times New Roman" w:cs="Times New Roman"/>
          <w:noProof/>
          <w:sz w:val="24"/>
          <w:szCs w:val="24"/>
          <w:lang w:val="sq-AL"/>
        </w:rPr>
        <w:t>t</w:t>
      </w:r>
      <w:r w:rsidRPr="00641640">
        <w:rPr>
          <w:rFonts w:ascii="Times New Roman" w:hAnsi="Times New Roman" w:cs="Times New Roman"/>
          <w:noProof/>
          <w:sz w:val="24"/>
          <w:szCs w:val="24"/>
          <w:lang w:val="sq-AL"/>
        </w:rPr>
        <w:t xml:space="preserve"> të BE-së, në </w:t>
      </w:r>
      <w:r w:rsidR="0040068E" w:rsidRPr="00641640">
        <w:rPr>
          <w:rFonts w:ascii="Times New Roman" w:hAnsi="Times New Roman" w:cs="Times New Roman"/>
          <w:noProof/>
          <w:sz w:val="24"/>
          <w:szCs w:val="24"/>
          <w:lang w:val="sq-AL"/>
        </w:rPr>
        <w:t>bashk</w:t>
      </w:r>
      <w:r w:rsidR="007F00FB" w:rsidRPr="00641640">
        <w:rPr>
          <w:rFonts w:ascii="Times New Roman" w:hAnsi="Times New Roman" w:cs="Times New Roman"/>
          <w:noProof/>
          <w:sz w:val="24"/>
          <w:szCs w:val="24"/>
          <w:lang w:val="sq-AL"/>
        </w:rPr>
        <w:t>ë</w:t>
      </w:r>
      <w:r w:rsidR="0040068E" w:rsidRPr="00641640">
        <w:rPr>
          <w:rFonts w:ascii="Times New Roman" w:hAnsi="Times New Roman" w:cs="Times New Roman"/>
          <w:noProof/>
          <w:sz w:val="24"/>
          <w:szCs w:val="24"/>
          <w:lang w:val="sq-AL"/>
        </w:rPr>
        <w:t>rendim</w:t>
      </w:r>
      <w:r w:rsidRPr="00641640">
        <w:rPr>
          <w:rFonts w:ascii="Times New Roman" w:hAnsi="Times New Roman" w:cs="Times New Roman"/>
          <w:noProof/>
          <w:sz w:val="24"/>
          <w:szCs w:val="24"/>
          <w:lang w:val="sq-AL"/>
        </w:rPr>
        <w:t xml:space="preserve"> me vendet anëtare të BE-së. </w:t>
      </w:r>
    </w:p>
    <w:p w14:paraId="3B050F4D" w14:textId="6608829A" w:rsidR="00EC234C" w:rsidRPr="00641640" w:rsidRDefault="00EC234C"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AKR 2024 – 2027 </w:t>
      </w:r>
      <w:r w:rsidR="00BC36BD" w:rsidRPr="00641640">
        <w:rPr>
          <w:rFonts w:ascii="Times New Roman" w:hAnsi="Times New Roman" w:cs="Times New Roman"/>
          <w:noProof/>
          <w:sz w:val="24"/>
          <w:szCs w:val="24"/>
          <w:lang w:val="sq-AL"/>
        </w:rPr>
        <w:t>mb</w:t>
      </w:r>
      <w:r w:rsidR="00064AC5" w:rsidRPr="00641640">
        <w:rPr>
          <w:rFonts w:ascii="Times New Roman" w:hAnsi="Times New Roman" w:cs="Times New Roman"/>
          <w:noProof/>
          <w:sz w:val="24"/>
          <w:szCs w:val="24"/>
          <w:lang w:val="sq-AL"/>
        </w:rPr>
        <w:t>ë</w:t>
      </w:r>
      <w:r w:rsidR="00BC36BD" w:rsidRPr="00641640">
        <w:rPr>
          <w:rFonts w:ascii="Times New Roman" w:hAnsi="Times New Roman" w:cs="Times New Roman"/>
          <w:noProof/>
          <w:sz w:val="24"/>
          <w:szCs w:val="24"/>
          <w:lang w:val="sq-AL"/>
        </w:rPr>
        <w:t>shtet</w:t>
      </w:r>
      <w:r w:rsidRPr="00641640">
        <w:rPr>
          <w:rFonts w:ascii="Times New Roman" w:hAnsi="Times New Roman" w:cs="Times New Roman"/>
          <w:noProof/>
          <w:sz w:val="24"/>
          <w:szCs w:val="24"/>
          <w:lang w:val="sq-AL"/>
        </w:rPr>
        <w:t xml:space="preserve"> projektet investuese në sektorin publik dhe </w:t>
      </w:r>
      <w:r w:rsidR="0040068E" w:rsidRPr="00641640">
        <w:rPr>
          <w:rFonts w:ascii="Times New Roman" w:hAnsi="Times New Roman" w:cs="Times New Roman"/>
          <w:noProof/>
          <w:sz w:val="24"/>
          <w:szCs w:val="24"/>
          <w:lang w:val="sq-AL"/>
        </w:rPr>
        <w:t>at</w:t>
      </w:r>
      <w:r w:rsidR="007F00FB" w:rsidRPr="00641640">
        <w:rPr>
          <w:rFonts w:ascii="Times New Roman" w:hAnsi="Times New Roman" w:cs="Times New Roman"/>
          <w:noProof/>
          <w:sz w:val="24"/>
          <w:szCs w:val="24"/>
          <w:lang w:val="sq-AL"/>
        </w:rPr>
        <w:t>ë</w:t>
      </w:r>
      <w:r w:rsidR="0040068E"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privat</w:t>
      </w:r>
      <w:r w:rsidR="0040068E" w:rsidRPr="00641640">
        <w:rPr>
          <w:rFonts w:ascii="Times New Roman" w:hAnsi="Times New Roman" w:cs="Times New Roman"/>
          <w:noProof/>
          <w:sz w:val="24"/>
          <w:szCs w:val="24"/>
          <w:lang w:val="sq-AL"/>
        </w:rPr>
        <w:t xml:space="preserve"> p</w:t>
      </w:r>
      <w:r w:rsidR="007F00FB" w:rsidRPr="00641640">
        <w:rPr>
          <w:rFonts w:ascii="Times New Roman" w:hAnsi="Times New Roman" w:cs="Times New Roman"/>
          <w:noProof/>
          <w:sz w:val="24"/>
          <w:szCs w:val="24"/>
          <w:lang w:val="sq-AL"/>
        </w:rPr>
        <w:t>ë</w:t>
      </w:r>
      <w:r w:rsidR="0040068E" w:rsidRPr="00641640">
        <w:rPr>
          <w:rFonts w:ascii="Times New Roman" w:hAnsi="Times New Roman" w:cs="Times New Roman"/>
          <w:noProof/>
          <w:sz w:val="24"/>
          <w:szCs w:val="24"/>
          <w:lang w:val="sq-AL"/>
        </w:rPr>
        <w:t>r</w:t>
      </w:r>
      <w:r w:rsidRPr="00641640">
        <w:rPr>
          <w:rFonts w:ascii="Times New Roman" w:hAnsi="Times New Roman" w:cs="Times New Roman"/>
          <w:noProof/>
          <w:sz w:val="24"/>
          <w:szCs w:val="24"/>
          <w:lang w:val="sq-AL"/>
        </w:rPr>
        <w:t xml:space="preserve"> përmirësimin e konkurrencës ekonomike dhe cilësisë së jetës</w:t>
      </w:r>
      <w:r w:rsidR="00BC36BD" w:rsidRPr="00641640">
        <w:rPr>
          <w:rFonts w:ascii="Times New Roman" w:hAnsi="Times New Roman" w:cs="Times New Roman"/>
          <w:noProof/>
          <w:sz w:val="24"/>
          <w:szCs w:val="24"/>
          <w:lang w:val="sq-AL"/>
        </w:rPr>
        <w:t xml:space="preserve">. Agjenda </w:t>
      </w:r>
      <w:r w:rsidRPr="00641640">
        <w:rPr>
          <w:rFonts w:ascii="Times New Roman" w:hAnsi="Times New Roman" w:cs="Times New Roman"/>
          <w:noProof/>
          <w:sz w:val="24"/>
          <w:szCs w:val="24"/>
          <w:lang w:val="sq-AL"/>
        </w:rPr>
        <w:t>fokusohet në disa fusha prioritare</w:t>
      </w:r>
      <w:r w:rsidR="00BC36BD"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si ekonomia e gjelbër</w:t>
      </w:r>
      <w:r w:rsidR="00BC36BD"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di</w:t>
      </w:r>
      <w:r w:rsidR="00CA197E" w:rsidRPr="00641640">
        <w:rPr>
          <w:rFonts w:ascii="Times New Roman" w:hAnsi="Times New Roman" w:cs="Times New Roman"/>
          <w:noProof/>
          <w:sz w:val="24"/>
          <w:szCs w:val="24"/>
          <w:lang w:val="sq-AL"/>
        </w:rPr>
        <w:t>gj</w:t>
      </w:r>
      <w:r w:rsidRPr="00641640">
        <w:rPr>
          <w:rFonts w:ascii="Times New Roman" w:hAnsi="Times New Roman" w:cs="Times New Roman"/>
          <w:noProof/>
          <w:sz w:val="24"/>
          <w:szCs w:val="24"/>
          <w:lang w:val="sq-AL"/>
        </w:rPr>
        <w:t>italizimi</w:t>
      </w:r>
      <w:r w:rsidR="00BC36BD"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inovacion</w:t>
      </w:r>
      <w:r w:rsidR="00CA197E" w:rsidRPr="00641640">
        <w:rPr>
          <w:rFonts w:ascii="Times New Roman" w:hAnsi="Times New Roman" w:cs="Times New Roman"/>
          <w:noProof/>
          <w:sz w:val="24"/>
          <w:szCs w:val="24"/>
          <w:lang w:val="sq-AL"/>
        </w:rPr>
        <w:t>i</w:t>
      </w:r>
      <w:r w:rsidRPr="00641640">
        <w:rPr>
          <w:rFonts w:ascii="Times New Roman" w:hAnsi="Times New Roman" w:cs="Times New Roman"/>
          <w:noProof/>
          <w:sz w:val="24"/>
          <w:szCs w:val="24"/>
          <w:lang w:val="sq-AL"/>
        </w:rPr>
        <w:t xml:space="preserve"> dhe zhvillimi i teknologjisë</w:t>
      </w:r>
      <w:r w:rsidR="00BC36BD"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zhvillimi</w:t>
      </w:r>
      <w:r w:rsidR="0040068E" w:rsidRPr="00641640">
        <w:rPr>
          <w:rFonts w:ascii="Times New Roman" w:hAnsi="Times New Roman" w:cs="Times New Roman"/>
          <w:noProof/>
          <w:sz w:val="24"/>
          <w:szCs w:val="24"/>
          <w:lang w:val="sq-AL"/>
        </w:rPr>
        <w:t xml:space="preserve"> i</w:t>
      </w:r>
      <w:r w:rsidRPr="00641640">
        <w:rPr>
          <w:rFonts w:ascii="Times New Roman" w:hAnsi="Times New Roman" w:cs="Times New Roman"/>
          <w:noProof/>
          <w:sz w:val="24"/>
          <w:szCs w:val="24"/>
          <w:lang w:val="sq-AL"/>
        </w:rPr>
        <w:t xml:space="preserve"> infrastrukturës fizike dhe kapitalit njerëzor</w:t>
      </w:r>
      <w:r w:rsidR="00BC36BD"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kohezion</w:t>
      </w:r>
      <w:r w:rsidR="0040068E" w:rsidRPr="00641640">
        <w:rPr>
          <w:rFonts w:ascii="Times New Roman" w:hAnsi="Times New Roman" w:cs="Times New Roman"/>
          <w:noProof/>
          <w:sz w:val="24"/>
          <w:szCs w:val="24"/>
          <w:lang w:val="sq-AL"/>
        </w:rPr>
        <w:t>i</w:t>
      </w:r>
      <w:r w:rsidRPr="00641640">
        <w:rPr>
          <w:rFonts w:ascii="Times New Roman" w:hAnsi="Times New Roman" w:cs="Times New Roman"/>
          <w:noProof/>
          <w:sz w:val="24"/>
          <w:szCs w:val="24"/>
          <w:lang w:val="sq-AL"/>
        </w:rPr>
        <w:t xml:space="preserve"> social</w:t>
      </w:r>
      <w:r w:rsidR="00CA197E" w:rsidRPr="00641640">
        <w:rPr>
          <w:rFonts w:ascii="Times New Roman" w:hAnsi="Times New Roman" w:cs="Times New Roman"/>
          <w:noProof/>
          <w:sz w:val="24"/>
          <w:szCs w:val="24"/>
          <w:lang w:val="sq-AL"/>
        </w:rPr>
        <w:t xml:space="preserve"> dhe shteti i </w:t>
      </w:r>
      <w:r w:rsidR="0040068E" w:rsidRPr="00641640">
        <w:rPr>
          <w:rFonts w:ascii="Times New Roman" w:hAnsi="Times New Roman" w:cs="Times New Roman"/>
          <w:noProof/>
          <w:sz w:val="24"/>
          <w:szCs w:val="24"/>
          <w:lang w:val="sq-AL"/>
        </w:rPr>
        <w:t>s</w:t>
      </w:r>
      <w:r w:rsidR="007F00FB" w:rsidRPr="00641640">
        <w:rPr>
          <w:rFonts w:ascii="Times New Roman" w:hAnsi="Times New Roman" w:cs="Times New Roman"/>
          <w:noProof/>
          <w:sz w:val="24"/>
          <w:szCs w:val="24"/>
          <w:lang w:val="sq-AL"/>
        </w:rPr>
        <w:t>ë</w:t>
      </w:r>
      <w:r w:rsidR="00CA197E" w:rsidRPr="00641640">
        <w:rPr>
          <w:rFonts w:ascii="Times New Roman" w:hAnsi="Times New Roman" w:cs="Times New Roman"/>
          <w:noProof/>
          <w:sz w:val="24"/>
          <w:szCs w:val="24"/>
          <w:lang w:val="sq-AL"/>
        </w:rPr>
        <w:t xml:space="preserve"> drejt</w:t>
      </w:r>
      <w:r w:rsidR="007F00FB" w:rsidRPr="00641640">
        <w:rPr>
          <w:rFonts w:ascii="Times New Roman" w:hAnsi="Times New Roman" w:cs="Times New Roman"/>
          <w:noProof/>
          <w:sz w:val="24"/>
          <w:szCs w:val="24"/>
          <w:lang w:val="sq-AL"/>
        </w:rPr>
        <w:t>ë</w:t>
      </w:r>
      <w:r w:rsidR="00CA197E" w:rsidRPr="00641640">
        <w:rPr>
          <w:rFonts w:ascii="Times New Roman" w:hAnsi="Times New Roman" w:cs="Times New Roman"/>
          <w:noProof/>
          <w:sz w:val="24"/>
          <w:szCs w:val="24"/>
          <w:lang w:val="sq-AL"/>
        </w:rPr>
        <w:t>s</w:t>
      </w:r>
      <w:r w:rsidRPr="00641640">
        <w:rPr>
          <w:rFonts w:ascii="Times New Roman" w:hAnsi="Times New Roman" w:cs="Times New Roman"/>
          <w:noProof/>
          <w:sz w:val="24"/>
          <w:szCs w:val="24"/>
          <w:lang w:val="sq-AL"/>
        </w:rPr>
        <w:t>.</w:t>
      </w:r>
      <w:r w:rsidR="0040068E"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Investimet </w:t>
      </w:r>
      <w:r w:rsidR="00BC36BD" w:rsidRPr="00641640">
        <w:rPr>
          <w:rFonts w:ascii="Times New Roman" w:hAnsi="Times New Roman" w:cs="Times New Roman"/>
          <w:noProof/>
          <w:sz w:val="24"/>
          <w:szCs w:val="24"/>
          <w:lang w:val="sq-AL"/>
        </w:rPr>
        <w:t>e parashikuara n</w:t>
      </w:r>
      <w:r w:rsidR="00064AC5" w:rsidRPr="00641640">
        <w:rPr>
          <w:rFonts w:ascii="Times New Roman" w:hAnsi="Times New Roman" w:cs="Times New Roman"/>
          <w:noProof/>
          <w:sz w:val="24"/>
          <w:szCs w:val="24"/>
          <w:lang w:val="sq-AL"/>
        </w:rPr>
        <w:t>ë</w:t>
      </w:r>
      <w:r w:rsidR="00BC36BD" w:rsidRPr="00641640">
        <w:rPr>
          <w:rFonts w:ascii="Times New Roman" w:hAnsi="Times New Roman" w:cs="Times New Roman"/>
          <w:noProof/>
          <w:sz w:val="24"/>
          <w:szCs w:val="24"/>
          <w:lang w:val="sq-AL"/>
        </w:rPr>
        <w:t xml:space="preserve"> AKR 2024-2027 p</w:t>
      </w:r>
      <w:r w:rsidR="00064AC5" w:rsidRPr="00641640">
        <w:rPr>
          <w:rFonts w:ascii="Times New Roman" w:hAnsi="Times New Roman" w:cs="Times New Roman"/>
          <w:noProof/>
          <w:sz w:val="24"/>
          <w:szCs w:val="24"/>
          <w:lang w:val="sq-AL"/>
        </w:rPr>
        <w:t>ë</w:t>
      </w:r>
      <w:r w:rsidR="00BC36BD" w:rsidRPr="00641640">
        <w:rPr>
          <w:rFonts w:ascii="Times New Roman" w:hAnsi="Times New Roman" w:cs="Times New Roman"/>
          <w:noProof/>
          <w:sz w:val="24"/>
          <w:szCs w:val="24"/>
          <w:lang w:val="sq-AL"/>
        </w:rPr>
        <w:t>r</w:t>
      </w:r>
      <w:r w:rsidRPr="00641640">
        <w:rPr>
          <w:rFonts w:ascii="Times New Roman" w:hAnsi="Times New Roman" w:cs="Times New Roman"/>
          <w:noProof/>
          <w:sz w:val="24"/>
          <w:szCs w:val="24"/>
          <w:lang w:val="sq-AL"/>
        </w:rPr>
        <w:t xml:space="preserve"> di</w:t>
      </w:r>
      <w:r w:rsidR="00BC36BD" w:rsidRPr="00641640">
        <w:rPr>
          <w:rFonts w:ascii="Times New Roman" w:hAnsi="Times New Roman" w:cs="Times New Roman"/>
          <w:noProof/>
          <w:sz w:val="24"/>
          <w:szCs w:val="24"/>
          <w:lang w:val="sq-AL"/>
        </w:rPr>
        <w:t>gj</w:t>
      </w:r>
      <w:r w:rsidRPr="00641640">
        <w:rPr>
          <w:rFonts w:ascii="Times New Roman" w:hAnsi="Times New Roman" w:cs="Times New Roman"/>
          <w:noProof/>
          <w:sz w:val="24"/>
          <w:szCs w:val="24"/>
          <w:lang w:val="sq-AL"/>
        </w:rPr>
        <w:t xml:space="preserve">italizimin e shërbimeve dhe zhvillimin teknologjik janë </w:t>
      </w:r>
      <w:r w:rsidRPr="00641640">
        <w:rPr>
          <w:rFonts w:ascii="Times New Roman" w:hAnsi="Times New Roman" w:cs="Times New Roman"/>
          <w:noProof/>
          <w:sz w:val="24"/>
          <w:szCs w:val="24"/>
          <w:lang w:val="sq-AL"/>
        </w:rPr>
        <w:lastRenderedPageBreak/>
        <w:t>parakusht</w:t>
      </w:r>
      <w:r w:rsidR="00BC36BD"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 për zhvillimin dhe rritjen ekonomike të vendit. Pajtueshmëria me Strategjinë e RAP-it</w:t>
      </w:r>
      <w:r w:rsidR="0040068E"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përmes masave dhe aktiviteteve që do të kontribuojnë në di</w:t>
      </w:r>
      <w:r w:rsidR="00BC36BD" w:rsidRPr="00641640">
        <w:rPr>
          <w:rFonts w:ascii="Times New Roman" w:hAnsi="Times New Roman" w:cs="Times New Roman"/>
          <w:noProof/>
          <w:sz w:val="24"/>
          <w:szCs w:val="24"/>
          <w:lang w:val="sq-AL"/>
        </w:rPr>
        <w:t>gj</w:t>
      </w:r>
      <w:r w:rsidRPr="00641640">
        <w:rPr>
          <w:rFonts w:ascii="Times New Roman" w:hAnsi="Times New Roman" w:cs="Times New Roman"/>
          <w:noProof/>
          <w:sz w:val="24"/>
          <w:szCs w:val="24"/>
          <w:lang w:val="sq-AL"/>
        </w:rPr>
        <w:t xml:space="preserve">italizimin e përshpejtuar të proceseve </w:t>
      </w:r>
      <w:r w:rsidR="00BC36BD" w:rsidRPr="00641640">
        <w:rPr>
          <w:rFonts w:ascii="Times New Roman" w:hAnsi="Times New Roman" w:cs="Times New Roman"/>
          <w:noProof/>
          <w:sz w:val="24"/>
          <w:szCs w:val="24"/>
          <w:lang w:val="sq-AL"/>
        </w:rPr>
        <w:t xml:space="preserve">administrative </w:t>
      </w:r>
      <w:r w:rsidRPr="00641640">
        <w:rPr>
          <w:rFonts w:ascii="Times New Roman" w:hAnsi="Times New Roman" w:cs="Times New Roman"/>
          <w:noProof/>
          <w:sz w:val="24"/>
          <w:szCs w:val="24"/>
          <w:lang w:val="sq-AL"/>
        </w:rPr>
        <w:t>dhe ofrimi</w:t>
      </w:r>
      <w:r w:rsidR="00BC36BD" w:rsidRPr="00641640">
        <w:rPr>
          <w:rFonts w:ascii="Times New Roman" w:hAnsi="Times New Roman" w:cs="Times New Roman"/>
          <w:noProof/>
          <w:sz w:val="24"/>
          <w:szCs w:val="24"/>
          <w:lang w:val="sq-AL"/>
        </w:rPr>
        <w:t>t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shërbimeve</w:t>
      </w:r>
      <w:r w:rsidR="0040068E" w:rsidRPr="00641640">
        <w:rPr>
          <w:rFonts w:ascii="Times New Roman" w:hAnsi="Times New Roman" w:cs="Times New Roman"/>
          <w:noProof/>
          <w:sz w:val="24"/>
          <w:szCs w:val="24"/>
          <w:lang w:val="sq-AL"/>
        </w:rPr>
        <w:t>, do</w:t>
      </w:r>
      <w:r w:rsidR="00BC36BD" w:rsidRPr="00641640">
        <w:rPr>
          <w:rFonts w:ascii="Times New Roman" w:hAnsi="Times New Roman" w:cs="Times New Roman"/>
          <w:noProof/>
          <w:sz w:val="24"/>
          <w:szCs w:val="24"/>
          <w:lang w:val="sq-AL"/>
        </w:rPr>
        <w:t xml:space="preserve"> </w:t>
      </w:r>
      <w:r w:rsidR="0040068E" w:rsidRPr="00641640">
        <w:rPr>
          <w:rFonts w:ascii="Times New Roman" w:hAnsi="Times New Roman" w:cs="Times New Roman"/>
          <w:noProof/>
          <w:sz w:val="24"/>
          <w:szCs w:val="24"/>
          <w:lang w:val="sq-AL"/>
        </w:rPr>
        <w:t>t</w:t>
      </w:r>
      <w:r w:rsidR="007F00FB" w:rsidRPr="00641640">
        <w:rPr>
          <w:rFonts w:ascii="Times New Roman" w:hAnsi="Times New Roman" w:cs="Times New Roman"/>
          <w:noProof/>
          <w:sz w:val="24"/>
          <w:szCs w:val="24"/>
          <w:lang w:val="sq-AL"/>
        </w:rPr>
        <w:t>ë</w:t>
      </w:r>
      <w:r w:rsidR="0040068E" w:rsidRPr="00641640">
        <w:rPr>
          <w:rFonts w:ascii="Times New Roman" w:hAnsi="Times New Roman" w:cs="Times New Roman"/>
          <w:noProof/>
          <w:sz w:val="24"/>
          <w:szCs w:val="24"/>
          <w:lang w:val="sq-AL"/>
        </w:rPr>
        <w:t xml:space="preserve"> ndihmoj</w:t>
      </w:r>
      <w:r w:rsidR="007F00F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në krijimin e kushteve për rritje ekonomike.</w:t>
      </w:r>
    </w:p>
    <w:p w14:paraId="4C28C641" w14:textId="77777777" w:rsidR="00EC234C" w:rsidRPr="0007033C" w:rsidRDefault="00EC234C" w:rsidP="003A395D">
      <w:pPr>
        <w:spacing w:after="0" w:line="276" w:lineRule="auto"/>
        <w:jc w:val="both"/>
        <w:rPr>
          <w:rFonts w:ascii="Times New Roman" w:hAnsi="Times New Roman" w:cs="Times New Roman"/>
          <w:noProof/>
          <w:sz w:val="14"/>
          <w:szCs w:val="14"/>
          <w:highlight w:val="yellow"/>
          <w:lang w:val="sq-AL"/>
        </w:rPr>
      </w:pPr>
    </w:p>
    <w:p w14:paraId="534A77D1" w14:textId="24D06C47" w:rsidR="00EC234C" w:rsidRPr="00641640" w:rsidRDefault="002D647C"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b/>
          <w:bCs/>
          <w:noProof/>
          <w:sz w:val="24"/>
          <w:szCs w:val="24"/>
          <w:lang w:val="sq-AL"/>
        </w:rPr>
        <w:t>Ndërl</w:t>
      </w:r>
      <w:r w:rsidR="00BC36BD" w:rsidRPr="00641640">
        <w:rPr>
          <w:rFonts w:ascii="Times New Roman" w:hAnsi="Times New Roman" w:cs="Times New Roman"/>
          <w:b/>
          <w:bCs/>
          <w:noProof/>
          <w:sz w:val="24"/>
          <w:szCs w:val="24"/>
          <w:lang w:val="sq-AL"/>
        </w:rPr>
        <w:t>idhja e SNRAP 20</w:t>
      </w:r>
      <w:r w:rsidR="006C1D39" w:rsidRPr="00641640">
        <w:rPr>
          <w:rFonts w:ascii="Times New Roman" w:hAnsi="Times New Roman" w:cs="Times New Roman"/>
          <w:b/>
          <w:bCs/>
          <w:noProof/>
          <w:sz w:val="24"/>
          <w:szCs w:val="24"/>
          <w:lang w:val="sq-AL"/>
        </w:rPr>
        <w:t>2</w:t>
      </w:r>
      <w:r w:rsidR="006F1659" w:rsidRPr="00641640">
        <w:rPr>
          <w:rFonts w:ascii="Times New Roman" w:hAnsi="Times New Roman" w:cs="Times New Roman"/>
          <w:b/>
          <w:bCs/>
          <w:noProof/>
          <w:sz w:val="24"/>
          <w:szCs w:val="24"/>
          <w:lang w:val="sq-AL"/>
        </w:rPr>
        <w:t>5</w:t>
      </w:r>
      <w:r w:rsidR="00BC36BD" w:rsidRPr="00641640">
        <w:rPr>
          <w:rFonts w:ascii="Times New Roman" w:hAnsi="Times New Roman" w:cs="Times New Roman"/>
          <w:b/>
          <w:bCs/>
          <w:noProof/>
          <w:sz w:val="24"/>
          <w:szCs w:val="24"/>
          <w:lang w:val="sq-AL"/>
        </w:rPr>
        <w:t xml:space="preserve">-2030 me </w:t>
      </w:r>
      <w:r w:rsidR="00EC234C" w:rsidRPr="00641640">
        <w:rPr>
          <w:rFonts w:ascii="Times New Roman" w:hAnsi="Times New Roman" w:cs="Times New Roman"/>
          <w:b/>
          <w:bCs/>
          <w:noProof/>
          <w:sz w:val="24"/>
          <w:szCs w:val="24"/>
          <w:lang w:val="sq-AL"/>
        </w:rPr>
        <w:t>Programi</w:t>
      </w:r>
      <w:r w:rsidR="00BC36BD" w:rsidRPr="00641640">
        <w:rPr>
          <w:rFonts w:ascii="Times New Roman" w:hAnsi="Times New Roman" w:cs="Times New Roman"/>
          <w:b/>
          <w:bCs/>
          <w:noProof/>
          <w:sz w:val="24"/>
          <w:szCs w:val="24"/>
          <w:lang w:val="sq-AL"/>
        </w:rPr>
        <w:t>n e</w:t>
      </w:r>
      <w:r w:rsidR="00EC234C" w:rsidRPr="00641640">
        <w:rPr>
          <w:rFonts w:ascii="Times New Roman" w:hAnsi="Times New Roman" w:cs="Times New Roman"/>
          <w:b/>
          <w:bCs/>
          <w:noProof/>
          <w:sz w:val="24"/>
          <w:szCs w:val="24"/>
          <w:lang w:val="sq-AL"/>
        </w:rPr>
        <w:t xml:space="preserve"> Reformave Ekonomike 2024</w:t>
      </w:r>
      <w:r w:rsidR="0040068E" w:rsidRPr="00641640">
        <w:rPr>
          <w:rFonts w:ascii="Times New Roman" w:hAnsi="Times New Roman" w:cs="Times New Roman"/>
          <w:b/>
          <w:bCs/>
          <w:noProof/>
          <w:sz w:val="24"/>
          <w:szCs w:val="24"/>
          <w:lang w:val="sq-AL"/>
        </w:rPr>
        <w:t xml:space="preserve"> </w:t>
      </w:r>
      <w:r w:rsidR="00EC234C" w:rsidRPr="00641640">
        <w:rPr>
          <w:rFonts w:ascii="Times New Roman" w:hAnsi="Times New Roman" w:cs="Times New Roman"/>
          <w:b/>
          <w:bCs/>
          <w:noProof/>
          <w:sz w:val="24"/>
          <w:szCs w:val="24"/>
          <w:lang w:val="sq-AL"/>
        </w:rPr>
        <w:t>-</w:t>
      </w:r>
      <w:r w:rsidR="0040068E" w:rsidRPr="00641640">
        <w:rPr>
          <w:rFonts w:ascii="Times New Roman" w:hAnsi="Times New Roman" w:cs="Times New Roman"/>
          <w:b/>
          <w:bCs/>
          <w:noProof/>
          <w:sz w:val="24"/>
          <w:szCs w:val="24"/>
          <w:lang w:val="sq-AL"/>
        </w:rPr>
        <w:t xml:space="preserve"> </w:t>
      </w:r>
      <w:r w:rsidR="00EC234C" w:rsidRPr="00641640">
        <w:rPr>
          <w:rFonts w:ascii="Times New Roman" w:hAnsi="Times New Roman" w:cs="Times New Roman"/>
          <w:b/>
          <w:bCs/>
          <w:noProof/>
          <w:sz w:val="24"/>
          <w:szCs w:val="24"/>
          <w:lang w:val="sq-AL"/>
        </w:rPr>
        <w:t>2026</w:t>
      </w:r>
    </w:p>
    <w:p w14:paraId="6AE35C59" w14:textId="6F5A2BCC" w:rsidR="00EC234C" w:rsidRPr="00641640" w:rsidRDefault="00EC234C"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Programi i Reformave Ekonomike 2024</w:t>
      </w:r>
      <w:r w:rsidR="0040068E"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w:t>
      </w:r>
      <w:r w:rsidR="0040068E"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2026 përmbledh reformat strukturore prioritare që Shqipëria po zbaton </w:t>
      </w:r>
      <w:r w:rsidR="00BC36BD" w:rsidRPr="00641640">
        <w:rPr>
          <w:rFonts w:ascii="Times New Roman" w:hAnsi="Times New Roman" w:cs="Times New Roman"/>
          <w:noProof/>
          <w:sz w:val="24"/>
          <w:szCs w:val="24"/>
          <w:lang w:val="sq-AL"/>
        </w:rPr>
        <w:t>n</w:t>
      </w:r>
      <w:r w:rsidR="00064AC5" w:rsidRPr="00641640">
        <w:rPr>
          <w:rFonts w:ascii="Times New Roman" w:hAnsi="Times New Roman" w:cs="Times New Roman"/>
          <w:noProof/>
          <w:sz w:val="24"/>
          <w:szCs w:val="24"/>
          <w:lang w:val="sq-AL"/>
        </w:rPr>
        <w:t>ë</w:t>
      </w:r>
      <w:r w:rsidR="00BC36BD" w:rsidRPr="00641640">
        <w:rPr>
          <w:rFonts w:ascii="Times New Roman" w:hAnsi="Times New Roman" w:cs="Times New Roman"/>
          <w:noProof/>
          <w:sz w:val="24"/>
          <w:szCs w:val="24"/>
          <w:lang w:val="sq-AL"/>
        </w:rPr>
        <w:t xml:space="preserve"> periudh</w:t>
      </w:r>
      <w:r w:rsidR="00064AC5" w:rsidRPr="00641640">
        <w:rPr>
          <w:rFonts w:ascii="Times New Roman" w:hAnsi="Times New Roman" w:cs="Times New Roman"/>
          <w:noProof/>
          <w:sz w:val="24"/>
          <w:szCs w:val="24"/>
          <w:lang w:val="sq-AL"/>
        </w:rPr>
        <w:t>ë</w:t>
      </w:r>
      <w:r w:rsidR="00BC36BD" w:rsidRPr="00641640">
        <w:rPr>
          <w:rFonts w:ascii="Times New Roman" w:hAnsi="Times New Roman" w:cs="Times New Roman"/>
          <w:noProof/>
          <w:sz w:val="24"/>
          <w:szCs w:val="24"/>
          <w:lang w:val="sq-AL"/>
        </w:rPr>
        <w:t xml:space="preserve">n </w:t>
      </w:r>
      <w:r w:rsidRPr="00641640">
        <w:rPr>
          <w:rFonts w:ascii="Times New Roman" w:hAnsi="Times New Roman" w:cs="Times New Roman"/>
          <w:noProof/>
          <w:sz w:val="24"/>
          <w:szCs w:val="24"/>
          <w:lang w:val="sq-AL"/>
        </w:rPr>
        <w:t>afatshkurtër me synim</w:t>
      </w:r>
      <w:r w:rsidR="0040068E"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rrit</w:t>
      </w:r>
      <w:r w:rsidR="0040068E" w:rsidRPr="00641640">
        <w:rPr>
          <w:rFonts w:ascii="Times New Roman" w:hAnsi="Times New Roman" w:cs="Times New Roman"/>
          <w:noProof/>
          <w:sz w:val="24"/>
          <w:szCs w:val="24"/>
          <w:lang w:val="sq-AL"/>
        </w:rPr>
        <w:t>jen e</w:t>
      </w:r>
      <w:r w:rsidRPr="00641640">
        <w:rPr>
          <w:rFonts w:ascii="Times New Roman" w:hAnsi="Times New Roman" w:cs="Times New Roman"/>
          <w:noProof/>
          <w:sz w:val="24"/>
          <w:szCs w:val="24"/>
          <w:lang w:val="sq-AL"/>
        </w:rPr>
        <w:t xml:space="preserve"> prodhimi</w:t>
      </w:r>
      <w:r w:rsidR="0040068E" w:rsidRPr="00641640">
        <w:rPr>
          <w:rFonts w:ascii="Times New Roman" w:hAnsi="Times New Roman" w:cs="Times New Roman"/>
          <w:noProof/>
          <w:sz w:val="24"/>
          <w:szCs w:val="24"/>
          <w:lang w:val="sq-AL"/>
        </w:rPr>
        <w:t>t</w:t>
      </w:r>
      <w:r w:rsidRPr="00641640">
        <w:rPr>
          <w:rFonts w:ascii="Times New Roman" w:hAnsi="Times New Roman" w:cs="Times New Roman"/>
          <w:noProof/>
          <w:sz w:val="24"/>
          <w:szCs w:val="24"/>
          <w:lang w:val="sq-AL"/>
        </w:rPr>
        <w:t xml:space="preserve"> vendas, </w:t>
      </w:r>
      <w:r w:rsidR="0040068E" w:rsidRPr="00641640">
        <w:rPr>
          <w:rFonts w:ascii="Times New Roman" w:hAnsi="Times New Roman" w:cs="Times New Roman"/>
          <w:noProof/>
          <w:sz w:val="24"/>
          <w:szCs w:val="24"/>
          <w:lang w:val="sq-AL"/>
        </w:rPr>
        <w:t>nxitjen e</w:t>
      </w:r>
      <w:r w:rsidRPr="00641640">
        <w:rPr>
          <w:rFonts w:ascii="Times New Roman" w:hAnsi="Times New Roman" w:cs="Times New Roman"/>
          <w:noProof/>
          <w:sz w:val="24"/>
          <w:szCs w:val="24"/>
          <w:lang w:val="sq-AL"/>
        </w:rPr>
        <w:t xml:space="preserve"> investime</w:t>
      </w:r>
      <w:r w:rsidR="00BC36BD" w:rsidRPr="00641640">
        <w:rPr>
          <w:rFonts w:ascii="Times New Roman" w:hAnsi="Times New Roman" w:cs="Times New Roman"/>
          <w:noProof/>
          <w:sz w:val="24"/>
          <w:szCs w:val="24"/>
          <w:lang w:val="sq-AL"/>
        </w:rPr>
        <w:t>ve</w:t>
      </w:r>
      <w:r w:rsidRPr="00641640">
        <w:rPr>
          <w:rFonts w:ascii="Times New Roman" w:hAnsi="Times New Roman" w:cs="Times New Roman"/>
          <w:noProof/>
          <w:sz w:val="24"/>
          <w:szCs w:val="24"/>
          <w:lang w:val="sq-AL"/>
        </w:rPr>
        <w:t xml:space="preserve"> të reja dhe rritje</w:t>
      </w:r>
      <w:r w:rsidR="00BC36BD" w:rsidRPr="00641640">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 xml:space="preserve"> </w:t>
      </w:r>
      <w:r w:rsidR="00A3402D"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 konkurrencë</w:t>
      </w:r>
      <w:r w:rsidR="00BC36BD" w:rsidRPr="00641640">
        <w:rPr>
          <w:rFonts w:ascii="Times New Roman" w:hAnsi="Times New Roman" w:cs="Times New Roman"/>
          <w:noProof/>
          <w:sz w:val="24"/>
          <w:szCs w:val="24"/>
          <w:lang w:val="sq-AL"/>
        </w:rPr>
        <w:t>s</w:t>
      </w:r>
      <w:r w:rsidRPr="00641640">
        <w:rPr>
          <w:rFonts w:ascii="Times New Roman" w:hAnsi="Times New Roman" w:cs="Times New Roman"/>
          <w:noProof/>
          <w:sz w:val="24"/>
          <w:szCs w:val="24"/>
          <w:lang w:val="sq-AL"/>
        </w:rPr>
        <w:t xml:space="preserve"> </w:t>
      </w:r>
      <w:r w:rsidR="00BC36BD" w:rsidRPr="00641640">
        <w:rPr>
          <w:rFonts w:ascii="Times New Roman" w:hAnsi="Times New Roman" w:cs="Times New Roman"/>
          <w:noProof/>
          <w:sz w:val="24"/>
          <w:szCs w:val="24"/>
          <w:lang w:val="sq-AL"/>
        </w:rPr>
        <w:t>s</w:t>
      </w:r>
      <w:r w:rsidRPr="00641640">
        <w:rPr>
          <w:rFonts w:ascii="Times New Roman" w:hAnsi="Times New Roman" w:cs="Times New Roman"/>
          <w:noProof/>
          <w:sz w:val="24"/>
          <w:szCs w:val="24"/>
          <w:lang w:val="sq-AL"/>
        </w:rPr>
        <w:t>ë q</w:t>
      </w:r>
      <w:r w:rsidR="006F1659"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ndrueshme dhe gjithëpërfshirëse. </w:t>
      </w:r>
      <w:r w:rsidR="00BC36BD" w:rsidRPr="00641640">
        <w:rPr>
          <w:rFonts w:ascii="Times New Roman" w:hAnsi="Times New Roman" w:cs="Times New Roman"/>
          <w:noProof/>
          <w:sz w:val="24"/>
          <w:szCs w:val="24"/>
          <w:lang w:val="sq-AL"/>
        </w:rPr>
        <w:t>Nj</w:t>
      </w:r>
      <w:r w:rsidR="00064AC5" w:rsidRPr="00641640">
        <w:rPr>
          <w:rFonts w:ascii="Times New Roman" w:hAnsi="Times New Roman" w:cs="Times New Roman"/>
          <w:noProof/>
          <w:sz w:val="24"/>
          <w:szCs w:val="24"/>
          <w:lang w:val="sq-AL"/>
        </w:rPr>
        <w:t>ë</w:t>
      </w:r>
      <w:r w:rsidR="00BC36BD" w:rsidRPr="00641640">
        <w:rPr>
          <w:rFonts w:ascii="Times New Roman" w:hAnsi="Times New Roman" w:cs="Times New Roman"/>
          <w:noProof/>
          <w:sz w:val="24"/>
          <w:szCs w:val="24"/>
          <w:lang w:val="sq-AL"/>
        </w:rPr>
        <w:t xml:space="preserve"> num</w:t>
      </w:r>
      <w:r w:rsidR="00064AC5" w:rsidRPr="00641640">
        <w:rPr>
          <w:rFonts w:ascii="Times New Roman" w:hAnsi="Times New Roman" w:cs="Times New Roman"/>
          <w:noProof/>
          <w:sz w:val="24"/>
          <w:szCs w:val="24"/>
          <w:lang w:val="sq-AL"/>
        </w:rPr>
        <w:t>ë</w:t>
      </w:r>
      <w:r w:rsidR="00BC36BD" w:rsidRPr="00641640">
        <w:rPr>
          <w:rFonts w:ascii="Times New Roman" w:hAnsi="Times New Roman" w:cs="Times New Roman"/>
          <w:noProof/>
          <w:sz w:val="24"/>
          <w:szCs w:val="24"/>
          <w:lang w:val="sq-AL"/>
        </w:rPr>
        <w:t>r parashikimesh t</w:t>
      </w:r>
      <w:r w:rsidR="00064AC5" w:rsidRPr="00641640">
        <w:rPr>
          <w:rFonts w:ascii="Times New Roman" w:hAnsi="Times New Roman" w:cs="Times New Roman"/>
          <w:noProof/>
          <w:sz w:val="24"/>
          <w:szCs w:val="24"/>
          <w:lang w:val="sq-AL"/>
        </w:rPr>
        <w:t>ë</w:t>
      </w:r>
      <w:r w:rsidR="00BC36BD" w:rsidRPr="00641640">
        <w:rPr>
          <w:rFonts w:ascii="Times New Roman" w:hAnsi="Times New Roman" w:cs="Times New Roman"/>
          <w:noProof/>
          <w:sz w:val="24"/>
          <w:szCs w:val="24"/>
          <w:lang w:val="sq-AL"/>
        </w:rPr>
        <w:t xml:space="preserve"> Programit targetojn</w:t>
      </w:r>
      <w:r w:rsidR="00064AC5" w:rsidRPr="00641640">
        <w:rPr>
          <w:rFonts w:ascii="Times New Roman" w:hAnsi="Times New Roman" w:cs="Times New Roman"/>
          <w:noProof/>
          <w:sz w:val="24"/>
          <w:szCs w:val="24"/>
          <w:lang w:val="sq-AL"/>
        </w:rPr>
        <w:t>ë</w:t>
      </w:r>
      <w:r w:rsidR="00BC36BD"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reformë</w:t>
      </w:r>
      <w:r w:rsidR="00A3402D" w:rsidRPr="00641640">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 xml:space="preserve"> </w:t>
      </w:r>
      <w:r w:rsidR="00BC36BD" w:rsidRPr="00641640">
        <w:rPr>
          <w:rFonts w:ascii="Times New Roman" w:hAnsi="Times New Roman" w:cs="Times New Roman"/>
          <w:noProof/>
          <w:sz w:val="24"/>
          <w:szCs w:val="24"/>
          <w:lang w:val="sq-AL"/>
        </w:rPr>
        <w:t>n</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admin</w:t>
      </w:r>
      <w:r w:rsidR="006C1D39" w:rsidRPr="00641640">
        <w:rPr>
          <w:rFonts w:ascii="Times New Roman" w:hAnsi="Times New Roman" w:cs="Times New Roman"/>
          <w:noProof/>
          <w:sz w:val="24"/>
          <w:szCs w:val="24"/>
          <w:lang w:val="sq-AL"/>
        </w:rPr>
        <w:t>i</w:t>
      </w:r>
      <w:r w:rsidRPr="00641640">
        <w:rPr>
          <w:rFonts w:ascii="Times New Roman" w:hAnsi="Times New Roman" w:cs="Times New Roman"/>
          <w:noProof/>
          <w:sz w:val="24"/>
          <w:szCs w:val="24"/>
          <w:lang w:val="sq-AL"/>
        </w:rPr>
        <w:t>stratë</w:t>
      </w:r>
      <w:r w:rsidR="00BC36BD" w:rsidRPr="00641640">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 xml:space="preserve"> publike, përfshirë </w:t>
      </w:r>
      <w:r w:rsidR="006C1D39" w:rsidRPr="00641640">
        <w:rPr>
          <w:rFonts w:ascii="Times New Roman" w:hAnsi="Times New Roman" w:cs="Times New Roman"/>
          <w:noProof/>
          <w:sz w:val="24"/>
          <w:szCs w:val="24"/>
          <w:lang w:val="sq-AL"/>
        </w:rPr>
        <w:t>f</w:t>
      </w:r>
      <w:r w:rsidRPr="00641640">
        <w:rPr>
          <w:rFonts w:ascii="Times New Roman" w:hAnsi="Times New Roman" w:cs="Times New Roman"/>
          <w:noProof/>
          <w:sz w:val="24"/>
          <w:szCs w:val="24"/>
          <w:lang w:val="sq-AL"/>
        </w:rPr>
        <w:t>orcimi</w:t>
      </w:r>
      <w:r w:rsidR="006C1D39" w:rsidRPr="00641640">
        <w:rPr>
          <w:rFonts w:ascii="Times New Roman" w:hAnsi="Times New Roman" w:cs="Times New Roman"/>
          <w:noProof/>
          <w:sz w:val="24"/>
          <w:szCs w:val="24"/>
          <w:lang w:val="sq-AL"/>
        </w:rPr>
        <w:t>n e</w:t>
      </w:r>
      <w:r w:rsidRPr="00641640">
        <w:rPr>
          <w:rFonts w:ascii="Times New Roman" w:hAnsi="Times New Roman" w:cs="Times New Roman"/>
          <w:noProof/>
          <w:sz w:val="24"/>
          <w:szCs w:val="24"/>
          <w:lang w:val="sq-AL"/>
        </w:rPr>
        <w:t xml:space="preserve"> përgjegjshmërisë menaxheriale </w:t>
      </w:r>
      <w:r w:rsidR="006C1D39"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 xml:space="preserve">rmes </w:t>
      </w:r>
      <w:r w:rsidRPr="00641640">
        <w:rPr>
          <w:rFonts w:ascii="Times New Roman" w:hAnsi="Times New Roman" w:cs="Times New Roman"/>
          <w:noProof/>
          <w:sz w:val="24"/>
          <w:szCs w:val="24"/>
          <w:lang w:val="sq-AL"/>
        </w:rPr>
        <w:t>përmirësimit të k</w:t>
      </w:r>
      <w:r w:rsidR="001C53B6" w:rsidRPr="00641640">
        <w:rPr>
          <w:rFonts w:ascii="Times New Roman" w:hAnsi="Times New Roman" w:cs="Times New Roman"/>
          <w:noProof/>
          <w:sz w:val="24"/>
          <w:szCs w:val="24"/>
          <w:lang w:val="sq-AL"/>
        </w:rPr>
        <w:t>ornizës</w:t>
      </w:r>
      <w:r w:rsidRPr="00641640">
        <w:rPr>
          <w:rFonts w:ascii="Times New Roman" w:hAnsi="Times New Roman" w:cs="Times New Roman"/>
          <w:noProof/>
          <w:sz w:val="24"/>
          <w:szCs w:val="24"/>
          <w:lang w:val="sq-AL"/>
        </w:rPr>
        <w:t xml:space="preserve"> rregullator</w:t>
      </w:r>
      <w:r w:rsidR="001C53B6"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vlerësimit të vazhdueshëm të sistemit të kontrollit të brendshëm, ofrimi</w:t>
      </w:r>
      <w:r w:rsidR="00A3402D" w:rsidRPr="00641640">
        <w:rPr>
          <w:rFonts w:ascii="Times New Roman" w:hAnsi="Times New Roman" w:cs="Times New Roman"/>
          <w:noProof/>
          <w:sz w:val="24"/>
          <w:szCs w:val="24"/>
          <w:lang w:val="sq-AL"/>
        </w:rPr>
        <w:t>t</w:t>
      </w:r>
      <w:r w:rsidRPr="00641640">
        <w:rPr>
          <w:rFonts w:ascii="Times New Roman" w:hAnsi="Times New Roman" w:cs="Times New Roman"/>
          <w:noProof/>
          <w:sz w:val="24"/>
          <w:szCs w:val="24"/>
          <w:lang w:val="sq-AL"/>
        </w:rPr>
        <w:t xml:space="preserve"> </w:t>
      </w:r>
      <w:r w:rsidR="00A3402D" w:rsidRPr="00641640">
        <w:rPr>
          <w:rFonts w:ascii="Times New Roman" w:hAnsi="Times New Roman" w:cs="Times New Roman"/>
          <w:noProof/>
          <w:sz w:val="24"/>
          <w:szCs w:val="24"/>
          <w:lang w:val="sq-AL"/>
        </w:rPr>
        <w:t>t</w:t>
      </w:r>
      <w:r w:rsidR="007F00F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asistencës teknike, ngritj</w:t>
      </w:r>
      <w:r w:rsidR="00A3402D" w:rsidRPr="00641640">
        <w:rPr>
          <w:rFonts w:ascii="Times New Roman" w:hAnsi="Times New Roman" w:cs="Times New Roman"/>
          <w:noProof/>
          <w:sz w:val="24"/>
          <w:szCs w:val="24"/>
          <w:lang w:val="sq-AL"/>
        </w:rPr>
        <w:t>es</w:t>
      </w:r>
      <w:r w:rsidRPr="00641640">
        <w:rPr>
          <w:rFonts w:ascii="Times New Roman" w:hAnsi="Times New Roman" w:cs="Times New Roman"/>
          <w:noProof/>
          <w:sz w:val="24"/>
          <w:szCs w:val="24"/>
          <w:lang w:val="sq-AL"/>
        </w:rPr>
        <w:t xml:space="preserve"> </w:t>
      </w:r>
      <w:r w:rsidR="00A3402D" w:rsidRPr="00641640">
        <w:rPr>
          <w:rFonts w:ascii="Times New Roman" w:hAnsi="Times New Roman" w:cs="Times New Roman"/>
          <w:noProof/>
          <w:sz w:val="24"/>
          <w:szCs w:val="24"/>
          <w:lang w:val="sq-AL"/>
        </w:rPr>
        <w:t>s</w:t>
      </w:r>
      <w:r w:rsidR="007F00F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kapaciteteve dhe rritj</w:t>
      </w:r>
      <w:r w:rsidR="00A3402D" w:rsidRPr="00641640">
        <w:rPr>
          <w:rFonts w:ascii="Times New Roman" w:hAnsi="Times New Roman" w:cs="Times New Roman"/>
          <w:noProof/>
          <w:sz w:val="24"/>
          <w:szCs w:val="24"/>
          <w:lang w:val="sq-AL"/>
        </w:rPr>
        <w:t>es</w:t>
      </w:r>
      <w:r w:rsidRPr="00641640">
        <w:rPr>
          <w:rFonts w:ascii="Times New Roman" w:hAnsi="Times New Roman" w:cs="Times New Roman"/>
          <w:noProof/>
          <w:sz w:val="24"/>
          <w:szCs w:val="24"/>
          <w:lang w:val="sq-AL"/>
        </w:rPr>
        <w:t xml:space="preserve"> e ndërgjegjësimit në lidhje me</w:t>
      </w:r>
      <w:r w:rsidR="00A3402D" w:rsidRPr="00641640">
        <w:rPr>
          <w:rFonts w:ascii="Times New Roman" w:hAnsi="Times New Roman" w:cs="Times New Roman"/>
          <w:noProof/>
          <w:sz w:val="24"/>
          <w:szCs w:val="24"/>
          <w:lang w:val="sq-AL"/>
        </w:rPr>
        <w:t xml:space="preserve"> nevoj</w:t>
      </w:r>
      <w:r w:rsidR="007F00FB" w:rsidRPr="00641640">
        <w:rPr>
          <w:rFonts w:ascii="Times New Roman" w:hAnsi="Times New Roman" w:cs="Times New Roman"/>
          <w:noProof/>
          <w:sz w:val="24"/>
          <w:szCs w:val="24"/>
          <w:lang w:val="sq-AL"/>
        </w:rPr>
        <w:t>ë</w:t>
      </w:r>
      <w:r w:rsidR="00A3402D" w:rsidRPr="00641640">
        <w:rPr>
          <w:rFonts w:ascii="Times New Roman" w:hAnsi="Times New Roman" w:cs="Times New Roman"/>
          <w:noProof/>
          <w:sz w:val="24"/>
          <w:szCs w:val="24"/>
          <w:lang w:val="sq-AL"/>
        </w:rPr>
        <w:t>n e p</w:t>
      </w:r>
      <w:r w:rsidR="007F00FB" w:rsidRPr="00641640">
        <w:rPr>
          <w:rFonts w:ascii="Times New Roman" w:hAnsi="Times New Roman" w:cs="Times New Roman"/>
          <w:noProof/>
          <w:sz w:val="24"/>
          <w:szCs w:val="24"/>
          <w:lang w:val="sq-AL"/>
        </w:rPr>
        <w:t>ë</w:t>
      </w:r>
      <w:r w:rsidR="00A3402D" w:rsidRPr="00641640">
        <w:rPr>
          <w:rFonts w:ascii="Times New Roman" w:hAnsi="Times New Roman" w:cs="Times New Roman"/>
          <w:noProof/>
          <w:sz w:val="24"/>
          <w:szCs w:val="24"/>
          <w:lang w:val="sq-AL"/>
        </w:rPr>
        <w:t>rmir</w:t>
      </w:r>
      <w:r w:rsidR="007F00FB" w:rsidRPr="00641640">
        <w:rPr>
          <w:rFonts w:ascii="Times New Roman" w:hAnsi="Times New Roman" w:cs="Times New Roman"/>
          <w:noProof/>
          <w:sz w:val="24"/>
          <w:szCs w:val="24"/>
          <w:lang w:val="sq-AL"/>
        </w:rPr>
        <w:t>ë</w:t>
      </w:r>
      <w:r w:rsidR="00A3402D" w:rsidRPr="00641640">
        <w:rPr>
          <w:rFonts w:ascii="Times New Roman" w:hAnsi="Times New Roman" w:cs="Times New Roman"/>
          <w:noProof/>
          <w:sz w:val="24"/>
          <w:szCs w:val="24"/>
          <w:lang w:val="sq-AL"/>
        </w:rPr>
        <w:t>simit t</w:t>
      </w:r>
      <w:r w:rsidR="007F00F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mekanizmave të llogaridhënies menaxheriale.</w:t>
      </w:r>
    </w:p>
    <w:p w14:paraId="6A756BAB" w14:textId="77777777" w:rsidR="00F15BFA" w:rsidRPr="0007033C" w:rsidRDefault="00F15BFA" w:rsidP="003A395D">
      <w:pPr>
        <w:spacing w:after="0" w:line="276" w:lineRule="auto"/>
        <w:jc w:val="both"/>
        <w:rPr>
          <w:rFonts w:ascii="Times New Roman" w:hAnsi="Times New Roman" w:cs="Times New Roman"/>
          <w:noProof/>
          <w:sz w:val="14"/>
          <w:szCs w:val="14"/>
          <w:lang w:val="sq-AL"/>
        </w:rPr>
      </w:pPr>
    </w:p>
    <w:p w14:paraId="4F8576F8" w14:textId="4A5C2C54" w:rsidR="00FD1BAC" w:rsidRPr="00641640" w:rsidRDefault="002D647C"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Ndërl</w:t>
      </w:r>
      <w:r w:rsidR="006C1D39" w:rsidRPr="00641640">
        <w:rPr>
          <w:rFonts w:ascii="Times New Roman" w:hAnsi="Times New Roman" w:cs="Times New Roman"/>
          <w:b/>
          <w:bCs/>
          <w:noProof/>
          <w:sz w:val="24"/>
          <w:szCs w:val="24"/>
          <w:lang w:val="sq-AL"/>
        </w:rPr>
        <w:t>idhja e SNRAP 202</w:t>
      </w:r>
      <w:r w:rsidR="00B425AE" w:rsidRPr="00641640">
        <w:rPr>
          <w:rFonts w:ascii="Times New Roman" w:hAnsi="Times New Roman" w:cs="Times New Roman"/>
          <w:b/>
          <w:bCs/>
          <w:noProof/>
          <w:sz w:val="24"/>
          <w:szCs w:val="24"/>
          <w:lang w:val="sq-AL"/>
        </w:rPr>
        <w:t>5</w:t>
      </w:r>
      <w:r w:rsidR="006C1D39" w:rsidRPr="00641640">
        <w:rPr>
          <w:rFonts w:ascii="Times New Roman" w:hAnsi="Times New Roman" w:cs="Times New Roman"/>
          <w:b/>
          <w:bCs/>
          <w:noProof/>
          <w:sz w:val="24"/>
          <w:szCs w:val="24"/>
          <w:lang w:val="sq-AL"/>
        </w:rPr>
        <w:t xml:space="preserve">-2030 me </w:t>
      </w:r>
      <w:r w:rsidR="00FD1BAC" w:rsidRPr="00641640">
        <w:rPr>
          <w:rFonts w:ascii="Times New Roman" w:hAnsi="Times New Roman" w:cs="Times New Roman"/>
          <w:b/>
          <w:bCs/>
          <w:noProof/>
          <w:sz w:val="24"/>
          <w:szCs w:val="24"/>
          <w:lang w:val="sq-AL"/>
        </w:rPr>
        <w:t>Udhërrëfyesi</w:t>
      </w:r>
      <w:r w:rsidR="006C1D39" w:rsidRPr="00641640">
        <w:rPr>
          <w:rFonts w:ascii="Times New Roman" w:hAnsi="Times New Roman" w:cs="Times New Roman"/>
          <w:b/>
          <w:bCs/>
          <w:noProof/>
          <w:sz w:val="24"/>
          <w:szCs w:val="24"/>
          <w:lang w:val="sq-AL"/>
        </w:rPr>
        <w:t>n</w:t>
      </w:r>
      <w:r w:rsidR="00FD1BAC" w:rsidRPr="00641640">
        <w:rPr>
          <w:rFonts w:ascii="Times New Roman" w:hAnsi="Times New Roman" w:cs="Times New Roman"/>
          <w:b/>
          <w:bCs/>
          <w:noProof/>
          <w:sz w:val="24"/>
          <w:szCs w:val="24"/>
          <w:lang w:val="sq-AL"/>
        </w:rPr>
        <w:t xml:space="preserve"> për Reformën në Administratën Publike 2023-2030</w:t>
      </w:r>
    </w:p>
    <w:p w14:paraId="221ED356" w14:textId="1C3B0C21" w:rsidR="00AC5F4F" w:rsidRPr="00641640" w:rsidRDefault="00AC5F4F"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Në </w:t>
      </w:r>
      <w:r w:rsidR="00F53C05" w:rsidRPr="00641640">
        <w:rPr>
          <w:rFonts w:ascii="Times New Roman" w:hAnsi="Times New Roman" w:cs="Times New Roman"/>
          <w:noProof/>
          <w:sz w:val="24"/>
          <w:szCs w:val="24"/>
          <w:lang w:val="sq-AL"/>
        </w:rPr>
        <w:t xml:space="preserve">vitin </w:t>
      </w:r>
      <w:r w:rsidRPr="00641640">
        <w:rPr>
          <w:rFonts w:ascii="Times New Roman" w:hAnsi="Times New Roman" w:cs="Times New Roman"/>
          <w:noProof/>
          <w:sz w:val="24"/>
          <w:szCs w:val="24"/>
          <w:lang w:val="sq-AL"/>
        </w:rPr>
        <w:t xml:space="preserve">2020, Qeveria Shqiptare </w:t>
      </w:r>
      <w:r w:rsidR="00614309"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614309" w:rsidRPr="00641640">
        <w:rPr>
          <w:rFonts w:ascii="Times New Roman" w:hAnsi="Times New Roman" w:cs="Times New Roman"/>
          <w:noProof/>
          <w:sz w:val="24"/>
          <w:szCs w:val="24"/>
          <w:lang w:val="sq-AL"/>
        </w:rPr>
        <w:t>rqafoi</w:t>
      </w:r>
      <w:r w:rsidR="00F53C05" w:rsidRPr="00641640">
        <w:rPr>
          <w:rFonts w:ascii="Times New Roman" w:hAnsi="Times New Roman" w:cs="Times New Roman"/>
          <w:noProof/>
          <w:sz w:val="24"/>
          <w:szCs w:val="24"/>
          <w:lang w:val="sq-AL"/>
        </w:rPr>
        <w:t xml:space="preserve"> </w:t>
      </w:r>
      <w:r w:rsidR="002D647C" w:rsidRPr="00641640">
        <w:rPr>
          <w:rFonts w:ascii="Times New Roman" w:hAnsi="Times New Roman" w:cs="Times New Roman"/>
          <w:noProof/>
          <w:sz w:val="24"/>
          <w:szCs w:val="24"/>
          <w:lang w:val="sq-AL"/>
        </w:rPr>
        <w:t>m</w:t>
      </w:r>
      <w:r w:rsidR="00F53C05" w:rsidRPr="00641640">
        <w:rPr>
          <w:rFonts w:ascii="Times New Roman" w:hAnsi="Times New Roman" w:cs="Times New Roman"/>
          <w:noProof/>
          <w:sz w:val="24"/>
          <w:szCs w:val="24"/>
          <w:lang w:val="sq-AL"/>
        </w:rPr>
        <w:t>etodologjin</w:t>
      </w:r>
      <w:r w:rsidR="00064AC5" w:rsidRPr="00641640">
        <w:rPr>
          <w:rFonts w:ascii="Times New Roman" w:hAnsi="Times New Roman" w:cs="Times New Roman"/>
          <w:noProof/>
          <w:sz w:val="24"/>
          <w:szCs w:val="24"/>
          <w:lang w:val="sq-AL"/>
        </w:rPr>
        <w:t>ë</w:t>
      </w:r>
      <w:r w:rsidR="00F53C05" w:rsidRPr="00641640">
        <w:rPr>
          <w:rFonts w:ascii="Times New Roman" w:hAnsi="Times New Roman" w:cs="Times New Roman"/>
          <w:noProof/>
          <w:sz w:val="24"/>
          <w:szCs w:val="24"/>
          <w:lang w:val="sq-AL"/>
        </w:rPr>
        <w:t xml:space="preserve"> e re t</w:t>
      </w:r>
      <w:r w:rsidR="00064AC5" w:rsidRPr="00641640">
        <w:rPr>
          <w:rFonts w:ascii="Times New Roman" w:hAnsi="Times New Roman" w:cs="Times New Roman"/>
          <w:noProof/>
          <w:sz w:val="24"/>
          <w:szCs w:val="24"/>
          <w:lang w:val="sq-AL"/>
        </w:rPr>
        <w:t>ë</w:t>
      </w:r>
      <w:r w:rsidR="00F53C05" w:rsidRPr="00641640">
        <w:rPr>
          <w:rFonts w:ascii="Times New Roman" w:hAnsi="Times New Roman" w:cs="Times New Roman"/>
          <w:noProof/>
          <w:sz w:val="24"/>
          <w:szCs w:val="24"/>
          <w:lang w:val="sq-AL"/>
        </w:rPr>
        <w:t xml:space="preserve"> </w:t>
      </w:r>
      <w:r w:rsidR="002D647C" w:rsidRPr="00641640">
        <w:rPr>
          <w:rFonts w:ascii="Times New Roman" w:hAnsi="Times New Roman" w:cs="Times New Roman"/>
          <w:noProof/>
          <w:sz w:val="24"/>
          <w:szCs w:val="24"/>
          <w:lang w:val="sq-AL"/>
        </w:rPr>
        <w:t>z</w:t>
      </w:r>
      <w:r w:rsidR="00F53C05" w:rsidRPr="00641640">
        <w:rPr>
          <w:rFonts w:ascii="Times New Roman" w:hAnsi="Times New Roman" w:cs="Times New Roman"/>
          <w:noProof/>
          <w:sz w:val="24"/>
          <w:szCs w:val="24"/>
          <w:lang w:val="sq-AL"/>
        </w:rPr>
        <w:t>gjerimit t</w:t>
      </w:r>
      <w:r w:rsidR="00064AC5" w:rsidRPr="00641640">
        <w:rPr>
          <w:rFonts w:ascii="Times New Roman" w:hAnsi="Times New Roman" w:cs="Times New Roman"/>
          <w:noProof/>
          <w:sz w:val="24"/>
          <w:szCs w:val="24"/>
          <w:lang w:val="sq-AL"/>
        </w:rPr>
        <w:t>ë</w:t>
      </w:r>
      <w:r w:rsidR="00F53C05" w:rsidRPr="00641640">
        <w:rPr>
          <w:rFonts w:ascii="Times New Roman" w:hAnsi="Times New Roman" w:cs="Times New Roman"/>
          <w:noProof/>
          <w:sz w:val="24"/>
          <w:szCs w:val="24"/>
          <w:lang w:val="sq-AL"/>
        </w:rPr>
        <w:t xml:space="preserve"> prezantuar nga Bashkimi Evropian</w:t>
      </w:r>
      <w:r w:rsidR="00614309" w:rsidRPr="00641640">
        <w:rPr>
          <w:rFonts w:ascii="Times New Roman" w:hAnsi="Times New Roman" w:cs="Times New Roman"/>
          <w:noProof/>
          <w:sz w:val="24"/>
          <w:szCs w:val="24"/>
          <w:lang w:val="sq-AL"/>
        </w:rPr>
        <w:t xml:space="preserve">, e cila forcon </w:t>
      </w:r>
      <w:r w:rsidRPr="00641640">
        <w:rPr>
          <w:rFonts w:ascii="Times New Roman" w:hAnsi="Times New Roman" w:cs="Times New Roman"/>
          <w:noProof/>
          <w:sz w:val="24"/>
          <w:szCs w:val="24"/>
          <w:lang w:val="sq-AL"/>
        </w:rPr>
        <w:t>fokus</w:t>
      </w:r>
      <w:r w:rsidR="00614309" w:rsidRPr="00641640">
        <w:rPr>
          <w:rFonts w:ascii="Times New Roman" w:hAnsi="Times New Roman" w:cs="Times New Roman"/>
          <w:noProof/>
          <w:sz w:val="24"/>
          <w:szCs w:val="24"/>
          <w:lang w:val="sq-AL"/>
        </w:rPr>
        <w:t>in</w:t>
      </w:r>
      <w:r w:rsidRPr="00641640">
        <w:rPr>
          <w:rFonts w:ascii="Times New Roman" w:hAnsi="Times New Roman" w:cs="Times New Roman"/>
          <w:noProof/>
          <w:sz w:val="24"/>
          <w:szCs w:val="24"/>
          <w:lang w:val="sq-AL"/>
        </w:rPr>
        <w:t xml:space="preserve"> </w:t>
      </w:r>
      <w:r w:rsidR="00614309" w:rsidRPr="00641640">
        <w:rPr>
          <w:rFonts w:ascii="Times New Roman" w:hAnsi="Times New Roman" w:cs="Times New Roman"/>
          <w:noProof/>
          <w:sz w:val="24"/>
          <w:szCs w:val="24"/>
          <w:lang w:val="sq-AL"/>
        </w:rPr>
        <w:t>mbi</w:t>
      </w:r>
      <w:r w:rsidRPr="00641640">
        <w:rPr>
          <w:rFonts w:ascii="Times New Roman" w:hAnsi="Times New Roman" w:cs="Times New Roman"/>
          <w:noProof/>
          <w:sz w:val="24"/>
          <w:szCs w:val="24"/>
          <w:lang w:val="sq-AL"/>
        </w:rPr>
        <w:t xml:space="preserve"> reformat themelore</w:t>
      </w:r>
      <w:r w:rsidR="00614309" w:rsidRPr="00641640">
        <w:rPr>
          <w:rFonts w:ascii="Times New Roman" w:hAnsi="Times New Roman" w:cs="Times New Roman"/>
          <w:noProof/>
          <w:sz w:val="24"/>
          <w:szCs w:val="24"/>
          <w:lang w:val="sq-AL"/>
        </w:rPr>
        <w:t>. N</w:t>
      </w:r>
      <w:r w:rsidR="00064AC5" w:rsidRPr="00641640">
        <w:rPr>
          <w:rFonts w:ascii="Times New Roman" w:hAnsi="Times New Roman" w:cs="Times New Roman"/>
          <w:noProof/>
          <w:sz w:val="24"/>
          <w:szCs w:val="24"/>
          <w:lang w:val="sq-AL"/>
        </w:rPr>
        <w:t>ë</w:t>
      </w:r>
      <w:r w:rsidR="00614309" w:rsidRPr="00641640">
        <w:rPr>
          <w:rFonts w:ascii="Times New Roman" w:hAnsi="Times New Roman" w:cs="Times New Roman"/>
          <w:noProof/>
          <w:sz w:val="24"/>
          <w:szCs w:val="24"/>
          <w:lang w:val="sq-AL"/>
        </w:rPr>
        <w:t xml:space="preserve"> k</w:t>
      </w:r>
      <w:r w:rsidR="00064AC5" w:rsidRPr="00641640">
        <w:rPr>
          <w:rFonts w:ascii="Times New Roman" w:hAnsi="Times New Roman" w:cs="Times New Roman"/>
          <w:noProof/>
          <w:sz w:val="24"/>
          <w:szCs w:val="24"/>
          <w:lang w:val="sq-AL"/>
        </w:rPr>
        <w:t>ë</w:t>
      </w:r>
      <w:r w:rsidR="00614309"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614309" w:rsidRPr="00641640">
        <w:rPr>
          <w:rFonts w:ascii="Times New Roman" w:hAnsi="Times New Roman" w:cs="Times New Roman"/>
          <w:noProof/>
          <w:sz w:val="24"/>
          <w:szCs w:val="24"/>
          <w:lang w:val="sq-AL"/>
        </w:rPr>
        <w:t xml:space="preserve"> drejtim, k</w:t>
      </w:r>
      <w:r w:rsidR="005A49B7" w:rsidRPr="00641640">
        <w:rPr>
          <w:rFonts w:ascii="Times New Roman" w:hAnsi="Times New Roman" w:cs="Times New Roman"/>
          <w:noProof/>
          <w:sz w:val="24"/>
          <w:szCs w:val="24"/>
          <w:lang w:val="sq-AL"/>
        </w:rPr>
        <w:t xml:space="preserve">onsolidimi i </w:t>
      </w:r>
      <w:r w:rsidRPr="00641640">
        <w:rPr>
          <w:rFonts w:ascii="Times New Roman" w:hAnsi="Times New Roman" w:cs="Times New Roman"/>
          <w:noProof/>
          <w:sz w:val="24"/>
          <w:szCs w:val="24"/>
          <w:lang w:val="sq-AL"/>
        </w:rPr>
        <w:t>shteti</w:t>
      </w:r>
      <w:r w:rsidR="005A49B7" w:rsidRPr="00641640">
        <w:rPr>
          <w:rFonts w:ascii="Times New Roman" w:hAnsi="Times New Roman" w:cs="Times New Roman"/>
          <w:noProof/>
          <w:sz w:val="24"/>
          <w:szCs w:val="24"/>
          <w:lang w:val="sq-AL"/>
        </w:rPr>
        <w:t>t t</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së drejtës, </w:t>
      </w:r>
      <w:r w:rsidR="00F53C05" w:rsidRPr="00641640">
        <w:rPr>
          <w:rFonts w:ascii="Times New Roman" w:hAnsi="Times New Roman" w:cs="Times New Roman"/>
          <w:noProof/>
          <w:sz w:val="24"/>
          <w:szCs w:val="24"/>
          <w:lang w:val="sq-AL"/>
        </w:rPr>
        <w:t xml:space="preserve">funksionimi </w:t>
      </w:r>
      <w:r w:rsidR="005A49B7" w:rsidRPr="00641640">
        <w:rPr>
          <w:rFonts w:ascii="Times New Roman" w:hAnsi="Times New Roman" w:cs="Times New Roman"/>
          <w:noProof/>
          <w:sz w:val="24"/>
          <w:szCs w:val="24"/>
          <w:lang w:val="sq-AL"/>
        </w:rPr>
        <w:t>i</w:t>
      </w:r>
      <w:r w:rsidR="00F53C05" w:rsidRPr="00641640">
        <w:rPr>
          <w:rFonts w:ascii="Times New Roman" w:hAnsi="Times New Roman" w:cs="Times New Roman"/>
          <w:noProof/>
          <w:sz w:val="24"/>
          <w:szCs w:val="24"/>
          <w:lang w:val="sq-AL"/>
        </w:rPr>
        <w:t xml:space="preserve"> institucioneve </w:t>
      </w:r>
      <w:r w:rsidRPr="00641640">
        <w:rPr>
          <w:rFonts w:ascii="Times New Roman" w:hAnsi="Times New Roman" w:cs="Times New Roman"/>
          <w:noProof/>
          <w:sz w:val="24"/>
          <w:szCs w:val="24"/>
          <w:lang w:val="sq-AL"/>
        </w:rPr>
        <w:t xml:space="preserve">demokratike dhe </w:t>
      </w:r>
      <w:r w:rsidR="00F53C05" w:rsidRPr="00641640">
        <w:rPr>
          <w:rFonts w:ascii="Times New Roman" w:hAnsi="Times New Roman" w:cs="Times New Roman"/>
          <w:noProof/>
          <w:sz w:val="24"/>
          <w:szCs w:val="24"/>
          <w:lang w:val="sq-AL"/>
        </w:rPr>
        <w:t>reform</w:t>
      </w:r>
      <w:r w:rsidR="005A49B7" w:rsidRPr="00641640">
        <w:rPr>
          <w:rFonts w:ascii="Times New Roman" w:hAnsi="Times New Roman" w:cs="Times New Roman"/>
          <w:noProof/>
          <w:sz w:val="24"/>
          <w:szCs w:val="24"/>
          <w:lang w:val="sq-AL"/>
        </w:rPr>
        <w:t>a</w:t>
      </w:r>
      <w:r w:rsidR="00F53C05" w:rsidRPr="00641640">
        <w:rPr>
          <w:rFonts w:ascii="Times New Roman" w:hAnsi="Times New Roman" w:cs="Times New Roman"/>
          <w:noProof/>
          <w:sz w:val="24"/>
          <w:szCs w:val="24"/>
          <w:lang w:val="sq-AL"/>
        </w:rPr>
        <w:t xml:space="preserve"> n</w:t>
      </w:r>
      <w:r w:rsidR="00064AC5" w:rsidRPr="00641640">
        <w:rPr>
          <w:rFonts w:ascii="Times New Roman" w:hAnsi="Times New Roman" w:cs="Times New Roman"/>
          <w:noProof/>
          <w:sz w:val="24"/>
          <w:szCs w:val="24"/>
          <w:lang w:val="sq-AL"/>
        </w:rPr>
        <w:t>ë</w:t>
      </w:r>
      <w:r w:rsidR="00F53C05"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administrat</w:t>
      </w:r>
      <w:r w:rsidR="00064AC5" w:rsidRPr="00641640">
        <w:rPr>
          <w:rFonts w:ascii="Times New Roman" w:hAnsi="Times New Roman" w:cs="Times New Roman"/>
          <w:noProof/>
          <w:sz w:val="24"/>
          <w:szCs w:val="24"/>
          <w:lang w:val="sq-AL"/>
        </w:rPr>
        <w:t>ë</w:t>
      </w:r>
      <w:r w:rsidR="00F53C05" w:rsidRPr="00641640">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 xml:space="preserve"> publike</w:t>
      </w:r>
      <w:r w:rsidR="00F53C05" w:rsidRPr="00641640">
        <w:rPr>
          <w:rFonts w:ascii="Times New Roman" w:hAnsi="Times New Roman" w:cs="Times New Roman"/>
          <w:noProof/>
          <w:sz w:val="24"/>
          <w:szCs w:val="24"/>
          <w:lang w:val="sq-AL"/>
        </w:rPr>
        <w:t xml:space="preserve"> </w:t>
      </w:r>
      <w:r w:rsidR="005A49B7" w:rsidRPr="00641640">
        <w:rPr>
          <w:rFonts w:ascii="Times New Roman" w:hAnsi="Times New Roman" w:cs="Times New Roman"/>
          <w:noProof/>
          <w:sz w:val="24"/>
          <w:szCs w:val="24"/>
          <w:lang w:val="sq-AL"/>
        </w:rPr>
        <w:t>mbeten</w:t>
      </w:r>
      <w:r w:rsidR="00F53C05" w:rsidRPr="00641640">
        <w:rPr>
          <w:rFonts w:ascii="Times New Roman" w:hAnsi="Times New Roman" w:cs="Times New Roman"/>
          <w:noProof/>
          <w:sz w:val="24"/>
          <w:szCs w:val="24"/>
          <w:lang w:val="sq-AL"/>
        </w:rPr>
        <w:t xml:space="preserve"> parakusht p</w:t>
      </w:r>
      <w:r w:rsidR="00064AC5" w:rsidRPr="00641640">
        <w:rPr>
          <w:rFonts w:ascii="Times New Roman" w:hAnsi="Times New Roman" w:cs="Times New Roman"/>
          <w:noProof/>
          <w:sz w:val="24"/>
          <w:szCs w:val="24"/>
          <w:lang w:val="sq-AL"/>
        </w:rPr>
        <w:t>ë</w:t>
      </w:r>
      <w:r w:rsidR="00F53C05" w:rsidRPr="00641640">
        <w:rPr>
          <w:rFonts w:ascii="Times New Roman" w:hAnsi="Times New Roman" w:cs="Times New Roman"/>
          <w:noProof/>
          <w:sz w:val="24"/>
          <w:szCs w:val="24"/>
          <w:lang w:val="sq-AL"/>
        </w:rPr>
        <w:t>r</w:t>
      </w:r>
      <w:r w:rsidR="005A49B7" w:rsidRPr="00641640">
        <w:rPr>
          <w:rFonts w:ascii="Times New Roman" w:hAnsi="Times New Roman" w:cs="Times New Roman"/>
          <w:noProof/>
          <w:sz w:val="24"/>
          <w:szCs w:val="24"/>
          <w:lang w:val="sq-AL"/>
        </w:rPr>
        <w:t xml:space="preserve"> progresin e suksessh</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m t</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 xml:space="preserve"> nd</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rhyrjeve t</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 xml:space="preserve"> nevojshme p</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rgjat</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r</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sis</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 xml:space="preserve"> s</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 xml:space="preserve"> procesit negociator</w:t>
      </w:r>
      <w:r w:rsidRPr="00641640">
        <w:rPr>
          <w:rFonts w:ascii="Times New Roman" w:hAnsi="Times New Roman" w:cs="Times New Roman"/>
          <w:noProof/>
          <w:sz w:val="24"/>
          <w:szCs w:val="24"/>
          <w:lang w:val="sq-AL"/>
        </w:rPr>
        <w:t>.</w:t>
      </w:r>
      <w:r w:rsidR="009977D0"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Një nga risitë kryesore të </w:t>
      </w:r>
      <w:r w:rsidR="005A49B7" w:rsidRPr="00641640">
        <w:rPr>
          <w:rFonts w:ascii="Times New Roman" w:hAnsi="Times New Roman" w:cs="Times New Roman"/>
          <w:noProof/>
          <w:sz w:val="24"/>
          <w:szCs w:val="24"/>
          <w:lang w:val="sq-AL"/>
        </w:rPr>
        <w:t>k</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 xml:space="preserve">saj </w:t>
      </w:r>
      <w:r w:rsidR="00422B38">
        <w:rPr>
          <w:rFonts w:ascii="Times New Roman" w:hAnsi="Times New Roman" w:cs="Times New Roman"/>
          <w:noProof/>
          <w:sz w:val="24"/>
          <w:szCs w:val="24"/>
          <w:lang w:val="sq-AL"/>
        </w:rPr>
        <w:t>“</w:t>
      </w:r>
      <w:r w:rsidR="005A49B7" w:rsidRPr="00641640">
        <w:rPr>
          <w:rFonts w:ascii="Times New Roman" w:hAnsi="Times New Roman" w:cs="Times New Roman"/>
          <w:noProof/>
          <w:sz w:val="24"/>
          <w:szCs w:val="24"/>
          <w:lang w:val="sq-AL"/>
        </w:rPr>
        <w:t>Metodologjie</w:t>
      </w:r>
      <w:r w:rsidR="00422B38">
        <w:rPr>
          <w:rFonts w:ascii="Times New Roman" w:hAnsi="Times New Roman" w:cs="Times New Roman"/>
          <w:noProof/>
          <w:sz w:val="24"/>
          <w:szCs w:val="24"/>
          <w:lang w:val="sq-AL"/>
        </w:rPr>
        <w:t>”</w:t>
      </w:r>
      <w:r w:rsidR="005A49B7" w:rsidRPr="00641640">
        <w:rPr>
          <w:rFonts w:ascii="Times New Roman" w:hAnsi="Times New Roman" w:cs="Times New Roman"/>
          <w:noProof/>
          <w:sz w:val="24"/>
          <w:szCs w:val="24"/>
          <w:lang w:val="sq-AL"/>
        </w:rPr>
        <w:t xml:space="preserve"> </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sht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krijimi</w:t>
      </w:r>
      <w:r w:rsidR="005A49B7" w:rsidRPr="00641640">
        <w:rPr>
          <w:rFonts w:ascii="Times New Roman" w:hAnsi="Times New Roman" w:cs="Times New Roman"/>
          <w:noProof/>
          <w:sz w:val="24"/>
          <w:szCs w:val="24"/>
          <w:lang w:val="sq-AL"/>
        </w:rPr>
        <w:t xml:space="preserve"> i</w:t>
      </w:r>
      <w:r w:rsidRPr="00641640">
        <w:rPr>
          <w:rFonts w:ascii="Times New Roman" w:hAnsi="Times New Roman" w:cs="Times New Roman"/>
          <w:noProof/>
          <w:sz w:val="24"/>
          <w:szCs w:val="24"/>
          <w:lang w:val="sq-AL"/>
        </w:rPr>
        <w:t xml:space="preserve"> </w:t>
      </w:r>
      <w:r w:rsidR="00422B38">
        <w:rPr>
          <w:rFonts w:ascii="Times New Roman" w:hAnsi="Times New Roman" w:cs="Times New Roman"/>
          <w:noProof/>
          <w:sz w:val="24"/>
          <w:szCs w:val="24"/>
          <w:lang w:val="sq-AL"/>
        </w:rPr>
        <w:t>“</w:t>
      </w:r>
      <w:r w:rsidR="005A49B7" w:rsidRPr="00641640">
        <w:rPr>
          <w:rFonts w:ascii="Times New Roman" w:hAnsi="Times New Roman" w:cs="Times New Roman"/>
          <w:noProof/>
          <w:sz w:val="24"/>
          <w:szCs w:val="24"/>
          <w:lang w:val="sq-AL"/>
        </w:rPr>
        <w:t>Grup</w:t>
      </w:r>
      <w:r w:rsidR="002D647C" w:rsidRPr="00641640">
        <w:rPr>
          <w:rFonts w:ascii="Times New Roman" w:hAnsi="Times New Roman" w:cs="Times New Roman"/>
          <w:noProof/>
          <w:sz w:val="24"/>
          <w:szCs w:val="24"/>
          <w:lang w:val="sq-AL"/>
        </w:rPr>
        <w:t>k</w:t>
      </w:r>
      <w:r w:rsidR="005A49B7" w:rsidRPr="00641640">
        <w:rPr>
          <w:rFonts w:ascii="Times New Roman" w:hAnsi="Times New Roman" w:cs="Times New Roman"/>
          <w:noProof/>
          <w:sz w:val="24"/>
          <w:szCs w:val="24"/>
          <w:lang w:val="sq-AL"/>
        </w:rPr>
        <w:t>apitujve tematik</w:t>
      </w:r>
      <w:r w:rsidR="00064AC5" w:rsidRPr="00641640">
        <w:rPr>
          <w:rFonts w:ascii="Times New Roman" w:hAnsi="Times New Roman" w:cs="Times New Roman"/>
          <w:noProof/>
          <w:sz w:val="24"/>
          <w:szCs w:val="24"/>
          <w:lang w:val="sq-AL"/>
        </w:rPr>
        <w:t>ë</w:t>
      </w:r>
      <w:r w:rsidR="00422B38">
        <w:rPr>
          <w:rFonts w:ascii="Times New Roman" w:hAnsi="Times New Roman" w:cs="Times New Roman"/>
          <w:noProof/>
          <w:sz w:val="24"/>
          <w:szCs w:val="24"/>
          <w:lang w:val="sq-AL"/>
        </w:rPr>
        <w:t>”</w:t>
      </w:r>
      <w:r w:rsidR="005A49B7"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 xml:space="preserve"> </w:t>
      </w:r>
      <w:r w:rsidR="005A49B7" w:rsidRPr="00641640">
        <w:rPr>
          <w:rFonts w:ascii="Times New Roman" w:hAnsi="Times New Roman" w:cs="Times New Roman"/>
          <w:i/>
          <w:noProof/>
          <w:sz w:val="24"/>
          <w:szCs w:val="24"/>
          <w:lang w:val="sq-AL"/>
        </w:rPr>
        <w:t>acquis</w:t>
      </w:r>
      <w:r w:rsidR="005A49B7" w:rsidRPr="00641640">
        <w:rPr>
          <w:rFonts w:ascii="Times New Roman" w:hAnsi="Times New Roman" w:cs="Times New Roman"/>
          <w:noProof/>
          <w:sz w:val="24"/>
          <w:szCs w:val="24"/>
          <w:lang w:val="sq-AL"/>
        </w:rPr>
        <w:t>-s</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 xml:space="preserve"> </w:t>
      </w:r>
      <w:r w:rsidR="009977D0" w:rsidRPr="00641640">
        <w:rPr>
          <w:rFonts w:ascii="Times New Roman" w:hAnsi="Times New Roman" w:cs="Times New Roman"/>
          <w:noProof/>
          <w:sz w:val="24"/>
          <w:szCs w:val="24"/>
          <w:lang w:val="sq-AL"/>
        </w:rPr>
        <w:t>(</w:t>
      </w:r>
      <w:r w:rsidR="00F53C05" w:rsidRPr="008430E8">
        <w:rPr>
          <w:rFonts w:ascii="Times New Roman" w:hAnsi="Times New Roman" w:cs="Times New Roman"/>
          <w:i/>
          <w:noProof/>
          <w:sz w:val="24"/>
          <w:szCs w:val="24"/>
          <w:lang w:val="sq-AL"/>
        </w:rPr>
        <w:t>C</w:t>
      </w:r>
      <w:r w:rsidR="009977D0" w:rsidRPr="008430E8">
        <w:rPr>
          <w:rFonts w:ascii="Times New Roman" w:hAnsi="Times New Roman" w:cs="Times New Roman"/>
          <w:i/>
          <w:noProof/>
          <w:sz w:val="24"/>
          <w:szCs w:val="24"/>
          <w:lang w:val="sq-AL"/>
        </w:rPr>
        <w:t>lusters</w:t>
      </w:r>
      <w:r w:rsidR="009977D0" w:rsidRPr="00641640">
        <w:rPr>
          <w:rFonts w:ascii="Times New Roman" w:hAnsi="Times New Roman" w:cs="Times New Roman"/>
          <w:noProof/>
          <w:sz w:val="24"/>
          <w:szCs w:val="24"/>
          <w:lang w:val="sq-AL"/>
        </w:rPr>
        <w:t>)</w:t>
      </w:r>
      <w:r w:rsidR="005A49B7" w:rsidRPr="00641640">
        <w:rPr>
          <w:rFonts w:ascii="Times New Roman" w:hAnsi="Times New Roman" w:cs="Times New Roman"/>
          <w:noProof/>
          <w:sz w:val="24"/>
          <w:szCs w:val="24"/>
          <w:lang w:val="sq-AL"/>
        </w:rPr>
        <w:t>, q</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 xml:space="preserve"> </w:t>
      </w:r>
      <w:r w:rsidR="00614309"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614309" w:rsidRPr="00641640">
        <w:rPr>
          <w:rFonts w:ascii="Times New Roman" w:hAnsi="Times New Roman" w:cs="Times New Roman"/>
          <w:noProof/>
          <w:sz w:val="24"/>
          <w:szCs w:val="24"/>
          <w:lang w:val="sq-AL"/>
        </w:rPr>
        <w:t>rfshijn</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005A49B7" w:rsidRPr="00641640">
        <w:rPr>
          <w:rFonts w:ascii="Times New Roman" w:hAnsi="Times New Roman" w:cs="Times New Roman"/>
          <w:noProof/>
          <w:sz w:val="24"/>
          <w:szCs w:val="24"/>
          <w:lang w:val="sq-AL"/>
        </w:rPr>
        <w:t xml:space="preserve">disa </w:t>
      </w:r>
      <w:r w:rsidR="002D647C" w:rsidRPr="00641640">
        <w:rPr>
          <w:rFonts w:ascii="Times New Roman" w:hAnsi="Times New Roman" w:cs="Times New Roman"/>
          <w:noProof/>
          <w:sz w:val="24"/>
          <w:szCs w:val="24"/>
          <w:lang w:val="sq-AL"/>
        </w:rPr>
        <w:t>k</w:t>
      </w:r>
      <w:r w:rsidRPr="00641640">
        <w:rPr>
          <w:rFonts w:ascii="Times New Roman" w:hAnsi="Times New Roman" w:cs="Times New Roman"/>
          <w:noProof/>
          <w:sz w:val="24"/>
          <w:szCs w:val="24"/>
          <w:lang w:val="sq-AL"/>
        </w:rPr>
        <w:t>apituj negociues</w:t>
      </w:r>
      <w:r w:rsidR="00614309" w:rsidRPr="00641640">
        <w:rPr>
          <w:rFonts w:ascii="Times New Roman" w:hAnsi="Times New Roman" w:cs="Times New Roman"/>
          <w:noProof/>
          <w:sz w:val="24"/>
          <w:szCs w:val="24"/>
          <w:lang w:val="sq-AL"/>
        </w:rPr>
        <w:t>,</w:t>
      </w:r>
      <w:r w:rsidR="009977D0" w:rsidRPr="00641640">
        <w:rPr>
          <w:rFonts w:ascii="Times New Roman" w:hAnsi="Times New Roman" w:cs="Times New Roman"/>
          <w:noProof/>
          <w:sz w:val="24"/>
          <w:szCs w:val="24"/>
          <w:lang w:val="sq-AL"/>
        </w:rPr>
        <w:t xml:space="preserve"> </w:t>
      </w:r>
      <w:r w:rsidR="005A49B7" w:rsidRPr="00641640">
        <w:rPr>
          <w:rFonts w:ascii="Times New Roman" w:hAnsi="Times New Roman" w:cs="Times New Roman"/>
          <w:noProof/>
          <w:sz w:val="24"/>
          <w:szCs w:val="24"/>
          <w:lang w:val="sq-AL"/>
        </w:rPr>
        <w:t>me synimin p</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 xml:space="preserve">r </w:t>
      </w:r>
      <w:r w:rsidR="00614309"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614309" w:rsidRPr="00641640">
        <w:rPr>
          <w:rFonts w:ascii="Times New Roman" w:hAnsi="Times New Roman" w:cs="Times New Roman"/>
          <w:noProof/>
          <w:sz w:val="24"/>
          <w:szCs w:val="24"/>
          <w:lang w:val="sq-AL"/>
        </w:rPr>
        <w:t xml:space="preserve"> p</w:t>
      </w:r>
      <w:r w:rsidR="00064AC5" w:rsidRPr="00641640">
        <w:rPr>
          <w:rFonts w:ascii="Times New Roman" w:hAnsi="Times New Roman" w:cs="Times New Roman"/>
          <w:noProof/>
          <w:sz w:val="24"/>
          <w:szCs w:val="24"/>
          <w:lang w:val="sq-AL"/>
        </w:rPr>
        <w:t>ë</w:t>
      </w:r>
      <w:r w:rsidR="00614309" w:rsidRPr="00641640">
        <w:rPr>
          <w:rFonts w:ascii="Times New Roman" w:hAnsi="Times New Roman" w:cs="Times New Roman"/>
          <w:noProof/>
          <w:sz w:val="24"/>
          <w:szCs w:val="24"/>
          <w:lang w:val="sq-AL"/>
        </w:rPr>
        <w:t xml:space="preserve">rshpejtuar </w:t>
      </w:r>
      <w:r w:rsidR="005A49B7" w:rsidRPr="00641640">
        <w:rPr>
          <w:rFonts w:ascii="Times New Roman" w:hAnsi="Times New Roman" w:cs="Times New Roman"/>
          <w:noProof/>
          <w:sz w:val="24"/>
          <w:szCs w:val="24"/>
          <w:lang w:val="sq-AL"/>
        </w:rPr>
        <w:t>zbatimin e</w:t>
      </w:r>
      <w:r w:rsidR="00614309" w:rsidRPr="00641640">
        <w:rPr>
          <w:rFonts w:ascii="Times New Roman" w:hAnsi="Times New Roman" w:cs="Times New Roman"/>
          <w:noProof/>
          <w:sz w:val="24"/>
          <w:szCs w:val="24"/>
          <w:lang w:val="sq-AL"/>
        </w:rPr>
        <w:t xml:space="preserve"> linj</w:t>
      </w:r>
      <w:r w:rsidR="00064AC5" w:rsidRPr="00641640">
        <w:rPr>
          <w:rFonts w:ascii="Times New Roman" w:hAnsi="Times New Roman" w:cs="Times New Roman"/>
          <w:noProof/>
          <w:sz w:val="24"/>
          <w:szCs w:val="24"/>
          <w:lang w:val="sq-AL"/>
        </w:rPr>
        <w:t>ë</w:t>
      </w:r>
      <w:r w:rsidR="00614309" w:rsidRPr="00641640">
        <w:rPr>
          <w:rFonts w:ascii="Times New Roman" w:hAnsi="Times New Roman" w:cs="Times New Roman"/>
          <w:noProof/>
          <w:sz w:val="24"/>
          <w:szCs w:val="24"/>
          <w:lang w:val="sq-AL"/>
        </w:rPr>
        <w:t>zuar t</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reforma</w:t>
      </w:r>
      <w:r w:rsidR="005A49B7" w:rsidRPr="00641640">
        <w:rPr>
          <w:rFonts w:ascii="Times New Roman" w:hAnsi="Times New Roman" w:cs="Times New Roman"/>
          <w:noProof/>
          <w:sz w:val="24"/>
          <w:szCs w:val="24"/>
          <w:lang w:val="sq-AL"/>
        </w:rPr>
        <w:t>ve</w:t>
      </w:r>
      <w:r w:rsidRPr="00641640">
        <w:rPr>
          <w:rFonts w:ascii="Times New Roman" w:hAnsi="Times New Roman" w:cs="Times New Roman"/>
          <w:noProof/>
          <w:sz w:val="24"/>
          <w:szCs w:val="24"/>
          <w:lang w:val="sq-AL"/>
        </w:rPr>
        <w:t xml:space="preserve"> </w:t>
      </w:r>
      <w:r w:rsidR="005A49B7"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005A49B7" w:rsidRPr="00641640">
        <w:rPr>
          <w:rFonts w:ascii="Times New Roman" w:hAnsi="Times New Roman" w:cs="Times New Roman"/>
          <w:noProof/>
          <w:sz w:val="24"/>
          <w:szCs w:val="24"/>
          <w:lang w:val="sq-AL"/>
        </w:rPr>
        <w:t>k</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 xml:space="preserve">rkuara </w:t>
      </w:r>
      <w:r w:rsidRPr="00641640">
        <w:rPr>
          <w:rFonts w:ascii="Times New Roman" w:hAnsi="Times New Roman" w:cs="Times New Roman"/>
          <w:noProof/>
          <w:sz w:val="24"/>
          <w:szCs w:val="24"/>
          <w:lang w:val="sq-AL"/>
        </w:rPr>
        <w:t xml:space="preserve">për </w:t>
      </w:r>
      <w:r w:rsidR="005A49B7"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5A49B7" w:rsidRPr="00641640">
        <w:rPr>
          <w:rFonts w:ascii="Times New Roman" w:hAnsi="Times New Roman" w:cs="Times New Roman"/>
          <w:noProof/>
          <w:sz w:val="24"/>
          <w:szCs w:val="24"/>
          <w:lang w:val="sq-AL"/>
        </w:rPr>
        <w:t xml:space="preserve">rmbushjen e kritereve </w:t>
      </w:r>
      <w:r w:rsidR="00614309"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614309" w:rsidRPr="00641640">
        <w:rPr>
          <w:rFonts w:ascii="Times New Roman" w:hAnsi="Times New Roman" w:cs="Times New Roman"/>
          <w:noProof/>
          <w:sz w:val="24"/>
          <w:szCs w:val="24"/>
          <w:lang w:val="sq-AL"/>
        </w:rPr>
        <w:t xml:space="preserve"> </w:t>
      </w:r>
      <w:r w:rsidR="00E142C0" w:rsidRPr="00641640">
        <w:rPr>
          <w:rFonts w:ascii="Times New Roman" w:hAnsi="Times New Roman" w:cs="Times New Roman"/>
          <w:noProof/>
          <w:sz w:val="24"/>
          <w:szCs w:val="24"/>
          <w:lang w:val="sq-AL"/>
        </w:rPr>
        <w:t>anëtarësimi</w:t>
      </w:r>
      <w:r w:rsidR="00614309" w:rsidRPr="00641640">
        <w:rPr>
          <w:rFonts w:ascii="Times New Roman" w:hAnsi="Times New Roman" w:cs="Times New Roman"/>
          <w:noProof/>
          <w:sz w:val="24"/>
          <w:szCs w:val="24"/>
          <w:lang w:val="sq-AL"/>
        </w:rPr>
        <w:t>t</w:t>
      </w:r>
      <w:r w:rsidR="00E142C0" w:rsidRPr="00641640">
        <w:rPr>
          <w:rFonts w:ascii="Times New Roman" w:hAnsi="Times New Roman" w:cs="Times New Roman"/>
          <w:noProof/>
          <w:sz w:val="24"/>
          <w:szCs w:val="24"/>
          <w:lang w:val="sq-AL"/>
        </w:rPr>
        <w:t xml:space="preserve"> në BE</w:t>
      </w:r>
      <w:r w:rsidRPr="00641640">
        <w:rPr>
          <w:rFonts w:ascii="Times New Roman" w:hAnsi="Times New Roman" w:cs="Times New Roman"/>
          <w:noProof/>
          <w:sz w:val="24"/>
          <w:szCs w:val="24"/>
          <w:lang w:val="sq-AL"/>
        </w:rPr>
        <w:t>.</w:t>
      </w:r>
    </w:p>
    <w:p w14:paraId="6C2E058A" w14:textId="11C79A08" w:rsidR="00D13F4C" w:rsidRPr="00641640" w:rsidRDefault="00FD1BAC"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“Udhërrëfyesi për Reformën në Administratën Pulike 2023</w:t>
      </w:r>
      <w:r w:rsidR="002D647C"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2030”</w:t>
      </w:r>
      <w:r w:rsidR="00614309" w:rsidRPr="00641640">
        <w:rPr>
          <w:rFonts w:ascii="Times New Roman" w:hAnsi="Times New Roman" w:cs="Times New Roman"/>
          <w:noProof/>
          <w:sz w:val="24"/>
          <w:szCs w:val="24"/>
          <w:lang w:val="sq-AL"/>
        </w:rPr>
        <w:t xml:space="preserve"> </w:t>
      </w:r>
      <w:r w:rsidR="003D6826" w:rsidRPr="00641640">
        <w:rPr>
          <w:rFonts w:ascii="Times New Roman" w:hAnsi="Times New Roman" w:cs="Times New Roman"/>
          <w:noProof/>
          <w:sz w:val="24"/>
          <w:szCs w:val="24"/>
          <w:lang w:val="sq-AL"/>
        </w:rPr>
        <w:t xml:space="preserve">u </w:t>
      </w:r>
      <w:r w:rsidR="00332711" w:rsidRPr="00641640">
        <w:rPr>
          <w:rFonts w:ascii="Times New Roman" w:hAnsi="Times New Roman" w:cs="Times New Roman"/>
          <w:noProof/>
          <w:sz w:val="24"/>
          <w:szCs w:val="24"/>
          <w:lang w:val="sq-AL"/>
        </w:rPr>
        <w:t>miratua nga Qeveria Shqiptare më 13 dhjetor 2023</w:t>
      </w:r>
      <w:r w:rsidR="00650B97" w:rsidRPr="00641640">
        <w:rPr>
          <w:rFonts w:ascii="Times New Roman" w:hAnsi="Times New Roman" w:cs="Times New Roman"/>
          <w:noProof/>
          <w:sz w:val="24"/>
          <w:szCs w:val="24"/>
          <w:lang w:val="sq-AL"/>
        </w:rPr>
        <w:t>,</w:t>
      </w:r>
      <w:r w:rsidR="003D6826" w:rsidRPr="00641640">
        <w:rPr>
          <w:rFonts w:ascii="Times New Roman" w:hAnsi="Times New Roman" w:cs="Times New Roman"/>
          <w:noProof/>
          <w:sz w:val="24"/>
          <w:szCs w:val="24"/>
          <w:lang w:val="sq-AL"/>
        </w:rPr>
        <w:t xml:space="preserve"> si pjesë </w:t>
      </w:r>
      <w:r w:rsidR="00614309" w:rsidRPr="00641640">
        <w:rPr>
          <w:rFonts w:ascii="Times New Roman" w:hAnsi="Times New Roman" w:cs="Times New Roman"/>
          <w:noProof/>
          <w:sz w:val="24"/>
          <w:szCs w:val="24"/>
          <w:lang w:val="sq-AL"/>
        </w:rPr>
        <w:t xml:space="preserve">integrale </w:t>
      </w:r>
      <w:r w:rsidR="003D6826" w:rsidRPr="00641640">
        <w:rPr>
          <w:rFonts w:ascii="Times New Roman" w:hAnsi="Times New Roman" w:cs="Times New Roman"/>
          <w:noProof/>
          <w:sz w:val="24"/>
          <w:szCs w:val="24"/>
          <w:lang w:val="sq-AL"/>
        </w:rPr>
        <w:t xml:space="preserve">e procesit të </w:t>
      </w:r>
      <w:r w:rsidR="002D647C" w:rsidRPr="00641640">
        <w:rPr>
          <w:rFonts w:ascii="Times New Roman" w:hAnsi="Times New Roman" w:cs="Times New Roman"/>
          <w:noProof/>
          <w:sz w:val="24"/>
          <w:szCs w:val="24"/>
          <w:lang w:val="sq-AL"/>
        </w:rPr>
        <w:t>s</w:t>
      </w:r>
      <w:r w:rsidR="003D6826" w:rsidRPr="00641640">
        <w:rPr>
          <w:rFonts w:ascii="Times New Roman" w:hAnsi="Times New Roman" w:cs="Times New Roman"/>
          <w:noProof/>
          <w:sz w:val="24"/>
          <w:szCs w:val="24"/>
          <w:lang w:val="sq-AL"/>
        </w:rPr>
        <w:t xml:space="preserve">hqyrtimit </w:t>
      </w:r>
      <w:r w:rsidR="002D647C" w:rsidRPr="00641640">
        <w:rPr>
          <w:rFonts w:ascii="Times New Roman" w:hAnsi="Times New Roman" w:cs="Times New Roman"/>
          <w:noProof/>
          <w:sz w:val="24"/>
          <w:szCs w:val="24"/>
          <w:lang w:val="sq-AL"/>
        </w:rPr>
        <w:t>a</w:t>
      </w:r>
      <w:r w:rsidR="00614309" w:rsidRPr="00641640">
        <w:rPr>
          <w:rFonts w:ascii="Times New Roman" w:hAnsi="Times New Roman" w:cs="Times New Roman"/>
          <w:noProof/>
          <w:sz w:val="24"/>
          <w:szCs w:val="24"/>
          <w:lang w:val="sq-AL"/>
        </w:rPr>
        <w:t>nalitik t</w:t>
      </w:r>
      <w:r w:rsidR="00064AC5" w:rsidRPr="00641640">
        <w:rPr>
          <w:rFonts w:ascii="Times New Roman" w:hAnsi="Times New Roman" w:cs="Times New Roman"/>
          <w:noProof/>
          <w:sz w:val="24"/>
          <w:szCs w:val="24"/>
          <w:lang w:val="sq-AL"/>
        </w:rPr>
        <w:t>ë</w:t>
      </w:r>
      <w:r w:rsidR="00614309" w:rsidRPr="00641640">
        <w:rPr>
          <w:rFonts w:ascii="Times New Roman" w:hAnsi="Times New Roman" w:cs="Times New Roman"/>
          <w:noProof/>
          <w:sz w:val="24"/>
          <w:szCs w:val="24"/>
          <w:lang w:val="sq-AL"/>
        </w:rPr>
        <w:t xml:space="preserve"> legjislacionit </w:t>
      </w:r>
      <w:r w:rsidR="003D6826" w:rsidRPr="00641640">
        <w:rPr>
          <w:rFonts w:ascii="Times New Roman" w:hAnsi="Times New Roman" w:cs="Times New Roman"/>
          <w:i/>
          <w:noProof/>
          <w:sz w:val="24"/>
          <w:szCs w:val="24"/>
          <w:lang w:val="sq-AL"/>
        </w:rPr>
        <w:t>(</w:t>
      </w:r>
      <w:r w:rsidR="00614309" w:rsidRPr="00641640">
        <w:rPr>
          <w:rFonts w:ascii="Times New Roman" w:hAnsi="Times New Roman" w:cs="Times New Roman"/>
          <w:i/>
          <w:noProof/>
          <w:sz w:val="24"/>
          <w:szCs w:val="24"/>
          <w:lang w:val="sq-AL"/>
        </w:rPr>
        <w:t>S</w:t>
      </w:r>
      <w:r w:rsidR="003D6826" w:rsidRPr="00641640">
        <w:rPr>
          <w:rFonts w:ascii="Times New Roman" w:hAnsi="Times New Roman" w:cs="Times New Roman"/>
          <w:i/>
          <w:noProof/>
          <w:sz w:val="24"/>
          <w:szCs w:val="24"/>
          <w:lang w:val="sq-AL"/>
        </w:rPr>
        <w:t>creening)</w:t>
      </w:r>
      <w:r w:rsidR="003D6826" w:rsidRPr="00641640">
        <w:rPr>
          <w:rFonts w:ascii="Times New Roman" w:hAnsi="Times New Roman" w:cs="Times New Roman"/>
          <w:noProof/>
          <w:sz w:val="24"/>
          <w:szCs w:val="24"/>
          <w:lang w:val="sq-AL"/>
        </w:rPr>
        <w:t xml:space="preserve"> për anëtarësimin</w:t>
      </w:r>
      <w:r w:rsidRPr="00641640">
        <w:rPr>
          <w:rFonts w:ascii="Times New Roman" w:hAnsi="Times New Roman" w:cs="Times New Roman"/>
          <w:noProof/>
          <w:sz w:val="24"/>
          <w:szCs w:val="24"/>
          <w:lang w:val="sq-AL"/>
        </w:rPr>
        <w:t xml:space="preserve"> </w:t>
      </w:r>
      <w:r w:rsidR="00614309" w:rsidRPr="00641640">
        <w:rPr>
          <w:rFonts w:ascii="Times New Roman" w:hAnsi="Times New Roman" w:cs="Times New Roman"/>
          <w:noProof/>
          <w:sz w:val="24"/>
          <w:szCs w:val="24"/>
          <w:lang w:val="sq-AL"/>
        </w:rPr>
        <w:t>e Shqip</w:t>
      </w:r>
      <w:r w:rsidR="00064AC5" w:rsidRPr="00641640">
        <w:rPr>
          <w:rFonts w:ascii="Times New Roman" w:hAnsi="Times New Roman" w:cs="Times New Roman"/>
          <w:noProof/>
          <w:sz w:val="24"/>
          <w:szCs w:val="24"/>
          <w:lang w:val="sq-AL"/>
        </w:rPr>
        <w:t>ë</w:t>
      </w:r>
      <w:r w:rsidR="00614309" w:rsidRPr="00641640">
        <w:rPr>
          <w:rFonts w:ascii="Times New Roman" w:hAnsi="Times New Roman" w:cs="Times New Roman"/>
          <w:noProof/>
          <w:sz w:val="24"/>
          <w:szCs w:val="24"/>
          <w:lang w:val="sq-AL"/>
        </w:rPr>
        <w:t>ris</w:t>
      </w:r>
      <w:r w:rsidR="00064AC5" w:rsidRPr="00641640">
        <w:rPr>
          <w:rFonts w:ascii="Times New Roman" w:hAnsi="Times New Roman" w:cs="Times New Roman"/>
          <w:noProof/>
          <w:sz w:val="24"/>
          <w:szCs w:val="24"/>
          <w:lang w:val="sq-AL"/>
        </w:rPr>
        <w:t>ë</w:t>
      </w:r>
      <w:r w:rsidR="00614309" w:rsidRPr="00641640">
        <w:rPr>
          <w:rFonts w:ascii="Times New Roman" w:hAnsi="Times New Roman" w:cs="Times New Roman"/>
          <w:noProof/>
          <w:sz w:val="24"/>
          <w:szCs w:val="24"/>
          <w:lang w:val="sq-AL"/>
        </w:rPr>
        <w:t xml:space="preserve"> </w:t>
      </w:r>
      <w:r w:rsidR="003D6826" w:rsidRPr="00641640">
        <w:rPr>
          <w:rFonts w:ascii="Times New Roman" w:hAnsi="Times New Roman" w:cs="Times New Roman"/>
          <w:noProof/>
          <w:sz w:val="24"/>
          <w:szCs w:val="24"/>
          <w:lang w:val="sq-AL"/>
        </w:rPr>
        <w:t>n</w:t>
      </w:r>
      <w:r w:rsidR="00064AC5" w:rsidRPr="00641640">
        <w:rPr>
          <w:rFonts w:ascii="Times New Roman" w:hAnsi="Times New Roman" w:cs="Times New Roman"/>
          <w:noProof/>
          <w:sz w:val="24"/>
          <w:szCs w:val="24"/>
          <w:lang w:val="sq-AL"/>
        </w:rPr>
        <w:t>ë</w:t>
      </w:r>
      <w:r w:rsidR="003D6826" w:rsidRPr="00641640">
        <w:rPr>
          <w:rFonts w:ascii="Times New Roman" w:hAnsi="Times New Roman" w:cs="Times New Roman"/>
          <w:noProof/>
          <w:sz w:val="24"/>
          <w:szCs w:val="24"/>
          <w:lang w:val="sq-AL"/>
        </w:rPr>
        <w:t xml:space="preserve"> BE. </w:t>
      </w:r>
      <w:r w:rsidR="00614309" w:rsidRPr="00641640">
        <w:rPr>
          <w:rFonts w:ascii="Times New Roman" w:hAnsi="Times New Roman" w:cs="Times New Roman"/>
          <w:noProof/>
          <w:sz w:val="24"/>
          <w:szCs w:val="24"/>
          <w:lang w:val="sq-AL"/>
        </w:rPr>
        <w:t>Ky dokument politikash shtet</w:t>
      </w:r>
      <w:r w:rsidR="00064AC5" w:rsidRPr="00641640">
        <w:rPr>
          <w:rFonts w:ascii="Times New Roman" w:hAnsi="Times New Roman" w:cs="Times New Roman"/>
          <w:noProof/>
          <w:sz w:val="24"/>
          <w:szCs w:val="24"/>
          <w:lang w:val="sq-AL"/>
        </w:rPr>
        <w:t>ë</w:t>
      </w:r>
      <w:r w:rsidR="00614309" w:rsidRPr="00641640">
        <w:rPr>
          <w:rFonts w:ascii="Times New Roman" w:hAnsi="Times New Roman" w:cs="Times New Roman"/>
          <w:noProof/>
          <w:sz w:val="24"/>
          <w:szCs w:val="24"/>
          <w:lang w:val="sq-AL"/>
        </w:rPr>
        <w:t xml:space="preserve">rore </w:t>
      </w:r>
      <w:r w:rsidRPr="00641640">
        <w:rPr>
          <w:rFonts w:ascii="Times New Roman" w:hAnsi="Times New Roman" w:cs="Times New Roman"/>
          <w:noProof/>
          <w:sz w:val="24"/>
          <w:szCs w:val="24"/>
          <w:lang w:val="sq-AL"/>
        </w:rPr>
        <w:t xml:space="preserve">mbështet </w:t>
      </w:r>
      <w:r w:rsidR="00614309" w:rsidRPr="00641640">
        <w:rPr>
          <w:rFonts w:ascii="Times New Roman" w:hAnsi="Times New Roman" w:cs="Times New Roman"/>
          <w:noProof/>
          <w:sz w:val="24"/>
          <w:szCs w:val="24"/>
          <w:lang w:val="sq-AL"/>
        </w:rPr>
        <w:t xml:space="preserve">avancimin e </w:t>
      </w:r>
      <w:r w:rsidRPr="00641640">
        <w:rPr>
          <w:rFonts w:ascii="Times New Roman" w:hAnsi="Times New Roman" w:cs="Times New Roman"/>
          <w:noProof/>
          <w:sz w:val="24"/>
          <w:szCs w:val="24"/>
          <w:lang w:val="sq-AL"/>
        </w:rPr>
        <w:t>reformë</w:t>
      </w:r>
      <w:r w:rsidR="00614309" w:rsidRPr="00641640">
        <w:rPr>
          <w:rFonts w:ascii="Times New Roman" w:hAnsi="Times New Roman" w:cs="Times New Roman"/>
          <w:noProof/>
          <w:sz w:val="24"/>
          <w:szCs w:val="24"/>
          <w:lang w:val="sq-AL"/>
        </w:rPr>
        <w:t>s</w:t>
      </w:r>
      <w:r w:rsidRPr="00641640">
        <w:rPr>
          <w:rFonts w:ascii="Times New Roman" w:hAnsi="Times New Roman" w:cs="Times New Roman"/>
          <w:noProof/>
          <w:sz w:val="24"/>
          <w:szCs w:val="24"/>
          <w:lang w:val="sq-AL"/>
        </w:rPr>
        <w:t xml:space="preserve"> në administratën publike</w:t>
      </w:r>
      <w:r w:rsidR="00D13F4C" w:rsidRPr="00641640">
        <w:rPr>
          <w:rFonts w:ascii="Times New Roman" w:hAnsi="Times New Roman" w:cs="Times New Roman"/>
          <w:noProof/>
          <w:sz w:val="24"/>
          <w:szCs w:val="24"/>
          <w:lang w:val="sq-AL"/>
        </w:rPr>
        <w:t xml:space="preserve"> p</w:t>
      </w:r>
      <w:r w:rsidR="00064AC5" w:rsidRPr="00641640">
        <w:rPr>
          <w:rFonts w:ascii="Times New Roman" w:hAnsi="Times New Roman" w:cs="Times New Roman"/>
          <w:noProof/>
          <w:sz w:val="24"/>
          <w:szCs w:val="24"/>
          <w:lang w:val="sq-AL"/>
        </w:rPr>
        <w:t>ë</w:t>
      </w:r>
      <w:r w:rsidR="00D13F4C" w:rsidRPr="00641640">
        <w:rPr>
          <w:rFonts w:ascii="Times New Roman" w:hAnsi="Times New Roman" w:cs="Times New Roman"/>
          <w:noProof/>
          <w:sz w:val="24"/>
          <w:szCs w:val="24"/>
          <w:lang w:val="sq-AL"/>
        </w:rPr>
        <w:t>rmes</w:t>
      </w:r>
      <w:r w:rsidRPr="00641640">
        <w:rPr>
          <w:rFonts w:ascii="Times New Roman" w:hAnsi="Times New Roman" w:cs="Times New Roman"/>
          <w:noProof/>
          <w:sz w:val="24"/>
          <w:szCs w:val="24"/>
          <w:lang w:val="sq-AL"/>
        </w:rPr>
        <w:t xml:space="preserve"> një plan</w:t>
      </w:r>
      <w:r w:rsidR="00D13F4C" w:rsidRPr="00641640">
        <w:rPr>
          <w:rFonts w:ascii="Times New Roman" w:hAnsi="Times New Roman" w:cs="Times New Roman"/>
          <w:noProof/>
          <w:sz w:val="24"/>
          <w:szCs w:val="24"/>
          <w:lang w:val="sq-AL"/>
        </w:rPr>
        <w:t>i</w:t>
      </w:r>
      <w:r w:rsidRPr="00641640">
        <w:rPr>
          <w:rFonts w:ascii="Times New Roman" w:hAnsi="Times New Roman" w:cs="Times New Roman"/>
          <w:noProof/>
          <w:sz w:val="24"/>
          <w:szCs w:val="24"/>
          <w:lang w:val="sq-AL"/>
        </w:rPr>
        <w:t xml:space="preserve"> </w:t>
      </w:r>
      <w:r w:rsidR="00614309" w:rsidRPr="00641640">
        <w:rPr>
          <w:rFonts w:ascii="Times New Roman" w:hAnsi="Times New Roman" w:cs="Times New Roman"/>
          <w:noProof/>
          <w:sz w:val="24"/>
          <w:szCs w:val="24"/>
          <w:lang w:val="sq-AL"/>
        </w:rPr>
        <w:t xml:space="preserve">konkret </w:t>
      </w:r>
      <w:r w:rsidRPr="00641640">
        <w:rPr>
          <w:rFonts w:ascii="Times New Roman" w:hAnsi="Times New Roman" w:cs="Times New Roman"/>
          <w:noProof/>
          <w:sz w:val="24"/>
          <w:szCs w:val="24"/>
          <w:lang w:val="sq-AL"/>
        </w:rPr>
        <w:t>masas</w:t>
      </w:r>
      <w:r w:rsidR="004B1FFF" w:rsidRPr="00641640">
        <w:rPr>
          <w:rFonts w:ascii="Times New Roman" w:hAnsi="Times New Roman" w:cs="Times New Roman"/>
          <w:noProof/>
          <w:sz w:val="24"/>
          <w:szCs w:val="24"/>
          <w:lang w:val="sq-AL"/>
        </w:rPr>
        <w:t>h</w:t>
      </w:r>
      <w:r w:rsidR="00614309" w:rsidRPr="00641640">
        <w:rPr>
          <w:rFonts w:ascii="Times New Roman" w:hAnsi="Times New Roman" w:cs="Times New Roman"/>
          <w:noProof/>
          <w:sz w:val="24"/>
          <w:szCs w:val="24"/>
          <w:lang w:val="sq-AL"/>
        </w:rPr>
        <w:t xml:space="preserve"> </w:t>
      </w:r>
      <w:r w:rsidR="00D13F4C"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D13F4C" w:rsidRPr="00641640">
        <w:rPr>
          <w:rFonts w:ascii="Times New Roman" w:hAnsi="Times New Roman" w:cs="Times New Roman"/>
          <w:noProof/>
          <w:sz w:val="24"/>
          <w:szCs w:val="24"/>
          <w:lang w:val="sq-AL"/>
        </w:rPr>
        <w:t xml:space="preserve"> qarta dhe </w:t>
      </w:r>
      <w:r w:rsidR="00614309" w:rsidRPr="00641640">
        <w:rPr>
          <w:rFonts w:ascii="Times New Roman" w:hAnsi="Times New Roman" w:cs="Times New Roman"/>
          <w:noProof/>
          <w:sz w:val="24"/>
          <w:szCs w:val="24"/>
          <w:lang w:val="sq-AL"/>
        </w:rPr>
        <w:t>me afate t</w:t>
      </w:r>
      <w:r w:rsidR="00064AC5" w:rsidRPr="00641640">
        <w:rPr>
          <w:rFonts w:ascii="Times New Roman" w:hAnsi="Times New Roman" w:cs="Times New Roman"/>
          <w:noProof/>
          <w:sz w:val="24"/>
          <w:szCs w:val="24"/>
          <w:lang w:val="sq-AL"/>
        </w:rPr>
        <w:t>ë</w:t>
      </w:r>
      <w:r w:rsidR="00614309" w:rsidRPr="00641640">
        <w:rPr>
          <w:rFonts w:ascii="Times New Roman" w:hAnsi="Times New Roman" w:cs="Times New Roman"/>
          <w:noProof/>
          <w:sz w:val="24"/>
          <w:szCs w:val="24"/>
          <w:lang w:val="sq-AL"/>
        </w:rPr>
        <w:t xml:space="preserve"> mir</w:t>
      </w:r>
      <w:r w:rsidR="00064AC5" w:rsidRPr="00641640">
        <w:rPr>
          <w:rFonts w:ascii="Times New Roman" w:hAnsi="Times New Roman" w:cs="Times New Roman"/>
          <w:noProof/>
          <w:sz w:val="24"/>
          <w:szCs w:val="24"/>
          <w:lang w:val="sq-AL"/>
        </w:rPr>
        <w:t>ë</w:t>
      </w:r>
      <w:r w:rsidR="00614309"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614309" w:rsidRPr="00641640">
        <w:rPr>
          <w:rFonts w:ascii="Times New Roman" w:hAnsi="Times New Roman" w:cs="Times New Roman"/>
          <w:noProof/>
          <w:sz w:val="24"/>
          <w:szCs w:val="24"/>
          <w:lang w:val="sq-AL"/>
        </w:rPr>
        <w:t>rcaktuara</w:t>
      </w:r>
      <w:r w:rsidRPr="00641640">
        <w:rPr>
          <w:rFonts w:ascii="Times New Roman" w:hAnsi="Times New Roman" w:cs="Times New Roman"/>
          <w:noProof/>
          <w:sz w:val="24"/>
          <w:szCs w:val="24"/>
          <w:lang w:val="sq-AL"/>
        </w:rPr>
        <w:t xml:space="preserve"> </w:t>
      </w:r>
      <w:r w:rsidR="00D13F4C"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D13F4C" w:rsidRPr="00641640">
        <w:rPr>
          <w:rFonts w:ascii="Times New Roman" w:hAnsi="Times New Roman" w:cs="Times New Roman"/>
          <w:noProof/>
          <w:sz w:val="24"/>
          <w:szCs w:val="24"/>
          <w:lang w:val="sq-AL"/>
        </w:rPr>
        <w:t xml:space="preserve">r realizim </w:t>
      </w:r>
      <w:r w:rsidRPr="00641640">
        <w:rPr>
          <w:rFonts w:ascii="Times New Roman" w:hAnsi="Times New Roman" w:cs="Times New Roman"/>
          <w:noProof/>
          <w:sz w:val="24"/>
          <w:szCs w:val="24"/>
          <w:lang w:val="sq-AL"/>
        </w:rPr>
        <w:t>për</w:t>
      </w:r>
      <w:r w:rsidR="00D13F4C" w:rsidRPr="00641640">
        <w:rPr>
          <w:rFonts w:ascii="Times New Roman" w:hAnsi="Times New Roman" w:cs="Times New Roman"/>
          <w:noProof/>
          <w:sz w:val="24"/>
          <w:szCs w:val="24"/>
          <w:lang w:val="sq-AL"/>
        </w:rPr>
        <w:t>gjat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periudhë</w:t>
      </w:r>
      <w:r w:rsidR="00D13F4C" w:rsidRPr="00641640">
        <w:rPr>
          <w:rFonts w:ascii="Times New Roman" w:hAnsi="Times New Roman" w:cs="Times New Roman"/>
          <w:noProof/>
          <w:sz w:val="24"/>
          <w:szCs w:val="24"/>
          <w:lang w:val="sq-AL"/>
        </w:rPr>
        <w:t>s</w:t>
      </w:r>
      <w:r w:rsidRPr="00641640">
        <w:rPr>
          <w:rFonts w:ascii="Times New Roman" w:hAnsi="Times New Roman" w:cs="Times New Roman"/>
          <w:noProof/>
          <w:sz w:val="24"/>
          <w:szCs w:val="24"/>
          <w:lang w:val="sq-AL"/>
        </w:rPr>
        <w:t xml:space="preserve"> 2023</w:t>
      </w:r>
      <w:r w:rsidR="002D647C"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2030</w:t>
      </w:r>
      <w:r w:rsidR="00D13F4C" w:rsidRPr="00641640">
        <w:rPr>
          <w:rFonts w:ascii="Times New Roman" w:hAnsi="Times New Roman" w:cs="Times New Roman"/>
          <w:noProof/>
          <w:sz w:val="24"/>
          <w:szCs w:val="24"/>
          <w:lang w:val="sq-AL"/>
        </w:rPr>
        <w:t>. N</w:t>
      </w:r>
      <w:r w:rsidR="004B1FFF" w:rsidRPr="00641640">
        <w:rPr>
          <w:rFonts w:ascii="Times New Roman" w:hAnsi="Times New Roman" w:cs="Times New Roman"/>
          <w:noProof/>
          <w:sz w:val="24"/>
          <w:szCs w:val="24"/>
          <w:lang w:val="sq-AL"/>
        </w:rPr>
        <w:t>ë k</w:t>
      </w:r>
      <w:r w:rsidR="00D13F4C" w:rsidRPr="00641640">
        <w:rPr>
          <w:rFonts w:ascii="Times New Roman" w:hAnsi="Times New Roman" w:cs="Times New Roman"/>
          <w:noProof/>
          <w:sz w:val="24"/>
          <w:szCs w:val="24"/>
          <w:lang w:val="sq-AL"/>
        </w:rPr>
        <w:t xml:space="preserve">ontekstin e </w:t>
      </w:r>
      <w:r w:rsidR="004B1FFF" w:rsidRPr="00641640">
        <w:rPr>
          <w:rFonts w:ascii="Times New Roman" w:hAnsi="Times New Roman" w:cs="Times New Roman"/>
          <w:noProof/>
          <w:sz w:val="24"/>
          <w:szCs w:val="24"/>
          <w:lang w:val="sq-AL"/>
        </w:rPr>
        <w:t>negociatave për anëtarësim në BE</w:t>
      </w:r>
      <w:r w:rsidR="00D13F4C" w:rsidRPr="00641640">
        <w:rPr>
          <w:rFonts w:ascii="Times New Roman" w:hAnsi="Times New Roman" w:cs="Times New Roman"/>
          <w:noProof/>
          <w:sz w:val="24"/>
          <w:szCs w:val="24"/>
          <w:lang w:val="sq-AL"/>
        </w:rPr>
        <w:t>, ky Udh</w:t>
      </w:r>
      <w:r w:rsidR="00064AC5" w:rsidRPr="00641640">
        <w:rPr>
          <w:rFonts w:ascii="Times New Roman" w:hAnsi="Times New Roman" w:cs="Times New Roman"/>
          <w:noProof/>
          <w:sz w:val="24"/>
          <w:szCs w:val="24"/>
          <w:lang w:val="sq-AL"/>
        </w:rPr>
        <w:t>ë</w:t>
      </w:r>
      <w:r w:rsidR="00D13F4C" w:rsidRPr="00641640">
        <w:rPr>
          <w:rFonts w:ascii="Times New Roman" w:hAnsi="Times New Roman" w:cs="Times New Roman"/>
          <w:noProof/>
          <w:sz w:val="24"/>
          <w:szCs w:val="24"/>
          <w:lang w:val="sq-AL"/>
        </w:rPr>
        <w:t>rr</w:t>
      </w:r>
      <w:r w:rsidR="00064AC5" w:rsidRPr="00641640">
        <w:rPr>
          <w:rFonts w:ascii="Times New Roman" w:hAnsi="Times New Roman" w:cs="Times New Roman"/>
          <w:noProof/>
          <w:sz w:val="24"/>
          <w:szCs w:val="24"/>
          <w:lang w:val="sq-AL"/>
        </w:rPr>
        <w:t>ë</w:t>
      </w:r>
      <w:r w:rsidR="00D13F4C" w:rsidRPr="00641640">
        <w:rPr>
          <w:rFonts w:ascii="Times New Roman" w:hAnsi="Times New Roman" w:cs="Times New Roman"/>
          <w:noProof/>
          <w:sz w:val="24"/>
          <w:szCs w:val="24"/>
          <w:lang w:val="sq-AL"/>
        </w:rPr>
        <w:t xml:space="preserve">fyes </w:t>
      </w:r>
      <w:r w:rsidR="00F7730B" w:rsidRPr="00641640">
        <w:rPr>
          <w:rFonts w:ascii="Times New Roman" w:hAnsi="Times New Roman" w:cs="Times New Roman"/>
          <w:noProof/>
          <w:sz w:val="24"/>
          <w:szCs w:val="24"/>
          <w:lang w:val="sq-AL"/>
        </w:rPr>
        <w:t>shërben</w:t>
      </w:r>
      <w:r w:rsidR="00516557" w:rsidRPr="00641640">
        <w:rPr>
          <w:rFonts w:ascii="Times New Roman" w:hAnsi="Times New Roman" w:cs="Times New Roman"/>
          <w:noProof/>
          <w:sz w:val="24"/>
          <w:szCs w:val="24"/>
          <w:lang w:val="sq-AL"/>
        </w:rPr>
        <w:t xml:space="preserve"> si </w:t>
      </w:r>
      <w:r w:rsidR="00767D72">
        <w:rPr>
          <w:rFonts w:ascii="Times New Roman" w:hAnsi="Times New Roman" w:cs="Times New Roman"/>
          <w:noProof/>
          <w:sz w:val="24"/>
          <w:szCs w:val="24"/>
          <w:lang w:val="sq-AL"/>
        </w:rPr>
        <w:t>p</w:t>
      </w:r>
      <w:r w:rsidR="00516557" w:rsidRPr="00641640">
        <w:rPr>
          <w:rFonts w:ascii="Times New Roman" w:hAnsi="Times New Roman" w:cs="Times New Roman"/>
          <w:noProof/>
          <w:sz w:val="24"/>
          <w:szCs w:val="24"/>
          <w:lang w:val="sq-AL"/>
        </w:rPr>
        <w:t>iket</w:t>
      </w:r>
      <w:r w:rsidR="00F7730B" w:rsidRPr="00641640">
        <w:rPr>
          <w:rFonts w:ascii="Times New Roman" w:hAnsi="Times New Roman" w:cs="Times New Roman"/>
          <w:noProof/>
          <w:sz w:val="24"/>
          <w:szCs w:val="24"/>
          <w:lang w:val="sq-AL"/>
        </w:rPr>
        <w:t>ë</w:t>
      </w:r>
      <w:r w:rsidR="00516557" w:rsidRPr="00641640">
        <w:rPr>
          <w:rFonts w:ascii="Times New Roman" w:hAnsi="Times New Roman" w:cs="Times New Roman"/>
          <w:noProof/>
          <w:sz w:val="24"/>
          <w:szCs w:val="24"/>
          <w:lang w:val="sq-AL"/>
        </w:rPr>
        <w:t xml:space="preserve"> </w:t>
      </w:r>
      <w:r w:rsidR="004B1FFF" w:rsidRPr="00641640">
        <w:rPr>
          <w:rFonts w:ascii="Times New Roman" w:hAnsi="Times New Roman" w:cs="Times New Roman"/>
          <w:noProof/>
          <w:sz w:val="24"/>
          <w:szCs w:val="24"/>
          <w:lang w:val="sq-AL"/>
        </w:rPr>
        <w:t>p</w:t>
      </w:r>
      <w:r w:rsidR="007F00FB" w:rsidRPr="00641640">
        <w:rPr>
          <w:rFonts w:ascii="Times New Roman" w:hAnsi="Times New Roman" w:cs="Times New Roman"/>
          <w:noProof/>
          <w:sz w:val="24"/>
          <w:szCs w:val="24"/>
          <w:lang w:val="sq-AL"/>
        </w:rPr>
        <w:t>ë</w:t>
      </w:r>
      <w:r w:rsidR="004B1FFF" w:rsidRPr="00641640">
        <w:rPr>
          <w:rFonts w:ascii="Times New Roman" w:hAnsi="Times New Roman" w:cs="Times New Roman"/>
          <w:noProof/>
          <w:sz w:val="24"/>
          <w:szCs w:val="24"/>
          <w:lang w:val="sq-AL"/>
        </w:rPr>
        <w:t>r hapjen e</w:t>
      </w:r>
      <w:r w:rsidR="00516557" w:rsidRPr="00641640">
        <w:rPr>
          <w:rFonts w:ascii="Times New Roman" w:hAnsi="Times New Roman" w:cs="Times New Roman"/>
          <w:noProof/>
          <w:sz w:val="24"/>
          <w:szCs w:val="24"/>
          <w:lang w:val="sq-AL"/>
        </w:rPr>
        <w:t xml:space="preserve"> </w:t>
      </w:r>
      <w:r w:rsidR="00D13F4C" w:rsidRPr="00641640">
        <w:rPr>
          <w:rFonts w:ascii="Times New Roman" w:hAnsi="Times New Roman" w:cs="Times New Roman"/>
          <w:noProof/>
          <w:sz w:val="24"/>
          <w:szCs w:val="24"/>
          <w:lang w:val="sq-AL"/>
        </w:rPr>
        <w:t>negociatave p</w:t>
      </w:r>
      <w:r w:rsidR="00064AC5" w:rsidRPr="00641640">
        <w:rPr>
          <w:rFonts w:ascii="Times New Roman" w:hAnsi="Times New Roman" w:cs="Times New Roman"/>
          <w:noProof/>
          <w:sz w:val="24"/>
          <w:szCs w:val="24"/>
          <w:lang w:val="sq-AL"/>
        </w:rPr>
        <w:t>ë</w:t>
      </w:r>
      <w:r w:rsidR="00D13F4C" w:rsidRPr="00641640">
        <w:rPr>
          <w:rFonts w:ascii="Times New Roman" w:hAnsi="Times New Roman" w:cs="Times New Roman"/>
          <w:noProof/>
          <w:sz w:val="24"/>
          <w:szCs w:val="24"/>
          <w:lang w:val="sq-AL"/>
        </w:rPr>
        <w:t>r Grup</w:t>
      </w:r>
      <w:r w:rsidR="002D647C" w:rsidRPr="00641640">
        <w:rPr>
          <w:rFonts w:ascii="Times New Roman" w:hAnsi="Times New Roman" w:cs="Times New Roman"/>
          <w:noProof/>
          <w:sz w:val="24"/>
          <w:szCs w:val="24"/>
          <w:lang w:val="sq-AL"/>
        </w:rPr>
        <w:t>k</w:t>
      </w:r>
      <w:r w:rsidR="00D13F4C" w:rsidRPr="00641640">
        <w:rPr>
          <w:rFonts w:ascii="Times New Roman" w:hAnsi="Times New Roman" w:cs="Times New Roman"/>
          <w:noProof/>
          <w:sz w:val="24"/>
          <w:szCs w:val="24"/>
          <w:lang w:val="sq-AL"/>
        </w:rPr>
        <w:t xml:space="preserve">apitullin e </w:t>
      </w:r>
      <w:r w:rsidR="00767D72">
        <w:rPr>
          <w:rFonts w:ascii="Times New Roman" w:hAnsi="Times New Roman" w:cs="Times New Roman"/>
          <w:noProof/>
          <w:sz w:val="24"/>
          <w:szCs w:val="24"/>
          <w:lang w:val="sq-AL"/>
        </w:rPr>
        <w:t>I-</w:t>
      </w:r>
      <w:r w:rsidR="00516557" w:rsidRPr="00641640">
        <w:rPr>
          <w:rFonts w:ascii="Times New Roman" w:hAnsi="Times New Roman" w:cs="Times New Roman"/>
          <w:noProof/>
          <w:sz w:val="24"/>
          <w:szCs w:val="24"/>
          <w:lang w:val="sq-AL"/>
        </w:rPr>
        <w:t>rë “Themeloret”</w:t>
      </w:r>
      <w:r w:rsidRPr="00641640">
        <w:rPr>
          <w:rFonts w:ascii="Times New Roman" w:hAnsi="Times New Roman" w:cs="Times New Roman"/>
          <w:noProof/>
          <w:sz w:val="24"/>
          <w:szCs w:val="24"/>
          <w:lang w:val="sq-AL"/>
        </w:rPr>
        <w:t>. </w:t>
      </w:r>
    </w:p>
    <w:p w14:paraId="39AC6786" w14:textId="53C732CD" w:rsidR="00D13F4C" w:rsidRPr="00641640" w:rsidRDefault="00FD1BAC"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Masat </w:t>
      </w:r>
      <w:r w:rsidR="00D13F4C" w:rsidRPr="00641640">
        <w:rPr>
          <w:rFonts w:ascii="Times New Roman" w:hAnsi="Times New Roman" w:cs="Times New Roman"/>
          <w:noProof/>
          <w:sz w:val="24"/>
          <w:szCs w:val="24"/>
          <w:lang w:val="sq-AL"/>
        </w:rPr>
        <w:t>e p</w:t>
      </w:r>
      <w:r w:rsidR="00064AC5" w:rsidRPr="00641640">
        <w:rPr>
          <w:rFonts w:ascii="Times New Roman" w:hAnsi="Times New Roman" w:cs="Times New Roman"/>
          <w:noProof/>
          <w:sz w:val="24"/>
          <w:szCs w:val="24"/>
          <w:lang w:val="sq-AL"/>
        </w:rPr>
        <w:t>ë</w:t>
      </w:r>
      <w:r w:rsidR="00D13F4C" w:rsidRPr="00641640">
        <w:rPr>
          <w:rFonts w:ascii="Times New Roman" w:hAnsi="Times New Roman" w:cs="Times New Roman"/>
          <w:noProof/>
          <w:sz w:val="24"/>
          <w:szCs w:val="24"/>
          <w:lang w:val="sq-AL"/>
        </w:rPr>
        <w:t xml:space="preserve">rcaktuara </w:t>
      </w:r>
      <w:r w:rsidR="00332711" w:rsidRPr="00641640">
        <w:rPr>
          <w:rFonts w:ascii="Times New Roman" w:hAnsi="Times New Roman" w:cs="Times New Roman"/>
          <w:noProof/>
          <w:sz w:val="24"/>
          <w:szCs w:val="24"/>
          <w:lang w:val="sq-AL"/>
        </w:rPr>
        <w:t xml:space="preserve">në këtë dokument </w:t>
      </w:r>
      <w:r w:rsidRPr="00641640">
        <w:rPr>
          <w:rFonts w:ascii="Times New Roman" w:hAnsi="Times New Roman" w:cs="Times New Roman"/>
          <w:noProof/>
          <w:sz w:val="24"/>
          <w:szCs w:val="24"/>
          <w:lang w:val="sq-AL"/>
        </w:rPr>
        <w:t>organizohen në 5 shtylla</w:t>
      </w:r>
      <w:r w:rsidR="00D13F4C" w:rsidRPr="00641640">
        <w:rPr>
          <w:rFonts w:ascii="Times New Roman" w:hAnsi="Times New Roman" w:cs="Times New Roman"/>
          <w:noProof/>
          <w:sz w:val="24"/>
          <w:szCs w:val="24"/>
          <w:lang w:val="sq-AL"/>
        </w:rPr>
        <w:t xml:space="preserve"> kryesore</w:t>
      </w:r>
      <w:r w:rsidRPr="00641640">
        <w:rPr>
          <w:rFonts w:ascii="Times New Roman" w:hAnsi="Times New Roman" w:cs="Times New Roman"/>
          <w:noProof/>
          <w:sz w:val="24"/>
          <w:szCs w:val="24"/>
          <w:lang w:val="sq-AL"/>
        </w:rPr>
        <w:t xml:space="preserve">, bazuar në parimet e Bashkimit Evropian mbi </w:t>
      </w:r>
      <w:r w:rsidR="00D13F4C" w:rsidRPr="00641640">
        <w:rPr>
          <w:rFonts w:ascii="Times New Roman" w:hAnsi="Times New Roman" w:cs="Times New Roman"/>
          <w:noProof/>
          <w:sz w:val="24"/>
          <w:szCs w:val="24"/>
          <w:lang w:val="sq-AL"/>
        </w:rPr>
        <w:t>mir</w:t>
      </w:r>
      <w:r w:rsidR="00064AC5" w:rsidRPr="00641640">
        <w:rPr>
          <w:rFonts w:ascii="Times New Roman" w:hAnsi="Times New Roman" w:cs="Times New Roman"/>
          <w:noProof/>
          <w:sz w:val="24"/>
          <w:szCs w:val="24"/>
          <w:lang w:val="sq-AL"/>
        </w:rPr>
        <w:t>ë</w:t>
      </w:r>
      <w:r w:rsidR="00D13F4C" w:rsidRPr="00641640">
        <w:rPr>
          <w:rFonts w:ascii="Times New Roman" w:hAnsi="Times New Roman" w:cs="Times New Roman"/>
          <w:noProof/>
          <w:sz w:val="24"/>
          <w:szCs w:val="24"/>
          <w:lang w:val="sq-AL"/>
        </w:rPr>
        <w:t xml:space="preserve">funksionimin e </w:t>
      </w:r>
      <w:r w:rsidRPr="00641640">
        <w:rPr>
          <w:rFonts w:ascii="Times New Roman" w:hAnsi="Times New Roman" w:cs="Times New Roman"/>
          <w:noProof/>
          <w:sz w:val="24"/>
          <w:szCs w:val="24"/>
          <w:lang w:val="sq-AL"/>
        </w:rPr>
        <w:t>administratë</w:t>
      </w:r>
      <w:r w:rsidR="00D13F4C" w:rsidRPr="00641640">
        <w:rPr>
          <w:rFonts w:ascii="Times New Roman" w:hAnsi="Times New Roman" w:cs="Times New Roman"/>
          <w:noProof/>
          <w:sz w:val="24"/>
          <w:szCs w:val="24"/>
          <w:lang w:val="sq-AL"/>
        </w:rPr>
        <w:t>s</w:t>
      </w:r>
      <w:r w:rsidRPr="00641640">
        <w:rPr>
          <w:rFonts w:ascii="Times New Roman" w:hAnsi="Times New Roman" w:cs="Times New Roman"/>
          <w:noProof/>
          <w:sz w:val="24"/>
          <w:szCs w:val="24"/>
          <w:lang w:val="sq-AL"/>
        </w:rPr>
        <w:t xml:space="preserve"> publike:</w:t>
      </w:r>
      <w:r w:rsidR="00B815A5" w:rsidRPr="00641640">
        <w:rPr>
          <w:rFonts w:ascii="Times New Roman" w:hAnsi="Times New Roman" w:cs="Times New Roman"/>
          <w:noProof/>
          <w:sz w:val="24"/>
          <w:szCs w:val="24"/>
          <w:lang w:val="sq-AL"/>
        </w:rPr>
        <w:t xml:space="preserve"> </w:t>
      </w:r>
    </w:p>
    <w:p w14:paraId="0A5EC9E3" w14:textId="684C6EF2" w:rsidR="00D13F4C" w:rsidRPr="00641640" w:rsidRDefault="00966B03" w:rsidP="003A395D">
      <w:pPr>
        <w:spacing w:after="0" w:line="276" w:lineRule="auto"/>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 xml:space="preserve"> </w:t>
      </w:r>
      <w:r w:rsidR="00D13F4C" w:rsidRPr="00641640">
        <w:rPr>
          <w:rFonts w:ascii="Times New Roman" w:hAnsi="Times New Roman" w:cs="Times New Roman"/>
          <w:noProof/>
          <w:sz w:val="24"/>
          <w:szCs w:val="24"/>
          <w:lang w:val="sq-AL"/>
        </w:rPr>
        <w:t>(</w:t>
      </w:r>
      <w:r w:rsidR="00B815A5" w:rsidRPr="00641640">
        <w:rPr>
          <w:rFonts w:ascii="Times New Roman" w:hAnsi="Times New Roman" w:cs="Times New Roman"/>
          <w:noProof/>
          <w:sz w:val="24"/>
          <w:szCs w:val="24"/>
          <w:lang w:val="sq-AL"/>
        </w:rPr>
        <w:t>1</w:t>
      </w:r>
      <w:r w:rsidR="00D13F4C" w:rsidRPr="00641640">
        <w:rPr>
          <w:rFonts w:ascii="Times New Roman" w:hAnsi="Times New Roman" w:cs="Times New Roman"/>
          <w:noProof/>
          <w:sz w:val="24"/>
          <w:szCs w:val="24"/>
          <w:lang w:val="sq-AL"/>
        </w:rPr>
        <w:t>)</w:t>
      </w:r>
      <w:r w:rsidR="00B815A5" w:rsidRPr="00641640">
        <w:rPr>
          <w:rFonts w:ascii="Times New Roman" w:hAnsi="Times New Roman" w:cs="Times New Roman"/>
          <w:noProof/>
          <w:sz w:val="24"/>
          <w:szCs w:val="24"/>
          <w:lang w:val="sq-AL"/>
        </w:rPr>
        <w:t xml:space="preserve"> </w:t>
      </w:r>
      <w:r w:rsidR="00FD1BAC" w:rsidRPr="00641640">
        <w:rPr>
          <w:rFonts w:ascii="Times New Roman" w:hAnsi="Times New Roman" w:cs="Times New Roman"/>
          <w:noProof/>
          <w:sz w:val="24"/>
          <w:szCs w:val="24"/>
          <w:lang w:val="sq-AL"/>
        </w:rPr>
        <w:t>Zhvillimi dhe koordinimi i politikave;</w:t>
      </w:r>
      <w:r w:rsidR="00B815A5" w:rsidRPr="00641640">
        <w:rPr>
          <w:rFonts w:ascii="Times New Roman" w:hAnsi="Times New Roman" w:cs="Times New Roman"/>
          <w:noProof/>
          <w:sz w:val="24"/>
          <w:szCs w:val="24"/>
          <w:lang w:val="sq-AL"/>
        </w:rPr>
        <w:t xml:space="preserve"> </w:t>
      </w:r>
    </w:p>
    <w:p w14:paraId="32E7FBAA" w14:textId="2AF4B45D" w:rsidR="00D13F4C" w:rsidRPr="00641640" w:rsidRDefault="00966B03" w:rsidP="003A395D">
      <w:pPr>
        <w:spacing w:after="0" w:line="276" w:lineRule="auto"/>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 xml:space="preserve"> </w:t>
      </w:r>
      <w:r w:rsidR="00D13F4C" w:rsidRPr="00641640">
        <w:rPr>
          <w:rFonts w:ascii="Times New Roman" w:hAnsi="Times New Roman" w:cs="Times New Roman"/>
          <w:noProof/>
          <w:sz w:val="24"/>
          <w:szCs w:val="24"/>
          <w:lang w:val="sq-AL"/>
        </w:rPr>
        <w:t>(</w:t>
      </w:r>
      <w:r w:rsidR="00B815A5" w:rsidRPr="00641640">
        <w:rPr>
          <w:rFonts w:ascii="Times New Roman" w:hAnsi="Times New Roman" w:cs="Times New Roman"/>
          <w:noProof/>
          <w:sz w:val="24"/>
          <w:szCs w:val="24"/>
          <w:lang w:val="sq-AL"/>
        </w:rPr>
        <w:t>2</w:t>
      </w:r>
      <w:r w:rsidR="00D13F4C" w:rsidRPr="00641640">
        <w:rPr>
          <w:rFonts w:ascii="Times New Roman" w:hAnsi="Times New Roman" w:cs="Times New Roman"/>
          <w:noProof/>
          <w:sz w:val="24"/>
          <w:szCs w:val="24"/>
          <w:lang w:val="sq-AL"/>
        </w:rPr>
        <w:t>)</w:t>
      </w:r>
      <w:r w:rsidR="00B815A5" w:rsidRPr="00641640">
        <w:rPr>
          <w:rFonts w:ascii="Times New Roman" w:hAnsi="Times New Roman" w:cs="Times New Roman"/>
          <w:noProof/>
          <w:sz w:val="24"/>
          <w:szCs w:val="24"/>
          <w:lang w:val="sq-AL"/>
        </w:rPr>
        <w:t xml:space="preserve"> </w:t>
      </w:r>
      <w:r w:rsidR="00FD1BAC" w:rsidRPr="00641640">
        <w:rPr>
          <w:rFonts w:ascii="Times New Roman" w:hAnsi="Times New Roman" w:cs="Times New Roman"/>
          <w:noProof/>
          <w:sz w:val="24"/>
          <w:szCs w:val="24"/>
          <w:lang w:val="sq-AL"/>
        </w:rPr>
        <w:t>Shërbimi civil dhe menaxhimi i burimeve njerëzore;</w:t>
      </w:r>
      <w:r w:rsidR="00B815A5" w:rsidRPr="00641640">
        <w:rPr>
          <w:rFonts w:ascii="Times New Roman" w:hAnsi="Times New Roman" w:cs="Times New Roman"/>
          <w:noProof/>
          <w:sz w:val="24"/>
          <w:szCs w:val="24"/>
          <w:lang w:val="sq-AL"/>
        </w:rPr>
        <w:t xml:space="preserve"> </w:t>
      </w:r>
    </w:p>
    <w:p w14:paraId="141C01FA" w14:textId="18F83020" w:rsidR="00D13F4C" w:rsidRPr="00641640" w:rsidRDefault="00966B03" w:rsidP="003A395D">
      <w:pPr>
        <w:spacing w:after="0" w:line="276" w:lineRule="auto"/>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 xml:space="preserve"> </w:t>
      </w:r>
      <w:r w:rsidR="00D13F4C" w:rsidRPr="00641640">
        <w:rPr>
          <w:rFonts w:ascii="Times New Roman" w:hAnsi="Times New Roman" w:cs="Times New Roman"/>
          <w:noProof/>
          <w:sz w:val="24"/>
          <w:szCs w:val="24"/>
          <w:lang w:val="sq-AL"/>
        </w:rPr>
        <w:t>(</w:t>
      </w:r>
      <w:r w:rsidR="00B815A5" w:rsidRPr="00641640">
        <w:rPr>
          <w:rFonts w:ascii="Times New Roman" w:hAnsi="Times New Roman" w:cs="Times New Roman"/>
          <w:noProof/>
          <w:sz w:val="24"/>
          <w:szCs w:val="24"/>
          <w:lang w:val="sq-AL"/>
        </w:rPr>
        <w:t>3</w:t>
      </w:r>
      <w:r w:rsidR="00D13F4C" w:rsidRPr="00641640">
        <w:rPr>
          <w:rFonts w:ascii="Times New Roman" w:hAnsi="Times New Roman" w:cs="Times New Roman"/>
          <w:noProof/>
          <w:sz w:val="24"/>
          <w:szCs w:val="24"/>
          <w:lang w:val="sq-AL"/>
        </w:rPr>
        <w:t>)</w:t>
      </w:r>
      <w:r w:rsidR="00B815A5" w:rsidRPr="00641640">
        <w:rPr>
          <w:rFonts w:ascii="Times New Roman" w:hAnsi="Times New Roman" w:cs="Times New Roman"/>
          <w:noProof/>
          <w:sz w:val="24"/>
          <w:szCs w:val="24"/>
          <w:lang w:val="sq-AL"/>
        </w:rPr>
        <w:t xml:space="preserve"> </w:t>
      </w:r>
      <w:r w:rsidR="00FD1BAC" w:rsidRPr="00641640">
        <w:rPr>
          <w:rFonts w:ascii="Times New Roman" w:hAnsi="Times New Roman" w:cs="Times New Roman"/>
          <w:noProof/>
          <w:sz w:val="24"/>
          <w:szCs w:val="24"/>
          <w:lang w:val="sq-AL"/>
        </w:rPr>
        <w:t>Organizimi, llogaridhënia dhe transparenca;</w:t>
      </w:r>
      <w:r w:rsidR="00B815A5" w:rsidRPr="00641640">
        <w:rPr>
          <w:rFonts w:ascii="Times New Roman" w:hAnsi="Times New Roman" w:cs="Times New Roman"/>
          <w:noProof/>
          <w:sz w:val="24"/>
          <w:szCs w:val="24"/>
          <w:lang w:val="sq-AL"/>
        </w:rPr>
        <w:t xml:space="preserve"> </w:t>
      </w:r>
    </w:p>
    <w:p w14:paraId="1B7F60F6" w14:textId="2F6E2BCD" w:rsidR="00D13F4C" w:rsidRPr="00641640" w:rsidRDefault="00966B03" w:rsidP="003A395D">
      <w:pPr>
        <w:spacing w:after="0" w:line="276" w:lineRule="auto"/>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lastRenderedPageBreak/>
        <w:t xml:space="preserve"> </w:t>
      </w:r>
      <w:r w:rsidR="00D13F4C" w:rsidRPr="00641640">
        <w:rPr>
          <w:rFonts w:ascii="Times New Roman" w:hAnsi="Times New Roman" w:cs="Times New Roman"/>
          <w:noProof/>
          <w:sz w:val="24"/>
          <w:szCs w:val="24"/>
          <w:lang w:val="sq-AL"/>
        </w:rPr>
        <w:t>(</w:t>
      </w:r>
      <w:r w:rsidR="00B815A5" w:rsidRPr="00641640">
        <w:rPr>
          <w:rFonts w:ascii="Times New Roman" w:hAnsi="Times New Roman" w:cs="Times New Roman"/>
          <w:noProof/>
          <w:sz w:val="24"/>
          <w:szCs w:val="24"/>
          <w:lang w:val="sq-AL"/>
        </w:rPr>
        <w:t>4</w:t>
      </w:r>
      <w:r w:rsidR="00D13F4C" w:rsidRPr="00641640">
        <w:rPr>
          <w:rFonts w:ascii="Times New Roman" w:hAnsi="Times New Roman" w:cs="Times New Roman"/>
          <w:noProof/>
          <w:sz w:val="24"/>
          <w:szCs w:val="24"/>
          <w:lang w:val="sq-AL"/>
        </w:rPr>
        <w:t>)</w:t>
      </w:r>
      <w:r w:rsidR="00B815A5" w:rsidRPr="00641640">
        <w:rPr>
          <w:rFonts w:ascii="Times New Roman" w:hAnsi="Times New Roman" w:cs="Times New Roman"/>
          <w:noProof/>
          <w:sz w:val="24"/>
          <w:szCs w:val="24"/>
          <w:lang w:val="sq-AL"/>
        </w:rPr>
        <w:t xml:space="preserve"> </w:t>
      </w:r>
      <w:r w:rsidR="00FD1BAC" w:rsidRPr="00641640">
        <w:rPr>
          <w:rFonts w:ascii="Times New Roman" w:hAnsi="Times New Roman" w:cs="Times New Roman"/>
          <w:noProof/>
          <w:sz w:val="24"/>
          <w:szCs w:val="24"/>
          <w:lang w:val="sq-AL"/>
        </w:rPr>
        <w:t>Ofrimi i shërbimeve;</w:t>
      </w:r>
      <w:r w:rsidR="00B815A5" w:rsidRPr="00641640">
        <w:rPr>
          <w:rFonts w:ascii="Times New Roman" w:hAnsi="Times New Roman" w:cs="Times New Roman"/>
          <w:noProof/>
          <w:sz w:val="24"/>
          <w:szCs w:val="24"/>
          <w:lang w:val="sq-AL"/>
        </w:rPr>
        <w:t xml:space="preserve"> </w:t>
      </w:r>
    </w:p>
    <w:p w14:paraId="6FFB0095" w14:textId="164E247A" w:rsidR="00D13F4C" w:rsidRPr="00641640" w:rsidRDefault="00966B03" w:rsidP="003A395D">
      <w:pPr>
        <w:spacing w:after="0" w:line="276" w:lineRule="auto"/>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 xml:space="preserve"> </w:t>
      </w:r>
      <w:r w:rsidR="00D13F4C" w:rsidRPr="00641640">
        <w:rPr>
          <w:rFonts w:ascii="Times New Roman" w:hAnsi="Times New Roman" w:cs="Times New Roman"/>
          <w:noProof/>
          <w:sz w:val="24"/>
          <w:szCs w:val="24"/>
          <w:lang w:val="sq-AL"/>
        </w:rPr>
        <w:t>(</w:t>
      </w:r>
      <w:r w:rsidR="00B815A5" w:rsidRPr="00641640">
        <w:rPr>
          <w:rFonts w:ascii="Times New Roman" w:hAnsi="Times New Roman" w:cs="Times New Roman"/>
          <w:noProof/>
          <w:sz w:val="24"/>
          <w:szCs w:val="24"/>
          <w:lang w:val="sq-AL"/>
        </w:rPr>
        <w:t>5</w:t>
      </w:r>
      <w:r w:rsidR="00D13F4C" w:rsidRPr="00641640">
        <w:rPr>
          <w:rFonts w:ascii="Times New Roman" w:hAnsi="Times New Roman" w:cs="Times New Roman"/>
          <w:noProof/>
          <w:sz w:val="24"/>
          <w:szCs w:val="24"/>
          <w:lang w:val="sq-AL"/>
        </w:rPr>
        <w:t>)</w:t>
      </w:r>
      <w:r w:rsidR="00B815A5" w:rsidRPr="00641640">
        <w:rPr>
          <w:rFonts w:ascii="Times New Roman" w:hAnsi="Times New Roman" w:cs="Times New Roman"/>
          <w:noProof/>
          <w:sz w:val="24"/>
          <w:szCs w:val="24"/>
          <w:lang w:val="sq-AL"/>
        </w:rPr>
        <w:t xml:space="preserve"> </w:t>
      </w:r>
      <w:r w:rsidR="00FD1BAC" w:rsidRPr="00641640">
        <w:rPr>
          <w:rFonts w:ascii="Times New Roman" w:hAnsi="Times New Roman" w:cs="Times New Roman"/>
          <w:noProof/>
          <w:sz w:val="24"/>
          <w:szCs w:val="24"/>
          <w:lang w:val="sq-AL"/>
        </w:rPr>
        <w:t>Menaxhimi i financave publike.</w:t>
      </w:r>
      <w:r w:rsidR="00B815A5" w:rsidRPr="00641640">
        <w:rPr>
          <w:rFonts w:ascii="Times New Roman" w:hAnsi="Times New Roman" w:cs="Times New Roman"/>
          <w:noProof/>
          <w:sz w:val="24"/>
          <w:szCs w:val="24"/>
          <w:lang w:val="sq-AL"/>
        </w:rPr>
        <w:t xml:space="preserve"> </w:t>
      </w:r>
    </w:p>
    <w:p w14:paraId="7015BE63" w14:textId="3819A7ED" w:rsidR="00FD1BAC" w:rsidRPr="00641640" w:rsidRDefault="00D13F4C" w:rsidP="003A395D">
      <w:pPr>
        <w:spacing w:before="240"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Secila prej shtyllave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m</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sip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rme 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rmban </w:t>
      </w:r>
      <w:r w:rsidR="00FD1BAC" w:rsidRPr="00641640">
        <w:rPr>
          <w:rFonts w:ascii="Times New Roman" w:hAnsi="Times New Roman" w:cs="Times New Roman"/>
          <w:noProof/>
          <w:sz w:val="24"/>
          <w:szCs w:val="24"/>
          <w:lang w:val="sq-AL"/>
        </w:rPr>
        <w:t xml:space="preserve">masa </w:t>
      </w:r>
      <w:r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dedikuara q</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adresojn</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00FD1BAC" w:rsidRPr="00641640">
        <w:rPr>
          <w:rFonts w:ascii="Times New Roman" w:hAnsi="Times New Roman" w:cs="Times New Roman"/>
          <w:noProof/>
          <w:sz w:val="24"/>
          <w:szCs w:val="24"/>
          <w:lang w:val="sq-AL"/>
        </w:rPr>
        <w:t>(i) fusha</w:t>
      </w:r>
      <w:r w:rsidRPr="00641640">
        <w:rPr>
          <w:rFonts w:ascii="Times New Roman" w:hAnsi="Times New Roman" w:cs="Times New Roman"/>
          <w:noProof/>
          <w:sz w:val="24"/>
          <w:szCs w:val="24"/>
          <w:lang w:val="sq-AL"/>
        </w:rPr>
        <w:t>t</w:t>
      </w:r>
      <w:r w:rsidR="00FD1BAC" w:rsidRPr="00641640">
        <w:rPr>
          <w:rFonts w:ascii="Times New Roman" w:hAnsi="Times New Roman" w:cs="Times New Roman"/>
          <w:noProof/>
          <w:sz w:val="24"/>
          <w:szCs w:val="24"/>
          <w:lang w:val="sq-AL"/>
        </w:rPr>
        <w:t xml:space="preserve"> dhe nënfusha</w:t>
      </w:r>
      <w:r w:rsidRPr="00641640">
        <w:rPr>
          <w:rFonts w:ascii="Times New Roman" w:hAnsi="Times New Roman" w:cs="Times New Roman"/>
          <w:noProof/>
          <w:sz w:val="24"/>
          <w:szCs w:val="24"/>
          <w:lang w:val="sq-AL"/>
        </w:rPr>
        <w:t>t</w:t>
      </w:r>
      <w:r w:rsidR="00FD1BAC" w:rsidRPr="00641640">
        <w:rPr>
          <w:rFonts w:ascii="Times New Roman" w:hAnsi="Times New Roman" w:cs="Times New Roman"/>
          <w:noProof/>
          <w:sz w:val="24"/>
          <w:szCs w:val="24"/>
          <w:lang w:val="sq-AL"/>
        </w:rPr>
        <w:t>/parime</w:t>
      </w:r>
      <w:r w:rsidRPr="00641640">
        <w:rPr>
          <w:rFonts w:ascii="Times New Roman" w:hAnsi="Times New Roman" w:cs="Times New Roman"/>
          <w:noProof/>
          <w:sz w:val="24"/>
          <w:szCs w:val="24"/>
          <w:lang w:val="sq-AL"/>
        </w:rPr>
        <w:t>t 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rkat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se</w:t>
      </w:r>
      <w:r w:rsidR="00FD1BAC" w:rsidRPr="00641640">
        <w:rPr>
          <w:rFonts w:ascii="Times New Roman" w:hAnsi="Times New Roman" w:cs="Times New Roman"/>
          <w:noProof/>
          <w:sz w:val="24"/>
          <w:szCs w:val="24"/>
          <w:lang w:val="sq-AL"/>
        </w:rPr>
        <w:t>; (ii) k</w:t>
      </w:r>
      <w:r w:rsidR="002D647C" w:rsidRPr="00641640">
        <w:rPr>
          <w:rFonts w:ascii="Times New Roman" w:hAnsi="Times New Roman" w:cs="Times New Roman"/>
          <w:noProof/>
          <w:sz w:val="24"/>
          <w:szCs w:val="24"/>
          <w:lang w:val="sq-AL"/>
        </w:rPr>
        <w:t>ornizën</w:t>
      </w:r>
      <w:r w:rsidR="00FD1BAC" w:rsidRPr="00641640">
        <w:rPr>
          <w:rFonts w:ascii="Times New Roman" w:hAnsi="Times New Roman" w:cs="Times New Roman"/>
          <w:noProof/>
          <w:sz w:val="24"/>
          <w:szCs w:val="24"/>
          <w:lang w:val="sq-AL"/>
        </w:rPr>
        <w:t xml:space="preserve"> strategjik</w:t>
      </w:r>
      <w:r w:rsidR="002D647C"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 </w:t>
      </w:r>
      <w:r w:rsidR="00FD1BAC" w:rsidRPr="00641640">
        <w:rPr>
          <w:rFonts w:ascii="Times New Roman" w:hAnsi="Times New Roman" w:cs="Times New Roman"/>
          <w:noProof/>
          <w:sz w:val="24"/>
          <w:szCs w:val="24"/>
          <w:lang w:val="sq-AL"/>
        </w:rPr>
        <w:t>l</w:t>
      </w:r>
      <w:r w:rsidRPr="00641640">
        <w:rPr>
          <w:rFonts w:ascii="Times New Roman" w:hAnsi="Times New Roman" w:cs="Times New Roman"/>
          <w:noProof/>
          <w:sz w:val="24"/>
          <w:szCs w:val="24"/>
          <w:lang w:val="sq-AL"/>
        </w:rPr>
        <w:t>igjor</w:t>
      </w:r>
      <w:r w:rsidR="002D647C"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 dhe </w:t>
      </w:r>
      <w:r w:rsidR="00FD1BAC" w:rsidRPr="00641640">
        <w:rPr>
          <w:rFonts w:ascii="Times New Roman" w:hAnsi="Times New Roman" w:cs="Times New Roman"/>
          <w:noProof/>
          <w:sz w:val="24"/>
          <w:szCs w:val="24"/>
          <w:lang w:val="sq-AL"/>
        </w:rPr>
        <w:t>institucional</w:t>
      </w:r>
      <w:r w:rsidR="002D647C"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 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rkat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w:t>
      </w:r>
      <w:r w:rsidR="002D647C"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w:t>
      </w:r>
      <w:r w:rsidR="00FD1BAC" w:rsidRPr="00641640">
        <w:rPr>
          <w:rFonts w:ascii="Times New Roman" w:hAnsi="Times New Roman" w:cs="Times New Roman"/>
          <w:noProof/>
          <w:sz w:val="24"/>
          <w:szCs w:val="24"/>
          <w:lang w:val="sq-AL"/>
        </w:rPr>
        <w:t xml:space="preserve"> (iii) zbatimi</w:t>
      </w:r>
      <w:r w:rsidRPr="00641640">
        <w:rPr>
          <w:rFonts w:ascii="Times New Roman" w:hAnsi="Times New Roman" w:cs="Times New Roman"/>
          <w:noProof/>
          <w:sz w:val="24"/>
          <w:szCs w:val="24"/>
          <w:lang w:val="sq-AL"/>
        </w:rPr>
        <w:t>n</w:t>
      </w:r>
      <w:r w:rsidR="00FD1BAC"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e</w:t>
      </w:r>
      <w:r w:rsidR="00FD1BAC" w:rsidRPr="00641640">
        <w:rPr>
          <w:rFonts w:ascii="Times New Roman" w:hAnsi="Times New Roman" w:cs="Times New Roman"/>
          <w:noProof/>
          <w:sz w:val="24"/>
          <w:szCs w:val="24"/>
          <w:lang w:val="sq-AL"/>
        </w:rPr>
        <w:t xml:space="preserve"> reformave dhe </w:t>
      </w:r>
      <w:r w:rsidRPr="00641640">
        <w:rPr>
          <w:rFonts w:ascii="Times New Roman" w:hAnsi="Times New Roman" w:cs="Times New Roman"/>
          <w:noProof/>
          <w:sz w:val="24"/>
          <w:szCs w:val="24"/>
          <w:lang w:val="sq-AL"/>
        </w:rPr>
        <w:t xml:space="preserve">forcimin e </w:t>
      </w:r>
      <w:r w:rsidR="00FD1BAC" w:rsidRPr="00641640">
        <w:rPr>
          <w:rFonts w:ascii="Times New Roman" w:hAnsi="Times New Roman" w:cs="Times New Roman"/>
          <w:noProof/>
          <w:sz w:val="24"/>
          <w:szCs w:val="24"/>
          <w:lang w:val="sq-AL"/>
        </w:rPr>
        <w:t>kapaciteteve ins</w:t>
      </w:r>
      <w:r w:rsidR="004B1FFF" w:rsidRPr="00641640">
        <w:rPr>
          <w:rFonts w:ascii="Times New Roman" w:hAnsi="Times New Roman" w:cs="Times New Roman"/>
          <w:noProof/>
          <w:sz w:val="24"/>
          <w:szCs w:val="24"/>
          <w:lang w:val="sq-AL"/>
        </w:rPr>
        <w:t>t</w:t>
      </w:r>
      <w:r w:rsidR="00FD1BAC" w:rsidRPr="00641640">
        <w:rPr>
          <w:rFonts w:ascii="Times New Roman" w:hAnsi="Times New Roman" w:cs="Times New Roman"/>
          <w:noProof/>
          <w:sz w:val="24"/>
          <w:szCs w:val="24"/>
          <w:lang w:val="sq-AL"/>
        </w:rPr>
        <w:t>itucionale</w:t>
      </w:r>
      <w:r w:rsidRPr="00641640">
        <w:rPr>
          <w:rFonts w:ascii="Times New Roman" w:hAnsi="Times New Roman" w:cs="Times New Roman"/>
          <w:noProof/>
          <w:sz w:val="24"/>
          <w:szCs w:val="24"/>
          <w:lang w:val="sq-AL"/>
        </w:rPr>
        <w:t>, dhe</w:t>
      </w:r>
      <w:r w:rsidR="00FD1BAC" w:rsidRPr="00641640">
        <w:rPr>
          <w:rFonts w:ascii="Times New Roman" w:hAnsi="Times New Roman" w:cs="Times New Roman"/>
          <w:noProof/>
          <w:sz w:val="24"/>
          <w:szCs w:val="24"/>
          <w:lang w:val="sq-AL"/>
        </w:rPr>
        <w:t xml:space="preserve"> (iv) </w:t>
      </w:r>
      <w:r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rmir</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simin e </w:t>
      </w:r>
      <w:r w:rsidR="00FD1BAC" w:rsidRPr="00641640">
        <w:rPr>
          <w:rFonts w:ascii="Times New Roman" w:hAnsi="Times New Roman" w:cs="Times New Roman"/>
          <w:noProof/>
          <w:sz w:val="24"/>
          <w:szCs w:val="24"/>
          <w:lang w:val="sq-AL"/>
        </w:rPr>
        <w:t>funksionimi</w:t>
      </w:r>
      <w:r w:rsidRPr="00641640">
        <w:rPr>
          <w:rFonts w:ascii="Times New Roman" w:hAnsi="Times New Roman" w:cs="Times New Roman"/>
          <w:noProof/>
          <w:sz w:val="24"/>
          <w:szCs w:val="24"/>
          <w:lang w:val="sq-AL"/>
        </w:rPr>
        <w:t>t</w:t>
      </w:r>
      <w:r w:rsidR="00FD1BAC" w:rsidRPr="00641640">
        <w:rPr>
          <w:rFonts w:ascii="Times New Roman" w:hAnsi="Times New Roman" w:cs="Times New Roman"/>
          <w:noProof/>
          <w:sz w:val="24"/>
          <w:szCs w:val="24"/>
          <w:lang w:val="sq-AL"/>
        </w:rPr>
        <w:t xml:space="preserve"> dhe performancës së admin</w:t>
      </w:r>
      <w:r w:rsidR="00F7730B" w:rsidRPr="00641640">
        <w:rPr>
          <w:rFonts w:ascii="Times New Roman" w:hAnsi="Times New Roman" w:cs="Times New Roman"/>
          <w:noProof/>
          <w:sz w:val="24"/>
          <w:szCs w:val="24"/>
          <w:lang w:val="sq-AL"/>
        </w:rPr>
        <w:t>i</w:t>
      </w:r>
      <w:r w:rsidR="00FD1BAC" w:rsidRPr="00641640">
        <w:rPr>
          <w:rFonts w:ascii="Times New Roman" w:hAnsi="Times New Roman" w:cs="Times New Roman"/>
          <w:noProof/>
          <w:sz w:val="24"/>
          <w:szCs w:val="24"/>
          <w:lang w:val="sq-AL"/>
        </w:rPr>
        <w:t>stratës publike.</w:t>
      </w:r>
      <w:r w:rsidR="00576826"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Duke ofuar k</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shtu nj</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korniz</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qart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strategjike dhe nj</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hart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zim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detajuar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nd</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rhyrjeve kryesore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planifikuara 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prioritetet e reform</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 n</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administrat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n publike deri n</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vitin 2030,</w:t>
      </w:r>
      <w:r w:rsidR="00576826" w:rsidRPr="00641640">
        <w:rPr>
          <w:rFonts w:ascii="Times New Roman" w:hAnsi="Times New Roman" w:cs="Times New Roman"/>
          <w:noProof/>
          <w:sz w:val="24"/>
          <w:szCs w:val="24"/>
          <w:lang w:val="sq-AL"/>
        </w:rPr>
        <w:t xml:space="preserve"> Udhërrëfyesi</w:t>
      </w:r>
      <w:r w:rsidRPr="00641640">
        <w:rPr>
          <w:rFonts w:ascii="Times New Roman" w:hAnsi="Times New Roman" w:cs="Times New Roman"/>
          <w:noProof/>
          <w:sz w:val="24"/>
          <w:szCs w:val="24"/>
          <w:lang w:val="sq-AL"/>
        </w:rPr>
        <w:t xml:space="preserve"> q</w:t>
      </w:r>
      <w:r w:rsidR="00B14E70"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ndron</w:t>
      </w:r>
      <w:r w:rsidR="00576826" w:rsidRPr="00641640">
        <w:rPr>
          <w:rFonts w:ascii="Times New Roman" w:hAnsi="Times New Roman" w:cs="Times New Roman"/>
          <w:noProof/>
          <w:sz w:val="24"/>
          <w:szCs w:val="24"/>
          <w:lang w:val="sq-AL"/>
        </w:rPr>
        <w:t xml:space="preserve"> në themel të Strategjisë Ndërsektoriale të RAP 202</w:t>
      </w:r>
      <w:r w:rsidR="00B14E70" w:rsidRPr="00641640">
        <w:rPr>
          <w:rFonts w:ascii="Times New Roman" w:hAnsi="Times New Roman" w:cs="Times New Roman"/>
          <w:noProof/>
          <w:sz w:val="24"/>
          <w:szCs w:val="24"/>
          <w:lang w:val="sq-AL"/>
        </w:rPr>
        <w:t>5</w:t>
      </w:r>
      <w:r w:rsidR="00576826" w:rsidRPr="00641640">
        <w:rPr>
          <w:rFonts w:ascii="Times New Roman" w:hAnsi="Times New Roman" w:cs="Times New Roman"/>
          <w:noProof/>
          <w:sz w:val="24"/>
          <w:szCs w:val="24"/>
          <w:lang w:val="sq-AL"/>
        </w:rPr>
        <w:t>-2030.</w:t>
      </w:r>
    </w:p>
    <w:p w14:paraId="33E8F7B5" w14:textId="77777777" w:rsidR="00C4394E" w:rsidRPr="0007033C" w:rsidRDefault="00C4394E" w:rsidP="003A395D">
      <w:pPr>
        <w:spacing w:before="240" w:after="0" w:line="276" w:lineRule="auto"/>
        <w:jc w:val="both"/>
        <w:rPr>
          <w:rFonts w:ascii="Times New Roman" w:hAnsi="Times New Roman" w:cs="Times New Roman"/>
          <w:noProof/>
          <w:sz w:val="14"/>
          <w:szCs w:val="14"/>
          <w:lang w:val="sq-AL"/>
        </w:rPr>
      </w:pPr>
    </w:p>
    <w:p w14:paraId="67322505" w14:textId="3B289D17" w:rsidR="00FD1BAC" w:rsidRPr="00641640" w:rsidRDefault="002D647C"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Ndërl</w:t>
      </w:r>
      <w:r w:rsidR="006C1D39" w:rsidRPr="00641640">
        <w:rPr>
          <w:rFonts w:ascii="Times New Roman" w:hAnsi="Times New Roman" w:cs="Times New Roman"/>
          <w:b/>
          <w:bCs/>
          <w:noProof/>
          <w:sz w:val="24"/>
          <w:szCs w:val="24"/>
          <w:lang w:val="sq-AL"/>
        </w:rPr>
        <w:t>idhja e SNRAP 202</w:t>
      </w:r>
      <w:r w:rsidR="00B14E70" w:rsidRPr="00641640">
        <w:rPr>
          <w:rFonts w:ascii="Times New Roman" w:hAnsi="Times New Roman" w:cs="Times New Roman"/>
          <w:b/>
          <w:bCs/>
          <w:noProof/>
          <w:sz w:val="24"/>
          <w:szCs w:val="24"/>
          <w:lang w:val="sq-AL"/>
        </w:rPr>
        <w:t>5</w:t>
      </w:r>
      <w:r w:rsidR="006C1D39" w:rsidRPr="00641640">
        <w:rPr>
          <w:rFonts w:ascii="Times New Roman" w:hAnsi="Times New Roman" w:cs="Times New Roman"/>
          <w:b/>
          <w:bCs/>
          <w:noProof/>
          <w:sz w:val="24"/>
          <w:szCs w:val="24"/>
          <w:lang w:val="sq-AL"/>
        </w:rPr>
        <w:t xml:space="preserve">-2030 me </w:t>
      </w:r>
      <w:r w:rsidR="00FD1BAC" w:rsidRPr="00641640">
        <w:rPr>
          <w:rFonts w:ascii="Times New Roman" w:hAnsi="Times New Roman" w:cs="Times New Roman"/>
          <w:b/>
          <w:bCs/>
          <w:noProof/>
          <w:sz w:val="24"/>
          <w:szCs w:val="24"/>
          <w:lang w:val="sq-AL"/>
        </w:rPr>
        <w:t>Strategji</w:t>
      </w:r>
      <w:r w:rsidR="006C1D39" w:rsidRPr="00641640">
        <w:rPr>
          <w:rFonts w:ascii="Times New Roman" w:hAnsi="Times New Roman" w:cs="Times New Roman"/>
          <w:b/>
          <w:bCs/>
          <w:noProof/>
          <w:sz w:val="24"/>
          <w:szCs w:val="24"/>
          <w:lang w:val="sq-AL"/>
        </w:rPr>
        <w:t>n</w:t>
      </w:r>
      <w:r w:rsidR="00064AC5" w:rsidRPr="00641640">
        <w:rPr>
          <w:rFonts w:ascii="Times New Roman" w:hAnsi="Times New Roman" w:cs="Times New Roman"/>
          <w:b/>
          <w:bCs/>
          <w:noProof/>
          <w:sz w:val="24"/>
          <w:szCs w:val="24"/>
          <w:lang w:val="sq-AL"/>
        </w:rPr>
        <w:t>ë</w:t>
      </w:r>
      <w:r w:rsidR="00FD1BAC" w:rsidRPr="00641640">
        <w:rPr>
          <w:rFonts w:ascii="Times New Roman" w:hAnsi="Times New Roman" w:cs="Times New Roman"/>
          <w:b/>
          <w:bCs/>
          <w:noProof/>
          <w:sz w:val="24"/>
          <w:szCs w:val="24"/>
          <w:lang w:val="sq-AL"/>
        </w:rPr>
        <w:t xml:space="preserve"> Ndërsektoriale për Decentralizimin dhe Qeverisjen Vendore 2023-2030</w:t>
      </w:r>
    </w:p>
    <w:p w14:paraId="79A41A5D" w14:textId="76BABDB5" w:rsidR="000E22D7" w:rsidRPr="00641640" w:rsidRDefault="00FD1BAC"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iCs/>
          <w:noProof/>
          <w:sz w:val="24"/>
          <w:szCs w:val="24"/>
          <w:lang w:val="sq-AL"/>
        </w:rPr>
        <w:t xml:space="preserve">Në vitin 2023, </w:t>
      </w:r>
      <w:r w:rsidRPr="00641640">
        <w:rPr>
          <w:rStyle w:val="rynqvb"/>
          <w:rFonts w:ascii="Times New Roman" w:hAnsi="Times New Roman" w:cs="Times New Roman"/>
          <w:noProof/>
          <w:sz w:val="24"/>
          <w:szCs w:val="24"/>
          <w:lang w:val="sq-AL"/>
        </w:rPr>
        <w:t>Qeveria Shqiptare miratoi Strategjinë Ndërsektoriale për Decentralizimin dhe Qeverisjen Vendore për periudhën 2023-2030.</w:t>
      </w:r>
      <w:r w:rsidRPr="00641640">
        <w:rPr>
          <w:rStyle w:val="hwtze"/>
          <w:rFonts w:ascii="Times New Roman" w:hAnsi="Times New Roman" w:cs="Times New Roman"/>
          <w:noProof/>
          <w:sz w:val="24"/>
          <w:szCs w:val="24"/>
          <w:lang w:val="sq-AL"/>
        </w:rPr>
        <w:t xml:space="preserve"> </w:t>
      </w:r>
      <w:r w:rsidR="00D13F4C" w:rsidRPr="00641640">
        <w:rPr>
          <w:rStyle w:val="hwtze"/>
          <w:rFonts w:ascii="Times New Roman" w:hAnsi="Times New Roman" w:cs="Times New Roman"/>
          <w:noProof/>
          <w:sz w:val="24"/>
          <w:szCs w:val="24"/>
          <w:lang w:val="sq-AL"/>
        </w:rPr>
        <w:t>Kjo Strategji p</w:t>
      </w:r>
      <w:r w:rsidR="00064AC5" w:rsidRPr="00641640">
        <w:rPr>
          <w:rStyle w:val="hwtze"/>
          <w:rFonts w:ascii="Times New Roman" w:hAnsi="Times New Roman" w:cs="Times New Roman"/>
          <w:noProof/>
          <w:sz w:val="24"/>
          <w:szCs w:val="24"/>
          <w:lang w:val="sq-AL"/>
        </w:rPr>
        <w:t>ë</w:t>
      </w:r>
      <w:r w:rsidR="00A91D05" w:rsidRPr="00641640">
        <w:rPr>
          <w:rStyle w:val="hwtze"/>
          <w:rFonts w:ascii="Times New Roman" w:hAnsi="Times New Roman" w:cs="Times New Roman"/>
          <w:noProof/>
          <w:sz w:val="24"/>
          <w:szCs w:val="24"/>
          <w:lang w:val="sq-AL"/>
        </w:rPr>
        <w:t>rcakton gjasht</w:t>
      </w:r>
      <w:r w:rsidR="00064AC5" w:rsidRPr="00641640">
        <w:rPr>
          <w:rStyle w:val="hwtze"/>
          <w:rFonts w:ascii="Times New Roman" w:hAnsi="Times New Roman" w:cs="Times New Roman"/>
          <w:noProof/>
          <w:sz w:val="24"/>
          <w:szCs w:val="24"/>
          <w:lang w:val="sq-AL"/>
        </w:rPr>
        <w:t>ë</w:t>
      </w:r>
      <w:r w:rsidR="00A91D05" w:rsidRPr="00641640">
        <w:rPr>
          <w:rStyle w:val="hwtze"/>
          <w:rFonts w:ascii="Times New Roman" w:hAnsi="Times New Roman" w:cs="Times New Roman"/>
          <w:noProof/>
          <w:sz w:val="24"/>
          <w:szCs w:val="24"/>
          <w:lang w:val="sq-AL"/>
        </w:rPr>
        <w:t xml:space="preserve"> </w:t>
      </w:r>
      <w:r w:rsidR="002D647C" w:rsidRPr="00641640">
        <w:rPr>
          <w:rStyle w:val="hwtze"/>
          <w:rFonts w:ascii="Times New Roman" w:hAnsi="Times New Roman" w:cs="Times New Roman"/>
          <w:noProof/>
          <w:sz w:val="24"/>
          <w:szCs w:val="24"/>
          <w:lang w:val="sq-AL"/>
        </w:rPr>
        <w:t>q</w:t>
      </w:r>
      <w:r w:rsidR="00064AC5" w:rsidRPr="00641640">
        <w:rPr>
          <w:rStyle w:val="hwtze"/>
          <w:rFonts w:ascii="Times New Roman" w:hAnsi="Times New Roman" w:cs="Times New Roman"/>
          <w:noProof/>
          <w:sz w:val="24"/>
          <w:szCs w:val="24"/>
          <w:lang w:val="sq-AL"/>
        </w:rPr>
        <w:t>ë</w:t>
      </w:r>
      <w:r w:rsidR="00A91D05" w:rsidRPr="00641640">
        <w:rPr>
          <w:rStyle w:val="hwtze"/>
          <w:rFonts w:ascii="Times New Roman" w:hAnsi="Times New Roman" w:cs="Times New Roman"/>
          <w:noProof/>
          <w:sz w:val="24"/>
          <w:szCs w:val="24"/>
          <w:lang w:val="sq-AL"/>
        </w:rPr>
        <w:t xml:space="preserve">llime kyçe </w:t>
      </w:r>
      <w:r w:rsidR="002D647C" w:rsidRPr="00641640">
        <w:rPr>
          <w:rStyle w:val="hwtze"/>
          <w:rFonts w:ascii="Times New Roman" w:hAnsi="Times New Roman" w:cs="Times New Roman"/>
          <w:noProof/>
          <w:sz w:val="24"/>
          <w:szCs w:val="24"/>
          <w:lang w:val="sq-AL"/>
        </w:rPr>
        <w:t>p</w:t>
      </w:r>
      <w:r w:rsidR="00A91D05" w:rsidRPr="00641640">
        <w:rPr>
          <w:rStyle w:val="hwtze"/>
          <w:rFonts w:ascii="Times New Roman" w:hAnsi="Times New Roman" w:cs="Times New Roman"/>
          <w:noProof/>
          <w:sz w:val="24"/>
          <w:szCs w:val="24"/>
          <w:lang w:val="sq-AL"/>
        </w:rPr>
        <w:t xml:space="preserve">olitike, </w:t>
      </w:r>
      <w:r w:rsidR="00A91D05" w:rsidRPr="00641640">
        <w:rPr>
          <w:rFonts w:ascii="Times New Roman" w:hAnsi="Times New Roman" w:cs="Times New Roman"/>
          <w:iCs/>
          <w:noProof/>
          <w:sz w:val="24"/>
          <w:szCs w:val="24"/>
          <w:lang w:val="sq-AL"/>
        </w:rPr>
        <w:t>n</w:t>
      </w:r>
      <w:r w:rsidR="0021176F" w:rsidRPr="00641640">
        <w:rPr>
          <w:rFonts w:ascii="Times New Roman" w:hAnsi="Times New Roman" w:cs="Times New Roman"/>
          <w:iCs/>
          <w:noProof/>
          <w:sz w:val="24"/>
          <w:szCs w:val="24"/>
          <w:lang w:val="sq-AL"/>
        </w:rPr>
        <w:t>ë funksion të</w:t>
      </w:r>
      <w:r w:rsidR="0078675E" w:rsidRPr="00641640">
        <w:rPr>
          <w:rFonts w:ascii="Times New Roman" w:hAnsi="Times New Roman" w:cs="Times New Roman"/>
          <w:iCs/>
          <w:noProof/>
          <w:sz w:val="24"/>
          <w:szCs w:val="24"/>
          <w:lang w:val="sq-AL"/>
        </w:rPr>
        <w:t xml:space="preserve"> </w:t>
      </w:r>
      <w:r w:rsidR="00A91D05" w:rsidRPr="00641640">
        <w:rPr>
          <w:rFonts w:ascii="Times New Roman" w:hAnsi="Times New Roman" w:cs="Times New Roman"/>
          <w:iCs/>
          <w:noProof/>
          <w:sz w:val="24"/>
          <w:szCs w:val="24"/>
          <w:lang w:val="sq-AL"/>
        </w:rPr>
        <w:t>forcimit t</w:t>
      </w:r>
      <w:r w:rsidR="00064AC5" w:rsidRPr="00641640">
        <w:rPr>
          <w:rFonts w:ascii="Times New Roman" w:hAnsi="Times New Roman" w:cs="Times New Roman"/>
          <w:iCs/>
          <w:noProof/>
          <w:sz w:val="24"/>
          <w:szCs w:val="24"/>
          <w:lang w:val="sq-AL"/>
        </w:rPr>
        <w:t>ë</w:t>
      </w:r>
      <w:r w:rsidR="00A91D05" w:rsidRPr="00641640">
        <w:rPr>
          <w:rFonts w:ascii="Times New Roman" w:hAnsi="Times New Roman" w:cs="Times New Roman"/>
          <w:iCs/>
          <w:noProof/>
          <w:sz w:val="24"/>
          <w:szCs w:val="24"/>
          <w:lang w:val="sq-AL"/>
        </w:rPr>
        <w:t xml:space="preserve"> qeverisjes vendore dhe decentralizimit</w:t>
      </w:r>
      <w:r w:rsidR="006C1D39" w:rsidRPr="00641640">
        <w:rPr>
          <w:rFonts w:ascii="Times New Roman" w:hAnsi="Times New Roman" w:cs="Times New Roman"/>
          <w:noProof/>
          <w:sz w:val="24"/>
          <w:szCs w:val="24"/>
          <w:lang w:val="sq-AL"/>
        </w:rPr>
        <w:t>, p</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rkat</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sisht:</w:t>
      </w:r>
    </w:p>
    <w:p w14:paraId="0F64B89C" w14:textId="30C8702B" w:rsidR="000E22D7" w:rsidRPr="00641640" w:rsidRDefault="0021176F" w:rsidP="003A395D">
      <w:pPr>
        <w:pStyle w:val="ListParagraph"/>
        <w:numPr>
          <w:ilvl w:val="0"/>
          <w:numId w:val="14"/>
        </w:numPr>
        <w:spacing w:after="0" w:line="276" w:lineRule="auto"/>
        <w:jc w:val="both"/>
        <w:rPr>
          <w:rFonts w:ascii="Times New Roman" w:hAnsi="Times New Roman" w:cs="Times New Roman"/>
          <w:iCs/>
          <w:noProof/>
          <w:sz w:val="24"/>
          <w:szCs w:val="24"/>
          <w:lang w:val="sq-AL"/>
        </w:rPr>
      </w:pPr>
      <w:r w:rsidRPr="00641640">
        <w:rPr>
          <w:rFonts w:ascii="Times New Roman" w:hAnsi="Times New Roman" w:cs="Times New Roman"/>
          <w:iCs/>
          <w:noProof/>
          <w:sz w:val="24"/>
          <w:szCs w:val="24"/>
          <w:lang w:val="sq-AL"/>
        </w:rPr>
        <w:t>Nxitja dhe forcimi i zhvillimit të q</w:t>
      </w:r>
      <w:r w:rsidR="00C316FB" w:rsidRPr="00641640">
        <w:rPr>
          <w:rFonts w:ascii="Times New Roman" w:hAnsi="Times New Roman" w:cs="Times New Roman"/>
          <w:iCs/>
          <w:noProof/>
          <w:sz w:val="24"/>
          <w:szCs w:val="24"/>
          <w:lang w:val="sq-AL"/>
        </w:rPr>
        <w:t>e</w:t>
      </w:r>
      <w:r w:rsidRPr="00641640">
        <w:rPr>
          <w:rFonts w:ascii="Times New Roman" w:hAnsi="Times New Roman" w:cs="Times New Roman"/>
          <w:iCs/>
          <w:noProof/>
          <w:sz w:val="24"/>
          <w:szCs w:val="24"/>
          <w:lang w:val="sq-AL"/>
        </w:rPr>
        <w:t xml:space="preserve">ndrueshëm vendor; </w:t>
      </w:r>
    </w:p>
    <w:p w14:paraId="112F5D03" w14:textId="77777777" w:rsidR="000E22D7" w:rsidRPr="00641640" w:rsidRDefault="0021176F" w:rsidP="003A395D">
      <w:pPr>
        <w:pStyle w:val="ListParagraph"/>
        <w:numPr>
          <w:ilvl w:val="0"/>
          <w:numId w:val="14"/>
        </w:numPr>
        <w:spacing w:after="0" w:line="276" w:lineRule="auto"/>
        <w:jc w:val="both"/>
        <w:rPr>
          <w:rFonts w:ascii="Times New Roman" w:hAnsi="Times New Roman" w:cs="Times New Roman"/>
          <w:iCs/>
          <w:noProof/>
          <w:sz w:val="24"/>
          <w:szCs w:val="24"/>
          <w:lang w:val="sq-AL"/>
        </w:rPr>
      </w:pPr>
      <w:r w:rsidRPr="00641640">
        <w:rPr>
          <w:rFonts w:ascii="Times New Roman" w:hAnsi="Times New Roman" w:cs="Times New Roman"/>
          <w:iCs/>
          <w:noProof/>
          <w:sz w:val="24"/>
          <w:szCs w:val="24"/>
          <w:lang w:val="sq-AL"/>
        </w:rPr>
        <w:t>Përmirësimi i cilësisë, standardeve dhe ofrimit të shërbimeve vendore;</w:t>
      </w:r>
      <w:r w:rsidRPr="00641640">
        <w:rPr>
          <w:rFonts w:ascii="Times New Roman" w:hAnsi="Times New Roman" w:cs="Times New Roman"/>
          <w:noProof/>
          <w:sz w:val="24"/>
          <w:szCs w:val="24"/>
          <w:lang w:val="sq-AL"/>
        </w:rPr>
        <w:t xml:space="preserve"> </w:t>
      </w:r>
    </w:p>
    <w:p w14:paraId="090C5887" w14:textId="1483F026" w:rsidR="000E22D7" w:rsidRPr="00641640" w:rsidRDefault="0021176F" w:rsidP="003A395D">
      <w:pPr>
        <w:pStyle w:val="ListParagraph"/>
        <w:numPr>
          <w:ilvl w:val="0"/>
          <w:numId w:val="14"/>
        </w:numPr>
        <w:spacing w:after="0" w:line="276" w:lineRule="auto"/>
        <w:jc w:val="both"/>
        <w:rPr>
          <w:rFonts w:ascii="Times New Roman" w:hAnsi="Times New Roman" w:cs="Times New Roman"/>
          <w:iCs/>
          <w:noProof/>
          <w:sz w:val="24"/>
          <w:szCs w:val="24"/>
          <w:lang w:val="sq-AL"/>
        </w:rPr>
      </w:pPr>
      <w:r w:rsidRPr="00641640">
        <w:rPr>
          <w:rFonts w:ascii="Times New Roman" w:hAnsi="Times New Roman" w:cs="Times New Roman"/>
          <w:iCs/>
          <w:noProof/>
          <w:sz w:val="24"/>
          <w:szCs w:val="24"/>
          <w:lang w:val="sq-AL"/>
        </w:rPr>
        <w:t xml:space="preserve">Zgjerimi i qeverisjes digjitale në nivel vendor për të ofruar shërbime dhe programe qeveritare në mënyrë më </w:t>
      </w:r>
      <w:r w:rsidR="0078675E" w:rsidRPr="00641640">
        <w:rPr>
          <w:rFonts w:ascii="Times New Roman" w:hAnsi="Times New Roman" w:cs="Times New Roman"/>
          <w:iCs/>
          <w:noProof/>
          <w:sz w:val="24"/>
          <w:szCs w:val="24"/>
          <w:lang w:val="sq-AL"/>
        </w:rPr>
        <w:t>t</w:t>
      </w:r>
      <w:r w:rsidR="007F00FB" w:rsidRPr="00641640">
        <w:rPr>
          <w:rFonts w:ascii="Times New Roman" w:hAnsi="Times New Roman" w:cs="Times New Roman"/>
          <w:iCs/>
          <w:noProof/>
          <w:sz w:val="24"/>
          <w:szCs w:val="24"/>
          <w:lang w:val="sq-AL"/>
        </w:rPr>
        <w:t>ë</w:t>
      </w:r>
      <w:r w:rsidR="0078675E" w:rsidRPr="00641640">
        <w:rPr>
          <w:rFonts w:ascii="Times New Roman" w:hAnsi="Times New Roman" w:cs="Times New Roman"/>
          <w:iCs/>
          <w:noProof/>
          <w:sz w:val="24"/>
          <w:szCs w:val="24"/>
          <w:lang w:val="sq-AL"/>
        </w:rPr>
        <w:t xml:space="preserve"> efektshme</w:t>
      </w:r>
      <w:r w:rsidRPr="00641640">
        <w:rPr>
          <w:rFonts w:ascii="Times New Roman" w:hAnsi="Times New Roman" w:cs="Times New Roman"/>
          <w:iCs/>
          <w:noProof/>
          <w:sz w:val="24"/>
          <w:szCs w:val="24"/>
          <w:lang w:val="sq-AL"/>
        </w:rPr>
        <w:t>, transparente dhe me kosto efektive;</w:t>
      </w:r>
      <w:r w:rsidRPr="00641640">
        <w:rPr>
          <w:rFonts w:ascii="Times New Roman" w:hAnsi="Times New Roman" w:cs="Times New Roman"/>
          <w:noProof/>
          <w:sz w:val="24"/>
          <w:szCs w:val="24"/>
          <w:lang w:val="sq-AL"/>
        </w:rPr>
        <w:t xml:space="preserve"> </w:t>
      </w:r>
    </w:p>
    <w:p w14:paraId="43FD7796" w14:textId="6DE189B6" w:rsidR="00C4394E" w:rsidRPr="00641640" w:rsidRDefault="0021176F" w:rsidP="003A395D">
      <w:pPr>
        <w:pStyle w:val="ListParagraph"/>
        <w:numPr>
          <w:ilvl w:val="0"/>
          <w:numId w:val="14"/>
        </w:numPr>
        <w:spacing w:after="0" w:line="276" w:lineRule="auto"/>
        <w:jc w:val="both"/>
        <w:rPr>
          <w:rFonts w:ascii="Times New Roman" w:hAnsi="Times New Roman" w:cs="Times New Roman"/>
          <w:iCs/>
          <w:noProof/>
          <w:sz w:val="24"/>
          <w:szCs w:val="24"/>
          <w:lang w:val="sq-AL"/>
        </w:rPr>
      </w:pPr>
      <w:r w:rsidRPr="00641640">
        <w:rPr>
          <w:rFonts w:ascii="Times New Roman" w:hAnsi="Times New Roman" w:cs="Times New Roman"/>
          <w:iCs/>
          <w:noProof/>
          <w:sz w:val="24"/>
          <w:szCs w:val="24"/>
          <w:lang w:val="sq-AL"/>
        </w:rPr>
        <w:t xml:space="preserve">Rritja e autonomisë financiare vendore </w:t>
      </w:r>
      <w:r w:rsidR="00E64924" w:rsidRPr="00641640">
        <w:rPr>
          <w:rFonts w:ascii="Times New Roman" w:hAnsi="Times New Roman" w:cs="Times New Roman"/>
          <w:iCs/>
          <w:noProof/>
          <w:sz w:val="24"/>
          <w:szCs w:val="24"/>
          <w:lang w:val="sq-AL"/>
        </w:rPr>
        <w:t>përmes</w:t>
      </w:r>
      <w:r w:rsidRPr="00641640">
        <w:rPr>
          <w:rFonts w:ascii="Times New Roman" w:hAnsi="Times New Roman" w:cs="Times New Roman"/>
          <w:iCs/>
          <w:noProof/>
          <w:sz w:val="24"/>
          <w:szCs w:val="24"/>
          <w:lang w:val="sq-AL"/>
        </w:rPr>
        <w:t xml:space="preserve"> konsolidimit të sistemit të të ardhurave të veta;</w:t>
      </w:r>
      <w:r w:rsidRPr="00641640">
        <w:rPr>
          <w:rFonts w:ascii="Times New Roman" w:hAnsi="Times New Roman" w:cs="Times New Roman"/>
          <w:noProof/>
          <w:sz w:val="24"/>
          <w:szCs w:val="24"/>
          <w:lang w:val="sq-AL"/>
        </w:rPr>
        <w:t xml:space="preserve"> </w:t>
      </w:r>
    </w:p>
    <w:p w14:paraId="21F54B73" w14:textId="24A0A312" w:rsidR="00C4394E" w:rsidRPr="00641640" w:rsidRDefault="0021176F" w:rsidP="003A395D">
      <w:pPr>
        <w:pStyle w:val="ListParagraph"/>
        <w:numPr>
          <w:ilvl w:val="0"/>
          <w:numId w:val="14"/>
        </w:numPr>
        <w:spacing w:after="0" w:line="276" w:lineRule="auto"/>
        <w:jc w:val="both"/>
        <w:rPr>
          <w:rFonts w:ascii="Times New Roman" w:hAnsi="Times New Roman" w:cs="Times New Roman"/>
          <w:iCs/>
          <w:noProof/>
          <w:sz w:val="24"/>
          <w:szCs w:val="24"/>
          <w:lang w:val="sq-AL"/>
        </w:rPr>
      </w:pPr>
      <w:r w:rsidRPr="00641640">
        <w:rPr>
          <w:rFonts w:ascii="Times New Roman" w:hAnsi="Times New Roman" w:cs="Times New Roman"/>
          <w:iCs/>
          <w:noProof/>
          <w:sz w:val="24"/>
          <w:szCs w:val="24"/>
          <w:lang w:val="sq-AL"/>
        </w:rPr>
        <w:t>Përmirësimi i demokracisë vendore dhe përparimi i agjendës së integrimit evropian në nivel vendor;</w:t>
      </w:r>
      <w:r w:rsidRPr="00641640">
        <w:rPr>
          <w:rFonts w:ascii="Times New Roman" w:hAnsi="Times New Roman" w:cs="Times New Roman"/>
          <w:noProof/>
          <w:sz w:val="24"/>
          <w:szCs w:val="24"/>
          <w:lang w:val="sq-AL"/>
        </w:rPr>
        <w:t xml:space="preserve"> </w:t>
      </w:r>
    </w:p>
    <w:p w14:paraId="5A947538" w14:textId="60D34E1C" w:rsidR="00A91D05" w:rsidRPr="00641640" w:rsidRDefault="0021176F" w:rsidP="003A395D">
      <w:pPr>
        <w:pStyle w:val="ListParagraph"/>
        <w:numPr>
          <w:ilvl w:val="0"/>
          <w:numId w:val="14"/>
        </w:numPr>
        <w:spacing w:after="0" w:line="276" w:lineRule="auto"/>
        <w:jc w:val="both"/>
        <w:rPr>
          <w:rFonts w:ascii="Times New Roman" w:hAnsi="Times New Roman" w:cs="Times New Roman"/>
          <w:iCs/>
          <w:noProof/>
          <w:sz w:val="24"/>
          <w:szCs w:val="24"/>
          <w:lang w:val="sq-AL"/>
        </w:rPr>
      </w:pPr>
      <w:r w:rsidRPr="00641640">
        <w:rPr>
          <w:rFonts w:ascii="Times New Roman" w:hAnsi="Times New Roman" w:cs="Times New Roman"/>
          <w:iCs/>
          <w:noProof/>
          <w:sz w:val="24"/>
          <w:szCs w:val="24"/>
          <w:lang w:val="sq-AL"/>
        </w:rPr>
        <w:t>Zhvillimi dhe forcimi i kapaciteteve të nevojshme vendore dhe qendrore dhe i koordinimi</w:t>
      </w:r>
      <w:r w:rsidR="0078675E" w:rsidRPr="00641640">
        <w:rPr>
          <w:rFonts w:ascii="Times New Roman" w:hAnsi="Times New Roman" w:cs="Times New Roman"/>
          <w:iCs/>
          <w:noProof/>
          <w:sz w:val="24"/>
          <w:szCs w:val="24"/>
          <w:lang w:val="sq-AL"/>
        </w:rPr>
        <w:t>t</w:t>
      </w:r>
      <w:r w:rsidRPr="00641640">
        <w:rPr>
          <w:rFonts w:ascii="Times New Roman" w:hAnsi="Times New Roman" w:cs="Times New Roman"/>
          <w:iCs/>
          <w:noProof/>
          <w:sz w:val="24"/>
          <w:szCs w:val="24"/>
          <w:lang w:val="sq-AL"/>
        </w:rPr>
        <w:t xml:space="preserve"> </w:t>
      </w:r>
      <w:r w:rsidR="0078675E" w:rsidRPr="00641640">
        <w:rPr>
          <w:rFonts w:ascii="Times New Roman" w:hAnsi="Times New Roman" w:cs="Times New Roman"/>
          <w:iCs/>
          <w:noProof/>
          <w:sz w:val="24"/>
          <w:szCs w:val="24"/>
          <w:lang w:val="sq-AL"/>
        </w:rPr>
        <w:t>t</w:t>
      </w:r>
      <w:r w:rsidR="007F00FB" w:rsidRPr="00641640">
        <w:rPr>
          <w:rFonts w:ascii="Times New Roman" w:hAnsi="Times New Roman" w:cs="Times New Roman"/>
          <w:iCs/>
          <w:noProof/>
          <w:sz w:val="24"/>
          <w:szCs w:val="24"/>
          <w:lang w:val="sq-AL"/>
        </w:rPr>
        <w:t>ë</w:t>
      </w:r>
      <w:r w:rsidR="00C4394E" w:rsidRPr="00641640">
        <w:rPr>
          <w:rFonts w:ascii="Times New Roman" w:hAnsi="Times New Roman" w:cs="Times New Roman"/>
          <w:iCs/>
          <w:noProof/>
          <w:sz w:val="24"/>
          <w:szCs w:val="24"/>
          <w:lang w:val="sq-AL"/>
        </w:rPr>
        <w:t xml:space="preserve"> </w:t>
      </w:r>
      <w:r w:rsidRPr="00641640">
        <w:rPr>
          <w:rFonts w:ascii="Times New Roman" w:hAnsi="Times New Roman" w:cs="Times New Roman"/>
          <w:iCs/>
          <w:noProof/>
          <w:sz w:val="24"/>
          <w:szCs w:val="24"/>
          <w:lang w:val="sq-AL"/>
        </w:rPr>
        <w:t>qeverisje</w:t>
      </w:r>
      <w:r w:rsidR="0078675E" w:rsidRPr="00641640">
        <w:rPr>
          <w:rFonts w:ascii="Times New Roman" w:hAnsi="Times New Roman" w:cs="Times New Roman"/>
          <w:iCs/>
          <w:noProof/>
          <w:sz w:val="24"/>
          <w:szCs w:val="24"/>
          <w:lang w:val="sq-AL"/>
        </w:rPr>
        <w:t>s</w:t>
      </w:r>
      <w:r w:rsidRPr="00641640">
        <w:rPr>
          <w:rFonts w:ascii="Times New Roman" w:hAnsi="Times New Roman" w:cs="Times New Roman"/>
          <w:iCs/>
          <w:noProof/>
          <w:sz w:val="24"/>
          <w:szCs w:val="24"/>
          <w:lang w:val="sq-AL"/>
        </w:rPr>
        <w:t xml:space="preserve"> funksionale gjithëpërfshirëse të aktorëve të decentralizimit.</w:t>
      </w:r>
      <w:r w:rsidRPr="00641640">
        <w:rPr>
          <w:rFonts w:ascii="Times New Roman" w:hAnsi="Times New Roman" w:cs="Times New Roman"/>
          <w:noProof/>
          <w:sz w:val="24"/>
          <w:szCs w:val="24"/>
          <w:lang w:val="sq-AL"/>
        </w:rPr>
        <w:t xml:space="preserve"> </w:t>
      </w:r>
    </w:p>
    <w:p w14:paraId="2173CBC2" w14:textId="77777777" w:rsidR="00A91D05" w:rsidRPr="00641640" w:rsidRDefault="00A91D05" w:rsidP="003A395D">
      <w:pPr>
        <w:spacing w:after="0" w:line="276" w:lineRule="auto"/>
        <w:jc w:val="both"/>
        <w:rPr>
          <w:rFonts w:ascii="Times New Roman" w:hAnsi="Times New Roman" w:cs="Times New Roman"/>
          <w:iCs/>
          <w:noProof/>
          <w:sz w:val="24"/>
          <w:szCs w:val="24"/>
          <w:lang w:val="sq-AL"/>
        </w:rPr>
      </w:pPr>
    </w:p>
    <w:p w14:paraId="113D6CD7" w14:textId="3174064A" w:rsidR="00650B97" w:rsidRPr="00641640" w:rsidRDefault="0021176F" w:rsidP="003A395D">
      <w:pPr>
        <w:spacing w:after="0" w:line="276" w:lineRule="auto"/>
        <w:jc w:val="both"/>
        <w:rPr>
          <w:rFonts w:ascii="Times New Roman" w:hAnsi="Times New Roman" w:cs="Times New Roman"/>
          <w:noProof/>
          <w:sz w:val="24"/>
          <w:szCs w:val="24"/>
          <w:lang w:val="sq-AL"/>
        </w:rPr>
      </w:pPr>
      <w:r w:rsidRPr="00641640">
        <w:rPr>
          <w:rFonts w:ascii="Times New Roman" w:hAnsi="Times New Roman" w:cs="Times New Roman"/>
          <w:iCs/>
          <w:noProof/>
          <w:sz w:val="24"/>
          <w:szCs w:val="24"/>
          <w:lang w:val="sq-AL"/>
        </w:rPr>
        <w:t xml:space="preserve">Qëllimet </w:t>
      </w:r>
      <w:r w:rsidR="00A91D05" w:rsidRPr="00641640">
        <w:rPr>
          <w:rFonts w:ascii="Times New Roman" w:hAnsi="Times New Roman" w:cs="Times New Roman"/>
          <w:iCs/>
          <w:noProof/>
          <w:sz w:val="24"/>
          <w:szCs w:val="24"/>
          <w:lang w:val="sq-AL"/>
        </w:rPr>
        <w:t>Politike (</w:t>
      </w:r>
      <w:r w:rsidRPr="00641640">
        <w:rPr>
          <w:rFonts w:ascii="Times New Roman" w:hAnsi="Times New Roman" w:cs="Times New Roman"/>
          <w:iCs/>
          <w:noProof/>
          <w:sz w:val="24"/>
          <w:szCs w:val="24"/>
          <w:lang w:val="sq-AL"/>
        </w:rPr>
        <w:t>3</w:t>
      </w:r>
      <w:r w:rsidR="00A91D05" w:rsidRPr="00641640">
        <w:rPr>
          <w:rFonts w:ascii="Times New Roman" w:hAnsi="Times New Roman" w:cs="Times New Roman"/>
          <w:iCs/>
          <w:noProof/>
          <w:sz w:val="24"/>
          <w:szCs w:val="24"/>
          <w:lang w:val="sq-AL"/>
        </w:rPr>
        <w:t>)</w:t>
      </w:r>
      <w:r w:rsidRPr="00641640">
        <w:rPr>
          <w:rFonts w:ascii="Times New Roman" w:hAnsi="Times New Roman" w:cs="Times New Roman"/>
          <w:iCs/>
          <w:noProof/>
          <w:sz w:val="24"/>
          <w:szCs w:val="24"/>
          <w:lang w:val="sq-AL"/>
        </w:rPr>
        <w:t xml:space="preserve"> dhe </w:t>
      </w:r>
      <w:r w:rsidR="00A91D05" w:rsidRPr="00641640">
        <w:rPr>
          <w:rFonts w:ascii="Times New Roman" w:hAnsi="Times New Roman" w:cs="Times New Roman"/>
          <w:iCs/>
          <w:noProof/>
          <w:sz w:val="24"/>
          <w:szCs w:val="24"/>
          <w:lang w:val="sq-AL"/>
        </w:rPr>
        <w:t>(</w:t>
      </w:r>
      <w:r w:rsidRPr="00641640">
        <w:rPr>
          <w:rFonts w:ascii="Times New Roman" w:hAnsi="Times New Roman" w:cs="Times New Roman"/>
          <w:iCs/>
          <w:noProof/>
          <w:sz w:val="24"/>
          <w:szCs w:val="24"/>
          <w:lang w:val="sq-AL"/>
        </w:rPr>
        <w:t>6</w:t>
      </w:r>
      <w:r w:rsidR="00A91D05" w:rsidRPr="00641640">
        <w:rPr>
          <w:rFonts w:ascii="Times New Roman" w:hAnsi="Times New Roman" w:cs="Times New Roman"/>
          <w:iCs/>
          <w:noProof/>
          <w:sz w:val="24"/>
          <w:szCs w:val="24"/>
          <w:lang w:val="sq-AL"/>
        </w:rPr>
        <w:t>)</w:t>
      </w:r>
      <w:r w:rsidRPr="00641640">
        <w:rPr>
          <w:rFonts w:ascii="Times New Roman" w:hAnsi="Times New Roman" w:cs="Times New Roman"/>
          <w:iCs/>
          <w:noProof/>
          <w:sz w:val="24"/>
          <w:szCs w:val="24"/>
          <w:lang w:val="sq-AL"/>
        </w:rPr>
        <w:t xml:space="preserve"> </w:t>
      </w:r>
      <w:r w:rsidR="00A91D05" w:rsidRPr="00641640">
        <w:rPr>
          <w:rFonts w:ascii="Times New Roman" w:hAnsi="Times New Roman" w:cs="Times New Roman"/>
          <w:iCs/>
          <w:noProof/>
          <w:sz w:val="24"/>
          <w:szCs w:val="24"/>
          <w:lang w:val="sq-AL"/>
        </w:rPr>
        <w:t>vler</w:t>
      </w:r>
      <w:r w:rsidR="00064AC5" w:rsidRPr="00641640">
        <w:rPr>
          <w:rFonts w:ascii="Times New Roman" w:hAnsi="Times New Roman" w:cs="Times New Roman"/>
          <w:iCs/>
          <w:noProof/>
          <w:sz w:val="24"/>
          <w:szCs w:val="24"/>
          <w:lang w:val="sq-AL"/>
        </w:rPr>
        <w:t>ë</w:t>
      </w:r>
      <w:r w:rsidR="00A91D05" w:rsidRPr="00641640">
        <w:rPr>
          <w:rFonts w:ascii="Times New Roman" w:hAnsi="Times New Roman" w:cs="Times New Roman"/>
          <w:iCs/>
          <w:noProof/>
          <w:sz w:val="24"/>
          <w:szCs w:val="24"/>
          <w:lang w:val="sq-AL"/>
        </w:rPr>
        <w:t>sohen s</w:t>
      </w:r>
      <w:r w:rsidRPr="00641640">
        <w:rPr>
          <w:rFonts w:ascii="Times New Roman" w:hAnsi="Times New Roman" w:cs="Times New Roman"/>
          <w:iCs/>
          <w:noProof/>
          <w:sz w:val="24"/>
          <w:szCs w:val="24"/>
          <w:lang w:val="sq-AL"/>
        </w:rPr>
        <w:t xml:space="preserve">i përshpejtuese </w:t>
      </w:r>
      <w:r w:rsidR="00A91D05" w:rsidRPr="00641640">
        <w:rPr>
          <w:rFonts w:ascii="Times New Roman" w:hAnsi="Times New Roman" w:cs="Times New Roman"/>
          <w:iCs/>
          <w:noProof/>
          <w:sz w:val="24"/>
          <w:szCs w:val="24"/>
          <w:lang w:val="sq-AL"/>
        </w:rPr>
        <w:t>p</w:t>
      </w:r>
      <w:r w:rsidR="00064AC5" w:rsidRPr="00641640">
        <w:rPr>
          <w:rFonts w:ascii="Times New Roman" w:hAnsi="Times New Roman" w:cs="Times New Roman"/>
          <w:iCs/>
          <w:noProof/>
          <w:sz w:val="24"/>
          <w:szCs w:val="24"/>
          <w:lang w:val="sq-AL"/>
        </w:rPr>
        <w:t>ë</w:t>
      </w:r>
      <w:r w:rsidR="00A91D05" w:rsidRPr="00641640">
        <w:rPr>
          <w:rFonts w:ascii="Times New Roman" w:hAnsi="Times New Roman" w:cs="Times New Roman"/>
          <w:iCs/>
          <w:noProof/>
          <w:sz w:val="24"/>
          <w:szCs w:val="24"/>
          <w:lang w:val="sq-AL"/>
        </w:rPr>
        <w:t>r</w:t>
      </w:r>
      <w:r w:rsidR="0078675E" w:rsidRPr="00641640">
        <w:rPr>
          <w:rFonts w:ascii="Times New Roman" w:hAnsi="Times New Roman" w:cs="Times New Roman"/>
          <w:iCs/>
          <w:noProof/>
          <w:sz w:val="24"/>
          <w:szCs w:val="24"/>
          <w:lang w:val="sq-AL"/>
        </w:rPr>
        <w:t xml:space="preserve"> p</w:t>
      </w:r>
      <w:r w:rsidR="007F00FB" w:rsidRPr="00641640">
        <w:rPr>
          <w:rFonts w:ascii="Times New Roman" w:hAnsi="Times New Roman" w:cs="Times New Roman"/>
          <w:iCs/>
          <w:noProof/>
          <w:sz w:val="24"/>
          <w:szCs w:val="24"/>
          <w:lang w:val="sq-AL"/>
        </w:rPr>
        <w:t>ë</w:t>
      </w:r>
      <w:r w:rsidR="0078675E" w:rsidRPr="00641640">
        <w:rPr>
          <w:rFonts w:ascii="Times New Roman" w:hAnsi="Times New Roman" w:cs="Times New Roman"/>
          <w:iCs/>
          <w:noProof/>
          <w:sz w:val="24"/>
          <w:szCs w:val="24"/>
          <w:lang w:val="sq-AL"/>
        </w:rPr>
        <w:t>rmbushje</w:t>
      </w:r>
      <w:r w:rsidR="00A91D05" w:rsidRPr="00641640">
        <w:rPr>
          <w:rFonts w:ascii="Times New Roman" w:hAnsi="Times New Roman" w:cs="Times New Roman"/>
          <w:iCs/>
          <w:noProof/>
          <w:sz w:val="24"/>
          <w:szCs w:val="24"/>
          <w:lang w:val="sq-AL"/>
        </w:rPr>
        <w:t>n e</w:t>
      </w:r>
      <w:r w:rsidRPr="00641640">
        <w:rPr>
          <w:rFonts w:ascii="Times New Roman" w:hAnsi="Times New Roman" w:cs="Times New Roman"/>
          <w:iCs/>
          <w:noProof/>
          <w:sz w:val="24"/>
          <w:szCs w:val="24"/>
          <w:lang w:val="sq-AL"/>
        </w:rPr>
        <w:t xml:space="preserve"> </w:t>
      </w:r>
      <w:r w:rsidR="00A91D05" w:rsidRPr="00641640">
        <w:rPr>
          <w:rFonts w:ascii="Times New Roman" w:hAnsi="Times New Roman" w:cs="Times New Roman"/>
          <w:iCs/>
          <w:noProof/>
          <w:sz w:val="24"/>
          <w:szCs w:val="24"/>
          <w:lang w:val="sq-AL"/>
        </w:rPr>
        <w:t>Q</w:t>
      </w:r>
      <w:r w:rsidRPr="00641640">
        <w:rPr>
          <w:rFonts w:ascii="Times New Roman" w:hAnsi="Times New Roman" w:cs="Times New Roman"/>
          <w:iCs/>
          <w:noProof/>
          <w:sz w:val="24"/>
          <w:szCs w:val="24"/>
          <w:lang w:val="sq-AL"/>
        </w:rPr>
        <w:t xml:space="preserve">ëllimeve të tjera të </w:t>
      </w:r>
      <w:r w:rsidR="00A91D05" w:rsidRPr="00641640">
        <w:rPr>
          <w:rFonts w:ascii="Times New Roman" w:hAnsi="Times New Roman" w:cs="Times New Roman"/>
          <w:iCs/>
          <w:noProof/>
          <w:sz w:val="24"/>
          <w:szCs w:val="24"/>
          <w:lang w:val="sq-AL"/>
        </w:rPr>
        <w:t>S</w:t>
      </w:r>
      <w:r w:rsidRPr="00641640">
        <w:rPr>
          <w:rFonts w:ascii="Times New Roman" w:hAnsi="Times New Roman" w:cs="Times New Roman"/>
          <w:iCs/>
          <w:noProof/>
          <w:sz w:val="24"/>
          <w:szCs w:val="24"/>
          <w:lang w:val="sq-AL"/>
        </w:rPr>
        <w:t xml:space="preserve">trategjisë, </w:t>
      </w:r>
      <w:r w:rsidR="00A91D05" w:rsidRPr="00641640">
        <w:rPr>
          <w:rFonts w:ascii="Times New Roman" w:hAnsi="Times New Roman" w:cs="Times New Roman"/>
          <w:iCs/>
          <w:noProof/>
          <w:sz w:val="24"/>
          <w:szCs w:val="24"/>
          <w:lang w:val="sq-AL"/>
        </w:rPr>
        <w:t xml:space="preserve">duke </w:t>
      </w:r>
      <w:r w:rsidRPr="00641640">
        <w:rPr>
          <w:rFonts w:ascii="Times New Roman" w:hAnsi="Times New Roman" w:cs="Times New Roman"/>
          <w:iCs/>
          <w:noProof/>
          <w:sz w:val="24"/>
          <w:szCs w:val="24"/>
          <w:lang w:val="sq-AL"/>
        </w:rPr>
        <w:t>shërb</w:t>
      </w:r>
      <w:r w:rsidR="00A91D05" w:rsidRPr="00641640">
        <w:rPr>
          <w:rFonts w:ascii="Times New Roman" w:hAnsi="Times New Roman" w:cs="Times New Roman"/>
          <w:iCs/>
          <w:noProof/>
          <w:sz w:val="24"/>
          <w:szCs w:val="24"/>
          <w:lang w:val="sq-AL"/>
        </w:rPr>
        <w:t>yer</w:t>
      </w:r>
      <w:r w:rsidRPr="00641640">
        <w:rPr>
          <w:rFonts w:ascii="Times New Roman" w:hAnsi="Times New Roman" w:cs="Times New Roman"/>
          <w:iCs/>
          <w:noProof/>
          <w:sz w:val="24"/>
          <w:szCs w:val="24"/>
          <w:lang w:val="sq-AL"/>
        </w:rPr>
        <w:t xml:space="preserve"> si katalizatorë horizontalë </w:t>
      </w:r>
      <w:r w:rsidR="00A91D05" w:rsidRPr="00641640">
        <w:rPr>
          <w:rFonts w:ascii="Times New Roman" w:hAnsi="Times New Roman" w:cs="Times New Roman"/>
          <w:iCs/>
          <w:noProof/>
          <w:sz w:val="24"/>
          <w:szCs w:val="24"/>
          <w:lang w:val="sq-AL"/>
        </w:rPr>
        <w:t xml:space="preserve">drejt </w:t>
      </w:r>
      <w:r w:rsidRPr="00641640">
        <w:rPr>
          <w:rFonts w:ascii="Times New Roman" w:hAnsi="Times New Roman" w:cs="Times New Roman"/>
          <w:iCs/>
          <w:noProof/>
          <w:sz w:val="24"/>
          <w:szCs w:val="24"/>
          <w:lang w:val="sq-AL"/>
        </w:rPr>
        <w:t>një qeverisjeje vendore</w:t>
      </w:r>
      <w:r w:rsidR="0078675E" w:rsidRPr="00641640">
        <w:rPr>
          <w:rFonts w:ascii="Times New Roman" w:hAnsi="Times New Roman" w:cs="Times New Roman"/>
          <w:iCs/>
          <w:noProof/>
          <w:sz w:val="24"/>
          <w:szCs w:val="24"/>
          <w:lang w:val="sq-AL"/>
        </w:rPr>
        <w:t xml:space="preserve"> q</w:t>
      </w:r>
      <w:r w:rsidR="007F00FB" w:rsidRPr="00641640">
        <w:rPr>
          <w:rFonts w:ascii="Times New Roman" w:hAnsi="Times New Roman" w:cs="Times New Roman"/>
          <w:iCs/>
          <w:noProof/>
          <w:sz w:val="24"/>
          <w:szCs w:val="24"/>
          <w:lang w:val="sq-AL"/>
        </w:rPr>
        <w:t>ë</w:t>
      </w:r>
      <w:r w:rsidRPr="00641640">
        <w:rPr>
          <w:rFonts w:ascii="Times New Roman" w:hAnsi="Times New Roman" w:cs="Times New Roman"/>
          <w:iCs/>
          <w:noProof/>
          <w:sz w:val="24"/>
          <w:szCs w:val="24"/>
          <w:lang w:val="sq-AL"/>
        </w:rPr>
        <w:t xml:space="preserve"> nxit vlerat demokratike dhe </w:t>
      </w:r>
      <w:r w:rsidR="00064AC5" w:rsidRPr="00641640">
        <w:rPr>
          <w:rFonts w:ascii="Times New Roman" w:hAnsi="Times New Roman" w:cs="Times New Roman"/>
          <w:iCs/>
          <w:noProof/>
          <w:sz w:val="24"/>
          <w:szCs w:val="24"/>
          <w:lang w:val="sq-AL"/>
        </w:rPr>
        <w:t>ë</w:t>
      </w:r>
      <w:r w:rsidR="00A91D05" w:rsidRPr="00641640">
        <w:rPr>
          <w:rFonts w:ascii="Times New Roman" w:hAnsi="Times New Roman" w:cs="Times New Roman"/>
          <w:iCs/>
          <w:noProof/>
          <w:sz w:val="24"/>
          <w:szCs w:val="24"/>
          <w:lang w:val="sq-AL"/>
        </w:rPr>
        <w:t>sht</w:t>
      </w:r>
      <w:r w:rsidR="00064AC5" w:rsidRPr="00641640">
        <w:rPr>
          <w:rFonts w:ascii="Times New Roman" w:hAnsi="Times New Roman" w:cs="Times New Roman"/>
          <w:iCs/>
          <w:noProof/>
          <w:sz w:val="24"/>
          <w:szCs w:val="24"/>
          <w:lang w:val="sq-AL"/>
        </w:rPr>
        <w:t>ë</w:t>
      </w:r>
      <w:r w:rsidR="00A91D05" w:rsidRPr="00641640">
        <w:rPr>
          <w:rFonts w:ascii="Times New Roman" w:hAnsi="Times New Roman" w:cs="Times New Roman"/>
          <w:iCs/>
          <w:noProof/>
          <w:sz w:val="24"/>
          <w:szCs w:val="24"/>
          <w:lang w:val="sq-AL"/>
        </w:rPr>
        <w:t xml:space="preserve"> e orientuar </w:t>
      </w:r>
      <w:r w:rsidRPr="00641640">
        <w:rPr>
          <w:rFonts w:ascii="Times New Roman" w:hAnsi="Times New Roman" w:cs="Times New Roman"/>
          <w:iCs/>
          <w:noProof/>
          <w:sz w:val="24"/>
          <w:szCs w:val="24"/>
          <w:lang w:val="sq-AL"/>
        </w:rPr>
        <w:t xml:space="preserve">drejt rritjes </w:t>
      </w:r>
      <w:r w:rsidR="00A91D05" w:rsidRPr="00641640">
        <w:rPr>
          <w:rFonts w:ascii="Times New Roman" w:hAnsi="Times New Roman" w:cs="Times New Roman"/>
          <w:iCs/>
          <w:noProof/>
          <w:sz w:val="24"/>
          <w:szCs w:val="24"/>
          <w:lang w:val="sq-AL"/>
        </w:rPr>
        <w:t>s</w:t>
      </w:r>
      <w:r w:rsidR="00064AC5" w:rsidRPr="00641640">
        <w:rPr>
          <w:rFonts w:ascii="Times New Roman" w:hAnsi="Times New Roman" w:cs="Times New Roman"/>
          <w:iCs/>
          <w:noProof/>
          <w:sz w:val="24"/>
          <w:szCs w:val="24"/>
          <w:lang w:val="sq-AL"/>
        </w:rPr>
        <w:t>ë</w:t>
      </w:r>
      <w:r w:rsidR="00A91D05" w:rsidRPr="00641640">
        <w:rPr>
          <w:rFonts w:ascii="Times New Roman" w:hAnsi="Times New Roman" w:cs="Times New Roman"/>
          <w:iCs/>
          <w:noProof/>
          <w:sz w:val="24"/>
          <w:szCs w:val="24"/>
          <w:lang w:val="sq-AL"/>
        </w:rPr>
        <w:t xml:space="preserve"> q</w:t>
      </w:r>
      <w:r w:rsidR="00C316FB" w:rsidRPr="00641640">
        <w:rPr>
          <w:rFonts w:ascii="Times New Roman" w:hAnsi="Times New Roman" w:cs="Times New Roman"/>
          <w:iCs/>
          <w:noProof/>
          <w:sz w:val="24"/>
          <w:szCs w:val="24"/>
          <w:lang w:val="sq-AL"/>
        </w:rPr>
        <w:t>e</w:t>
      </w:r>
      <w:r w:rsidR="00A91D05" w:rsidRPr="00641640">
        <w:rPr>
          <w:rFonts w:ascii="Times New Roman" w:hAnsi="Times New Roman" w:cs="Times New Roman"/>
          <w:iCs/>
          <w:noProof/>
          <w:sz w:val="24"/>
          <w:szCs w:val="24"/>
          <w:lang w:val="sq-AL"/>
        </w:rPr>
        <w:t xml:space="preserve">ndrueshme </w:t>
      </w:r>
      <w:r w:rsidRPr="00641640">
        <w:rPr>
          <w:rFonts w:ascii="Times New Roman" w:hAnsi="Times New Roman" w:cs="Times New Roman"/>
          <w:iCs/>
          <w:noProof/>
          <w:sz w:val="24"/>
          <w:szCs w:val="24"/>
          <w:lang w:val="sq-AL"/>
        </w:rPr>
        <w:t>ekonomike.</w:t>
      </w:r>
      <w:r w:rsidRPr="00641640">
        <w:rPr>
          <w:rFonts w:ascii="Times New Roman" w:hAnsi="Times New Roman" w:cs="Times New Roman"/>
          <w:noProof/>
          <w:sz w:val="24"/>
          <w:szCs w:val="24"/>
          <w:lang w:val="sq-AL"/>
        </w:rPr>
        <w:t xml:space="preserve"> </w:t>
      </w:r>
    </w:p>
    <w:p w14:paraId="2599703E" w14:textId="77777777" w:rsidR="00A07E9C" w:rsidRPr="0007033C" w:rsidRDefault="00A07E9C" w:rsidP="003A395D">
      <w:pPr>
        <w:spacing w:line="276" w:lineRule="auto"/>
        <w:jc w:val="both"/>
        <w:rPr>
          <w:rFonts w:ascii="Times New Roman" w:hAnsi="Times New Roman" w:cs="Times New Roman"/>
          <w:noProof/>
          <w:color w:val="000000" w:themeColor="text1"/>
          <w:sz w:val="18"/>
          <w:szCs w:val="18"/>
          <w:lang w:val="sq-AL"/>
        </w:rPr>
      </w:pPr>
    </w:p>
    <w:p w14:paraId="5D7A52F4" w14:textId="783A3AD9" w:rsidR="00977C9D" w:rsidRPr="00641640" w:rsidRDefault="002D647C"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Ndërl</w:t>
      </w:r>
      <w:r w:rsidR="006C1D39" w:rsidRPr="00641640">
        <w:rPr>
          <w:rFonts w:ascii="Times New Roman" w:hAnsi="Times New Roman" w:cs="Times New Roman"/>
          <w:b/>
          <w:bCs/>
          <w:noProof/>
          <w:sz w:val="24"/>
          <w:szCs w:val="24"/>
          <w:lang w:val="sq-AL"/>
        </w:rPr>
        <w:t>idhja e SNRAP</w:t>
      </w:r>
      <w:r w:rsidRPr="00641640">
        <w:rPr>
          <w:rFonts w:ascii="Times New Roman" w:hAnsi="Times New Roman" w:cs="Times New Roman"/>
          <w:b/>
          <w:bCs/>
          <w:noProof/>
          <w:sz w:val="24"/>
          <w:szCs w:val="24"/>
          <w:lang w:val="sq-AL"/>
        </w:rPr>
        <w:t xml:space="preserve"> 202</w:t>
      </w:r>
      <w:r w:rsidR="00C316FB" w:rsidRPr="00641640">
        <w:rPr>
          <w:rFonts w:ascii="Times New Roman" w:hAnsi="Times New Roman" w:cs="Times New Roman"/>
          <w:b/>
          <w:bCs/>
          <w:noProof/>
          <w:sz w:val="24"/>
          <w:szCs w:val="24"/>
          <w:lang w:val="sq-AL"/>
        </w:rPr>
        <w:t>5</w:t>
      </w:r>
      <w:r w:rsidRPr="00641640">
        <w:rPr>
          <w:rFonts w:ascii="Times New Roman" w:hAnsi="Times New Roman" w:cs="Times New Roman"/>
          <w:b/>
          <w:bCs/>
          <w:noProof/>
          <w:sz w:val="24"/>
          <w:szCs w:val="24"/>
          <w:lang w:val="sq-AL"/>
        </w:rPr>
        <w:t>-2030</w:t>
      </w:r>
      <w:r w:rsidR="006C1D39" w:rsidRPr="00641640">
        <w:rPr>
          <w:rFonts w:ascii="Times New Roman" w:hAnsi="Times New Roman" w:cs="Times New Roman"/>
          <w:b/>
          <w:bCs/>
          <w:noProof/>
          <w:sz w:val="24"/>
          <w:szCs w:val="24"/>
          <w:lang w:val="sq-AL"/>
        </w:rPr>
        <w:t xml:space="preserve"> me </w:t>
      </w:r>
      <w:r w:rsidR="00977C9D" w:rsidRPr="00641640">
        <w:rPr>
          <w:rFonts w:ascii="Times New Roman" w:hAnsi="Times New Roman" w:cs="Times New Roman"/>
          <w:b/>
          <w:bCs/>
          <w:noProof/>
          <w:sz w:val="24"/>
          <w:szCs w:val="24"/>
          <w:lang w:val="sq-AL"/>
        </w:rPr>
        <w:t>Strategji</w:t>
      </w:r>
      <w:r w:rsidR="006C1D39" w:rsidRPr="00641640">
        <w:rPr>
          <w:rFonts w:ascii="Times New Roman" w:hAnsi="Times New Roman" w:cs="Times New Roman"/>
          <w:b/>
          <w:bCs/>
          <w:noProof/>
          <w:sz w:val="24"/>
          <w:szCs w:val="24"/>
          <w:lang w:val="sq-AL"/>
        </w:rPr>
        <w:t>n</w:t>
      </w:r>
      <w:r w:rsidR="00064AC5" w:rsidRPr="00641640">
        <w:rPr>
          <w:rFonts w:ascii="Times New Roman" w:hAnsi="Times New Roman" w:cs="Times New Roman"/>
          <w:b/>
          <w:bCs/>
          <w:noProof/>
          <w:sz w:val="24"/>
          <w:szCs w:val="24"/>
          <w:lang w:val="sq-AL"/>
        </w:rPr>
        <w:t>ë</w:t>
      </w:r>
      <w:r w:rsidR="00977C9D" w:rsidRPr="00641640">
        <w:rPr>
          <w:rFonts w:ascii="Times New Roman" w:hAnsi="Times New Roman" w:cs="Times New Roman"/>
          <w:b/>
          <w:bCs/>
          <w:noProof/>
          <w:sz w:val="24"/>
          <w:szCs w:val="24"/>
          <w:lang w:val="sq-AL"/>
        </w:rPr>
        <w:t xml:space="preserve"> </w:t>
      </w:r>
      <w:r w:rsidR="00E50D92">
        <w:rPr>
          <w:rFonts w:ascii="Times New Roman" w:hAnsi="Times New Roman" w:cs="Times New Roman"/>
          <w:b/>
          <w:bCs/>
          <w:noProof/>
          <w:sz w:val="24"/>
          <w:szCs w:val="24"/>
          <w:lang w:val="sq-AL"/>
        </w:rPr>
        <w:t>Sektoriale</w:t>
      </w:r>
      <w:r w:rsidR="00977C9D" w:rsidRPr="00641640">
        <w:rPr>
          <w:rFonts w:ascii="Times New Roman" w:hAnsi="Times New Roman" w:cs="Times New Roman"/>
          <w:b/>
          <w:bCs/>
          <w:noProof/>
          <w:sz w:val="24"/>
          <w:szCs w:val="24"/>
          <w:lang w:val="sq-AL"/>
        </w:rPr>
        <w:t xml:space="preserve"> </w:t>
      </w:r>
      <w:r w:rsidR="00E50D92">
        <w:rPr>
          <w:rFonts w:ascii="Times New Roman" w:hAnsi="Times New Roman" w:cs="Times New Roman"/>
          <w:b/>
          <w:bCs/>
          <w:noProof/>
          <w:sz w:val="24"/>
          <w:szCs w:val="24"/>
          <w:lang w:val="sq-AL"/>
        </w:rPr>
        <w:t>t</w:t>
      </w:r>
      <w:r w:rsidR="00977C9D" w:rsidRPr="00641640">
        <w:rPr>
          <w:rFonts w:ascii="Times New Roman" w:hAnsi="Times New Roman" w:cs="Times New Roman"/>
          <w:b/>
          <w:bCs/>
          <w:noProof/>
          <w:sz w:val="24"/>
          <w:szCs w:val="24"/>
          <w:lang w:val="sq-AL"/>
        </w:rPr>
        <w:t>ë Menaxhimit të Financave Publike 2023</w:t>
      </w:r>
      <w:r w:rsidRPr="00641640">
        <w:rPr>
          <w:rFonts w:ascii="Times New Roman" w:hAnsi="Times New Roman" w:cs="Times New Roman"/>
          <w:b/>
          <w:bCs/>
          <w:noProof/>
          <w:sz w:val="24"/>
          <w:szCs w:val="24"/>
          <w:lang w:val="sq-AL"/>
        </w:rPr>
        <w:t>-</w:t>
      </w:r>
      <w:r w:rsidR="00977C9D" w:rsidRPr="00641640">
        <w:rPr>
          <w:rFonts w:ascii="Times New Roman" w:hAnsi="Times New Roman" w:cs="Times New Roman"/>
          <w:b/>
          <w:bCs/>
          <w:noProof/>
          <w:sz w:val="24"/>
          <w:szCs w:val="24"/>
          <w:lang w:val="sq-AL"/>
        </w:rPr>
        <w:t>2030</w:t>
      </w:r>
    </w:p>
    <w:p w14:paraId="38CD3DEC" w14:textId="34CFAE24" w:rsidR="00977C9D" w:rsidRPr="00641640" w:rsidRDefault="00977C9D"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Strategjia Sektoriale e</w:t>
      </w:r>
      <w:r w:rsidR="00ED758C">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Menaxhimit të Financave Publike 2023-2030 </w:t>
      </w:r>
      <w:r w:rsidR="00A91D05"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A91D05" w:rsidRPr="00641640">
        <w:rPr>
          <w:rFonts w:ascii="Times New Roman" w:hAnsi="Times New Roman" w:cs="Times New Roman"/>
          <w:noProof/>
          <w:sz w:val="24"/>
          <w:szCs w:val="24"/>
          <w:lang w:val="sq-AL"/>
        </w:rPr>
        <w:t>rfaq</w:t>
      </w:r>
      <w:r w:rsidR="00064AC5" w:rsidRPr="00641640">
        <w:rPr>
          <w:rFonts w:ascii="Times New Roman" w:hAnsi="Times New Roman" w:cs="Times New Roman"/>
          <w:noProof/>
          <w:sz w:val="24"/>
          <w:szCs w:val="24"/>
          <w:lang w:val="sq-AL"/>
        </w:rPr>
        <w:t>ë</w:t>
      </w:r>
      <w:r w:rsidR="00A91D05" w:rsidRPr="00641640">
        <w:rPr>
          <w:rFonts w:ascii="Times New Roman" w:hAnsi="Times New Roman" w:cs="Times New Roman"/>
          <w:noProof/>
          <w:sz w:val="24"/>
          <w:szCs w:val="24"/>
          <w:lang w:val="sq-AL"/>
        </w:rPr>
        <w:t>son</w:t>
      </w:r>
      <w:r w:rsidRPr="00641640">
        <w:rPr>
          <w:rFonts w:ascii="Times New Roman" w:hAnsi="Times New Roman" w:cs="Times New Roman"/>
          <w:noProof/>
          <w:sz w:val="24"/>
          <w:szCs w:val="24"/>
          <w:lang w:val="sq-AL"/>
        </w:rPr>
        <w:t xml:space="preserve"> dokument</w:t>
      </w:r>
      <w:r w:rsidR="00A91D05" w:rsidRPr="00641640">
        <w:rPr>
          <w:rFonts w:ascii="Times New Roman" w:hAnsi="Times New Roman" w:cs="Times New Roman"/>
          <w:noProof/>
          <w:sz w:val="24"/>
          <w:szCs w:val="24"/>
          <w:lang w:val="sq-AL"/>
        </w:rPr>
        <w:t>in kyç</w:t>
      </w:r>
      <w:r w:rsidRPr="00641640">
        <w:rPr>
          <w:rFonts w:ascii="Times New Roman" w:hAnsi="Times New Roman" w:cs="Times New Roman"/>
          <w:noProof/>
          <w:sz w:val="24"/>
          <w:szCs w:val="24"/>
          <w:lang w:val="sq-AL"/>
        </w:rPr>
        <w:t xml:space="preserve"> strategjik për zhvillimin e sistemit të menaxhimit të financave publike, duke </w:t>
      </w:r>
      <w:r w:rsidR="00A91D05" w:rsidRPr="00641640">
        <w:rPr>
          <w:rFonts w:ascii="Times New Roman" w:hAnsi="Times New Roman" w:cs="Times New Roman"/>
          <w:noProof/>
          <w:sz w:val="24"/>
          <w:szCs w:val="24"/>
          <w:lang w:val="sq-AL"/>
        </w:rPr>
        <w:t>u mb</w:t>
      </w:r>
      <w:r w:rsidR="00064AC5" w:rsidRPr="00641640">
        <w:rPr>
          <w:rFonts w:ascii="Times New Roman" w:hAnsi="Times New Roman" w:cs="Times New Roman"/>
          <w:noProof/>
          <w:sz w:val="24"/>
          <w:szCs w:val="24"/>
          <w:lang w:val="sq-AL"/>
        </w:rPr>
        <w:t>ë</w:t>
      </w:r>
      <w:r w:rsidR="00A91D05" w:rsidRPr="00641640">
        <w:rPr>
          <w:rFonts w:ascii="Times New Roman" w:hAnsi="Times New Roman" w:cs="Times New Roman"/>
          <w:noProof/>
          <w:sz w:val="24"/>
          <w:szCs w:val="24"/>
          <w:lang w:val="sq-AL"/>
        </w:rPr>
        <w:t>shtetur n</w:t>
      </w:r>
      <w:r w:rsidR="00064AC5" w:rsidRPr="00641640">
        <w:rPr>
          <w:rFonts w:ascii="Times New Roman" w:hAnsi="Times New Roman" w:cs="Times New Roman"/>
          <w:noProof/>
          <w:sz w:val="24"/>
          <w:szCs w:val="24"/>
          <w:lang w:val="sq-AL"/>
        </w:rPr>
        <w:t>ë</w:t>
      </w:r>
      <w:r w:rsidR="00A91D05" w:rsidRPr="00641640">
        <w:rPr>
          <w:rFonts w:ascii="Times New Roman" w:hAnsi="Times New Roman" w:cs="Times New Roman"/>
          <w:noProof/>
          <w:sz w:val="24"/>
          <w:szCs w:val="24"/>
          <w:lang w:val="sq-AL"/>
        </w:rPr>
        <w:t xml:space="preserve"> p</w:t>
      </w:r>
      <w:r w:rsidR="00064AC5" w:rsidRPr="00641640">
        <w:rPr>
          <w:rFonts w:ascii="Times New Roman" w:hAnsi="Times New Roman" w:cs="Times New Roman"/>
          <w:noProof/>
          <w:sz w:val="24"/>
          <w:szCs w:val="24"/>
          <w:lang w:val="sq-AL"/>
        </w:rPr>
        <w:t>ë</w:t>
      </w:r>
      <w:r w:rsidR="00A91D05" w:rsidRPr="00641640">
        <w:rPr>
          <w:rFonts w:ascii="Times New Roman" w:hAnsi="Times New Roman" w:cs="Times New Roman"/>
          <w:noProof/>
          <w:sz w:val="24"/>
          <w:szCs w:val="24"/>
          <w:lang w:val="sq-AL"/>
        </w:rPr>
        <w:t>rvoj</w:t>
      </w:r>
      <w:r w:rsidR="00064AC5" w:rsidRPr="00641640">
        <w:rPr>
          <w:rFonts w:ascii="Times New Roman" w:hAnsi="Times New Roman" w:cs="Times New Roman"/>
          <w:noProof/>
          <w:sz w:val="24"/>
          <w:szCs w:val="24"/>
          <w:lang w:val="sq-AL"/>
        </w:rPr>
        <w:t>ë</w:t>
      </w:r>
      <w:r w:rsidR="00A91D05" w:rsidRPr="00641640">
        <w:rPr>
          <w:rFonts w:ascii="Times New Roman" w:hAnsi="Times New Roman" w:cs="Times New Roman"/>
          <w:noProof/>
          <w:sz w:val="24"/>
          <w:szCs w:val="24"/>
          <w:lang w:val="sq-AL"/>
        </w:rPr>
        <w:t xml:space="preserve">n dhe </w:t>
      </w:r>
      <w:r w:rsidRPr="00641640">
        <w:rPr>
          <w:rFonts w:ascii="Times New Roman" w:hAnsi="Times New Roman" w:cs="Times New Roman"/>
          <w:noProof/>
          <w:sz w:val="24"/>
          <w:szCs w:val="24"/>
          <w:lang w:val="sq-AL"/>
        </w:rPr>
        <w:t>reformat</w:t>
      </w:r>
      <w:r w:rsidR="0078675E" w:rsidRPr="00641640">
        <w:rPr>
          <w:rFonts w:ascii="Times New Roman" w:hAnsi="Times New Roman" w:cs="Times New Roman"/>
          <w:noProof/>
          <w:sz w:val="24"/>
          <w:szCs w:val="24"/>
          <w:lang w:val="sq-AL"/>
        </w:rPr>
        <w:t xml:space="preserve"> e zbatuara </w:t>
      </w:r>
      <w:r w:rsidR="00A91D05"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A91D05" w:rsidRPr="00641640">
        <w:rPr>
          <w:rFonts w:ascii="Times New Roman" w:hAnsi="Times New Roman" w:cs="Times New Roman"/>
          <w:noProof/>
          <w:sz w:val="24"/>
          <w:szCs w:val="24"/>
          <w:lang w:val="sq-AL"/>
        </w:rPr>
        <w:t>rmes</w:t>
      </w:r>
      <w:r w:rsidRPr="00641640">
        <w:rPr>
          <w:rFonts w:ascii="Times New Roman" w:hAnsi="Times New Roman" w:cs="Times New Roman"/>
          <w:noProof/>
          <w:sz w:val="24"/>
          <w:szCs w:val="24"/>
          <w:lang w:val="sq-AL"/>
        </w:rPr>
        <w:t xml:space="preserve"> </w:t>
      </w:r>
      <w:r w:rsidR="00A91D05" w:rsidRPr="00641640">
        <w:rPr>
          <w:rFonts w:ascii="Times New Roman" w:hAnsi="Times New Roman" w:cs="Times New Roman"/>
          <w:noProof/>
          <w:sz w:val="24"/>
          <w:szCs w:val="24"/>
          <w:lang w:val="sq-AL"/>
        </w:rPr>
        <w:t>S</w:t>
      </w:r>
      <w:r w:rsidRPr="00641640">
        <w:rPr>
          <w:rFonts w:ascii="Times New Roman" w:hAnsi="Times New Roman" w:cs="Times New Roman"/>
          <w:noProof/>
          <w:sz w:val="24"/>
          <w:szCs w:val="24"/>
          <w:lang w:val="sq-AL"/>
        </w:rPr>
        <w:t>trategji</w:t>
      </w:r>
      <w:r w:rsidR="00ED758C">
        <w:rPr>
          <w:rFonts w:ascii="Times New Roman" w:hAnsi="Times New Roman" w:cs="Times New Roman"/>
          <w:noProof/>
          <w:sz w:val="24"/>
          <w:szCs w:val="24"/>
          <w:lang w:val="sq-AL"/>
        </w:rPr>
        <w:t>ve</w:t>
      </w:r>
      <w:r w:rsidRPr="00641640">
        <w:rPr>
          <w:rFonts w:ascii="Times New Roman" w:hAnsi="Times New Roman" w:cs="Times New Roman"/>
          <w:noProof/>
          <w:sz w:val="24"/>
          <w:szCs w:val="24"/>
          <w:lang w:val="sq-AL"/>
        </w:rPr>
        <w:t xml:space="preserve"> </w:t>
      </w:r>
      <w:r w:rsidR="00A91D05" w:rsidRPr="00641640">
        <w:rPr>
          <w:rFonts w:ascii="Times New Roman" w:hAnsi="Times New Roman" w:cs="Times New Roman"/>
          <w:noProof/>
          <w:sz w:val="24"/>
          <w:szCs w:val="24"/>
          <w:lang w:val="sq-AL"/>
        </w:rPr>
        <w:t>pararend</w:t>
      </w:r>
      <w:r w:rsidR="00064AC5" w:rsidRPr="00641640">
        <w:rPr>
          <w:rFonts w:ascii="Times New Roman" w:hAnsi="Times New Roman" w:cs="Times New Roman"/>
          <w:noProof/>
          <w:sz w:val="24"/>
          <w:szCs w:val="24"/>
          <w:lang w:val="sq-AL"/>
        </w:rPr>
        <w:t>ë</w:t>
      </w:r>
      <w:r w:rsidR="00A91D05" w:rsidRPr="00641640">
        <w:rPr>
          <w:rFonts w:ascii="Times New Roman" w:hAnsi="Times New Roman" w:cs="Times New Roman"/>
          <w:noProof/>
          <w:sz w:val="24"/>
          <w:szCs w:val="24"/>
          <w:lang w:val="sq-AL"/>
        </w:rPr>
        <w:t>se</w:t>
      </w:r>
      <w:r w:rsidRPr="00641640">
        <w:rPr>
          <w:rFonts w:ascii="Times New Roman" w:hAnsi="Times New Roman" w:cs="Times New Roman"/>
          <w:noProof/>
          <w:sz w:val="24"/>
          <w:szCs w:val="24"/>
          <w:lang w:val="sq-AL"/>
        </w:rPr>
        <w:t xml:space="preserve"> (2014-202</w:t>
      </w:r>
      <w:r w:rsidR="00ED758C">
        <w:rPr>
          <w:rFonts w:ascii="Times New Roman" w:hAnsi="Times New Roman" w:cs="Times New Roman"/>
          <w:noProof/>
          <w:sz w:val="24"/>
          <w:szCs w:val="24"/>
          <w:lang w:val="sq-AL"/>
        </w:rPr>
        <w:t>0 dhe 2019-2022</w:t>
      </w:r>
      <w:r w:rsidRPr="00641640">
        <w:rPr>
          <w:rFonts w:ascii="Times New Roman" w:hAnsi="Times New Roman" w:cs="Times New Roman"/>
          <w:noProof/>
          <w:sz w:val="24"/>
          <w:szCs w:val="24"/>
          <w:lang w:val="sq-AL"/>
        </w:rPr>
        <w:t>). Strat</w:t>
      </w:r>
      <w:r w:rsidR="00A91D05"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gjia thekson </w:t>
      </w:r>
      <w:r w:rsidR="00A91D05" w:rsidRPr="00641640">
        <w:rPr>
          <w:rFonts w:ascii="Times New Roman" w:hAnsi="Times New Roman" w:cs="Times New Roman"/>
          <w:noProof/>
          <w:sz w:val="24"/>
          <w:szCs w:val="24"/>
          <w:lang w:val="sq-AL"/>
        </w:rPr>
        <w:t>r</w:t>
      </w:r>
      <w:r w:rsidR="00064AC5" w:rsidRPr="00641640">
        <w:rPr>
          <w:rFonts w:ascii="Times New Roman" w:hAnsi="Times New Roman" w:cs="Times New Roman"/>
          <w:noProof/>
          <w:sz w:val="24"/>
          <w:szCs w:val="24"/>
          <w:lang w:val="sq-AL"/>
        </w:rPr>
        <w:t>ë</w:t>
      </w:r>
      <w:r w:rsidR="00A91D05" w:rsidRPr="00641640">
        <w:rPr>
          <w:rFonts w:ascii="Times New Roman" w:hAnsi="Times New Roman" w:cs="Times New Roman"/>
          <w:noProof/>
          <w:sz w:val="24"/>
          <w:szCs w:val="24"/>
          <w:lang w:val="sq-AL"/>
        </w:rPr>
        <w:t>nd</w:t>
      </w:r>
      <w:r w:rsidR="00064AC5" w:rsidRPr="00641640">
        <w:rPr>
          <w:rFonts w:ascii="Times New Roman" w:hAnsi="Times New Roman" w:cs="Times New Roman"/>
          <w:noProof/>
          <w:sz w:val="24"/>
          <w:szCs w:val="24"/>
          <w:lang w:val="sq-AL"/>
        </w:rPr>
        <w:t>ë</w:t>
      </w:r>
      <w:r w:rsidR="00A91D05" w:rsidRPr="00641640">
        <w:rPr>
          <w:rFonts w:ascii="Times New Roman" w:hAnsi="Times New Roman" w:cs="Times New Roman"/>
          <w:noProof/>
          <w:sz w:val="24"/>
          <w:szCs w:val="24"/>
          <w:lang w:val="sq-AL"/>
        </w:rPr>
        <w:t>sin</w:t>
      </w:r>
      <w:r w:rsidR="00064AC5" w:rsidRPr="00641640">
        <w:rPr>
          <w:rFonts w:ascii="Times New Roman" w:hAnsi="Times New Roman" w:cs="Times New Roman"/>
          <w:noProof/>
          <w:sz w:val="24"/>
          <w:szCs w:val="24"/>
          <w:lang w:val="sq-AL"/>
        </w:rPr>
        <w:t>ë</w:t>
      </w:r>
      <w:r w:rsidR="00A91D05" w:rsidRPr="00641640">
        <w:rPr>
          <w:rFonts w:ascii="Times New Roman" w:hAnsi="Times New Roman" w:cs="Times New Roman"/>
          <w:noProof/>
          <w:sz w:val="24"/>
          <w:szCs w:val="24"/>
          <w:lang w:val="sq-AL"/>
        </w:rPr>
        <w:t xml:space="preserve"> e</w:t>
      </w:r>
      <w:r w:rsidRPr="00641640">
        <w:rPr>
          <w:rFonts w:ascii="Times New Roman" w:hAnsi="Times New Roman" w:cs="Times New Roman"/>
          <w:noProof/>
          <w:sz w:val="24"/>
          <w:szCs w:val="24"/>
          <w:lang w:val="sq-AL"/>
        </w:rPr>
        <w:t xml:space="preserve"> përmirësimi</w:t>
      </w:r>
      <w:r w:rsidR="00A91D05" w:rsidRPr="00641640">
        <w:rPr>
          <w:rFonts w:ascii="Times New Roman" w:hAnsi="Times New Roman" w:cs="Times New Roman"/>
          <w:noProof/>
          <w:sz w:val="24"/>
          <w:szCs w:val="24"/>
          <w:lang w:val="sq-AL"/>
        </w:rPr>
        <w:t>t</w:t>
      </w:r>
      <w:r w:rsidRPr="00641640">
        <w:rPr>
          <w:rFonts w:ascii="Times New Roman" w:hAnsi="Times New Roman" w:cs="Times New Roman"/>
          <w:noProof/>
          <w:sz w:val="24"/>
          <w:szCs w:val="24"/>
          <w:lang w:val="sq-AL"/>
        </w:rPr>
        <w:t xml:space="preserve"> </w:t>
      </w:r>
      <w:r w:rsidR="00A91D05"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menaxhimit të financave publike jo vetëm për</w:t>
      </w:r>
      <w:r w:rsidR="0078675E" w:rsidRPr="00641640">
        <w:rPr>
          <w:rFonts w:ascii="Times New Roman" w:hAnsi="Times New Roman" w:cs="Times New Roman"/>
          <w:noProof/>
          <w:sz w:val="24"/>
          <w:szCs w:val="24"/>
          <w:lang w:val="sq-AL"/>
        </w:rPr>
        <w:t xml:space="preserve"> </w:t>
      </w:r>
      <w:r w:rsidR="00A91D05"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A91D05" w:rsidRPr="00641640">
        <w:rPr>
          <w:rFonts w:ascii="Times New Roman" w:hAnsi="Times New Roman" w:cs="Times New Roman"/>
          <w:noProof/>
          <w:sz w:val="24"/>
          <w:szCs w:val="24"/>
          <w:lang w:val="sq-AL"/>
        </w:rPr>
        <w:t xml:space="preserve"> arritur </w:t>
      </w:r>
      <w:r w:rsidRPr="00641640">
        <w:rPr>
          <w:rFonts w:ascii="Times New Roman" w:hAnsi="Times New Roman" w:cs="Times New Roman"/>
          <w:noProof/>
          <w:sz w:val="24"/>
          <w:szCs w:val="24"/>
          <w:lang w:val="sq-AL"/>
        </w:rPr>
        <w:t xml:space="preserve">konsolidimin fiskal dhe </w:t>
      </w:r>
      <w:r w:rsidR="00A91D05"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A91D05" w:rsidRPr="00641640">
        <w:rPr>
          <w:rFonts w:ascii="Times New Roman" w:hAnsi="Times New Roman" w:cs="Times New Roman"/>
          <w:noProof/>
          <w:sz w:val="24"/>
          <w:szCs w:val="24"/>
          <w:lang w:val="sq-AL"/>
        </w:rPr>
        <w:t>r t</w:t>
      </w:r>
      <w:r w:rsidR="00064AC5" w:rsidRPr="00641640">
        <w:rPr>
          <w:rFonts w:ascii="Times New Roman" w:hAnsi="Times New Roman" w:cs="Times New Roman"/>
          <w:noProof/>
          <w:sz w:val="24"/>
          <w:szCs w:val="24"/>
          <w:lang w:val="sq-AL"/>
        </w:rPr>
        <w:t>ë</w:t>
      </w:r>
      <w:r w:rsidR="00A91D05" w:rsidRPr="00641640">
        <w:rPr>
          <w:rFonts w:ascii="Times New Roman" w:hAnsi="Times New Roman" w:cs="Times New Roman"/>
          <w:noProof/>
          <w:sz w:val="24"/>
          <w:szCs w:val="24"/>
          <w:lang w:val="sq-AL"/>
        </w:rPr>
        <w:t xml:space="preserve"> </w:t>
      </w:r>
      <w:r w:rsidR="005B6CFC" w:rsidRPr="00641640">
        <w:rPr>
          <w:rFonts w:ascii="Times New Roman" w:hAnsi="Times New Roman" w:cs="Times New Roman"/>
          <w:noProof/>
          <w:sz w:val="24"/>
          <w:szCs w:val="24"/>
          <w:lang w:val="sq-AL"/>
        </w:rPr>
        <w:t xml:space="preserve">zbatuar </w:t>
      </w:r>
      <w:r w:rsidRPr="00641640">
        <w:rPr>
          <w:rFonts w:ascii="Times New Roman" w:hAnsi="Times New Roman" w:cs="Times New Roman"/>
          <w:noProof/>
          <w:sz w:val="24"/>
          <w:szCs w:val="24"/>
          <w:lang w:val="sq-AL"/>
        </w:rPr>
        <w:t xml:space="preserve">reformat strukturore, por edhe </w:t>
      </w:r>
      <w:r w:rsidR="0078675E" w:rsidRPr="00641640">
        <w:rPr>
          <w:rFonts w:ascii="Times New Roman" w:hAnsi="Times New Roman" w:cs="Times New Roman"/>
          <w:noProof/>
          <w:sz w:val="24"/>
          <w:szCs w:val="24"/>
          <w:lang w:val="sq-AL"/>
        </w:rPr>
        <w:t>p</w:t>
      </w:r>
      <w:r w:rsidR="007F00FB" w:rsidRPr="00641640">
        <w:rPr>
          <w:rFonts w:ascii="Times New Roman" w:hAnsi="Times New Roman" w:cs="Times New Roman"/>
          <w:noProof/>
          <w:sz w:val="24"/>
          <w:szCs w:val="24"/>
          <w:lang w:val="sq-AL"/>
        </w:rPr>
        <w:t>ë</w:t>
      </w:r>
      <w:r w:rsidR="0078675E" w:rsidRPr="00641640">
        <w:rPr>
          <w:rFonts w:ascii="Times New Roman" w:hAnsi="Times New Roman" w:cs="Times New Roman"/>
          <w:noProof/>
          <w:sz w:val="24"/>
          <w:szCs w:val="24"/>
          <w:lang w:val="sq-AL"/>
        </w:rPr>
        <w:t>r</w:t>
      </w:r>
      <w:r w:rsidRPr="00641640">
        <w:rPr>
          <w:rFonts w:ascii="Times New Roman" w:hAnsi="Times New Roman" w:cs="Times New Roman"/>
          <w:noProof/>
          <w:sz w:val="24"/>
          <w:szCs w:val="24"/>
          <w:lang w:val="sq-AL"/>
        </w:rPr>
        <w:t xml:space="preserve"> përmirës</w:t>
      </w:r>
      <w:r w:rsidR="0078675E" w:rsidRPr="00641640">
        <w:rPr>
          <w:rFonts w:ascii="Times New Roman" w:hAnsi="Times New Roman" w:cs="Times New Roman"/>
          <w:noProof/>
          <w:sz w:val="24"/>
          <w:szCs w:val="24"/>
          <w:lang w:val="sq-AL"/>
        </w:rPr>
        <w:t>imin e</w:t>
      </w:r>
      <w:r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lastRenderedPageBreak/>
        <w:t>cilësi</w:t>
      </w:r>
      <w:r w:rsidR="0078675E" w:rsidRPr="00641640">
        <w:rPr>
          <w:rFonts w:ascii="Times New Roman" w:hAnsi="Times New Roman" w:cs="Times New Roman"/>
          <w:noProof/>
          <w:sz w:val="24"/>
          <w:szCs w:val="24"/>
          <w:lang w:val="sq-AL"/>
        </w:rPr>
        <w:t>s</w:t>
      </w:r>
      <w:r w:rsidRPr="00641640">
        <w:rPr>
          <w:rFonts w:ascii="Times New Roman" w:hAnsi="Times New Roman" w:cs="Times New Roman"/>
          <w:noProof/>
          <w:sz w:val="24"/>
          <w:szCs w:val="24"/>
          <w:lang w:val="sq-AL"/>
        </w:rPr>
        <w:t xml:space="preserve">ë </w:t>
      </w:r>
      <w:r w:rsidR="005B6CFC" w:rsidRPr="00641640">
        <w:rPr>
          <w:rFonts w:ascii="Times New Roman" w:hAnsi="Times New Roman" w:cs="Times New Roman"/>
          <w:noProof/>
          <w:sz w:val="24"/>
          <w:szCs w:val="24"/>
          <w:lang w:val="sq-AL"/>
        </w:rPr>
        <w:t>s</w:t>
      </w:r>
      <w:r w:rsidR="00064AC5" w:rsidRPr="00641640">
        <w:rPr>
          <w:rFonts w:ascii="Times New Roman" w:hAnsi="Times New Roman" w:cs="Times New Roman"/>
          <w:noProof/>
          <w:sz w:val="24"/>
          <w:szCs w:val="24"/>
          <w:lang w:val="sq-AL"/>
        </w:rPr>
        <w:t>ë</w:t>
      </w:r>
      <w:r w:rsidR="005B6CFC" w:rsidRPr="00641640">
        <w:rPr>
          <w:rFonts w:ascii="Times New Roman" w:hAnsi="Times New Roman" w:cs="Times New Roman"/>
          <w:noProof/>
          <w:sz w:val="24"/>
          <w:szCs w:val="24"/>
          <w:lang w:val="sq-AL"/>
        </w:rPr>
        <w:t xml:space="preserve"> performanc</w:t>
      </w:r>
      <w:r w:rsidR="00064AC5" w:rsidRPr="00641640">
        <w:rPr>
          <w:rFonts w:ascii="Times New Roman" w:hAnsi="Times New Roman" w:cs="Times New Roman"/>
          <w:noProof/>
          <w:sz w:val="24"/>
          <w:szCs w:val="24"/>
          <w:lang w:val="sq-AL"/>
        </w:rPr>
        <w:t>ë</w:t>
      </w:r>
      <w:r w:rsidR="005B6CFC" w:rsidRPr="00641640">
        <w:rPr>
          <w:rFonts w:ascii="Times New Roman" w:hAnsi="Times New Roman" w:cs="Times New Roman"/>
          <w:noProof/>
          <w:sz w:val="24"/>
          <w:szCs w:val="24"/>
          <w:lang w:val="sq-AL"/>
        </w:rPr>
        <w:t>s s</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administratës publike dhe </w:t>
      </w:r>
      <w:r w:rsidR="005B6CFC"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5B6CFC" w:rsidRPr="00641640">
        <w:rPr>
          <w:rFonts w:ascii="Times New Roman" w:hAnsi="Times New Roman" w:cs="Times New Roman"/>
          <w:noProof/>
          <w:sz w:val="24"/>
          <w:szCs w:val="24"/>
          <w:lang w:val="sq-AL"/>
        </w:rPr>
        <w:t>r t</w:t>
      </w:r>
      <w:r w:rsidR="00064AC5" w:rsidRPr="00641640">
        <w:rPr>
          <w:rFonts w:ascii="Times New Roman" w:hAnsi="Times New Roman" w:cs="Times New Roman"/>
          <w:noProof/>
          <w:sz w:val="24"/>
          <w:szCs w:val="24"/>
          <w:lang w:val="sq-AL"/>
        </w:rPr>
        <w:t>ë</w:t>
      </w:r>
      <w:r w:rsidR="005B6CFC" w:rsidRPr="00641640">
        <w:rPr>
          <w:rFonts w:ascii="Times New Roman" w:hAnsi="Times New Roman" w:cs="Times New Roman"/>
          <w:noProof/>
          <w:sz w:val="24"/>
          <w:szCs w:val="24"/>
          <w:lang w:val="sq-AL"/>
        </w:rPr>
        <w:t xml:space="preserve"> siguruar </w:t>
      </w:r>
      <w:r w:rsidRPr="00641640">
        <w:rPr>
          <w:rFonts w:ascii="Times New Roman" w:hAnsi="Times New Roman" w:cs="Times New Roman"/>
          <w:noProof/>
          <w:sz w:val="24"/>
          <w:szCs w:val="24"/>
          <w:lang w:val="sq-AL"/>
        </w:rPr>
        <w:t>një mjedis tërheqës për investitorët.</w:t>
      </w:r>
    </w:p>
    <w:p w14:paraId="5EBF0FD6" w14:textId="79C7C1EF" w:rsidR="00977C9D" w:rsidRPr="00641640" w:rsidRDefault="005B6CFC"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Mbështetur në Parimet e Administratës Publike të SIGMA-s, m</w:t>
      </w:r>
      <w:r w:rsidR="00977C9D" w:rsidRPr="00641640">
        <w:rPr>
          <w:rFonts w:ascii="Times New Roman" w:hAnsi="Times New Roman" w:cs="Times New Roman"/>
          <w:noProof/>
          <w:sz w:val="24"/>
          <w:szCs w:val="24"/>
          <w:lang w:val="sq-AL"/>
        </w:rPr>
        <w:t xml:space="preserve">enaxhimi i financave publike </w:t>
      </w:r>
      <w:r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rb</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n nj</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nga fushat</w:t>
      </w:r>
      <w:r w:rsidR="00977C9D" w:rsidRPr="00641640">
        <w:rPr>
          <w:rFonts w:ascii="Times New Roman" w:hAnsi="Times New Roman" w:cs="Times New Roman"/>
          <w:noProof/>
          <w:sz w:val="24"/>
          <w:szCs w:val="24"/>
          <w:lang w:val="sq-AL"/>
        </w:rPr>
        <w:t xml:space="preserve"> prioritare </w:t>
      </w:r>
      <w:r w:rsidR="0078675E" w:rsidRPr="00641640">
        <w:rPr>
          <w:rFonts w:ascii="Times New Roman" w:hAnsi="Times New Roman" w:cs="Times New Roman"/>
          <w:noProof/>
          <w:sz w:val="24"/>
          <w:szCs w:val="24"/>
          <w:lang w:val="sq-AL"/>
        </w:rPr>
        <w:t>ku zbatohet</w:t>
      </w:r>
      <w:r w:rsidR="00977C9D" w:rsidRPr="00641640">
        <w:rPr>
          <w:rFonts w:ascii="Times New Roman" w:hAnsi="Times New Roman" w:cs="Times New Roman"/>
          <w:noProof/>
          <w:sz w:val="24"/>
          <w:szCs w:val="24"/>
          <w:lang w:val="sq-AL"/>
        </w:rPr>
        <w:t xml:space="preserve"> reforma e administratës publike. </w:t>
      </w:r>
      <w:r w:rsidRPr="00641640">
        <w:rPr>
          <w:rFonts w:ascii="Times New Roman" w:hAnsi="Times New Roman" w:cs="Times New Roman"/>
          <w:noProof/>
          <w:sz w:val="24"/>
          <w:szCs w:val="24"/>
          <w:lang w:val="sq-AL"/>
        </w:rPr>
        <w:t>P</w:t>
      </w:r>
      <w:r w:rsidR="00977C9D" w:rsidRPr="00641640">
        <w:rPr>
          <w:rFonts w:ascii="Times New Roman" w:hAnsi="Times New Roman" w:cs="Times New Roman"/>
          <w:noProof/>
          <w:sz w:val="24"/>
          <w:szCs w:val="24"/>
          <w:lang w:val="sq-AL"/>
        </w:rPr>
        <w:t>ërgatitj</w:t>
      </w:r>
      <w:r w:rsidRPr="00641640">
        <w:rPr>
          <w:rFonts w:ascii="Times New Roman" w:hAnsi="Times New Roman" w:cs="Times New Roman"/>
          <w:noProof/>
          <w:sz w:val="24"/>
          <w:szCs w:val="24"/>
          <w:lang w:val="sq-AL"/>
        </w:rPr>
        <w:t>a</w:t>
      </w:r>
      <w:r w:rsidR="00977C9D" w:rsidRPr="00641640">
        <w:rPr>
          <w:rFonts w:ascii="Times New Roman" w:hAnsi="Times New Roman" w:cs="Times New Roman"/>
          <w:noProof/>
          <w:sz w:val="24"/>
          <w:szCs w:val="24"/>
          <w:lang w:val="sq-AL"/>
        </w:rPr>
        <w:t xml:space="preserve"> dhe monitorimi</w:t>
      </w:r>
      <w:r w:rsidRPr="00641640">
        <w:rPr>
          <w:rFonts w:ascii="Times New Roman" w:hAnsi="Times New Roman" w:cs="Times New Roman"/>
          <w:noProof/>
          <w:sz w:val="24"/>
          <w:szCs w:val="24"/>
          <w:lang w:val="sq-AL"/>
        </w:rPr>
        <w:t xml:space="preserve"> i zbatimit t</w:t>
      </w:r>
      <w:r w:rsidR="00064AC5" w:rsidRPr="00641640">
        <w:rPr>
          <w:rFonts w:ascii="Times New Roman" w:hAnsi="Times New Roman" w:cs="Times New Roman"/>
          <w:noProof/>
          <w:sz w:val="24"/>
          <w:szCs w:val="24"/>
          <w:lang w:val="sq-AL"/>
        </w:rPr>
        <w:t>ë</w:t>
      </w:r>
      <w:r w:rsidR="00977C9D"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Q</w:t>
      </w:r>
      <w:r w:rsidR="00977C9D" w:rsidRPr="00641640">
        <w:rPr>
          <w:rFonts w:ascii="Times New Roman" w:hAnsi="Times New Roman" w:cs="Times New Roman"/>
          <w:noProof/>
          <w:sz w:val="24"/>
          <w:szCs w:val="24"/>
          <w:lang w:val="sq-AL"/>
        </w:rPr>
        <w:t xml:space="preserve">ëllimeve </w:t>
      </w:r>
      <w:r w:rsidRPr="00641640">
        <w:rPr>
          <w:rFonts w:ascii="Times New Roman" w:hAnsi="Times New Roman" w:cs="Times New Roman"/>
          <w:noProof/>
          <w:sz w:val="24"/>
          <w:szCs w:val="24"/>
          <w:lang w:val="sq-AL"/>
        </w:rPr>
        <w:t xml:space="preserve">Politike </w:t>
      </w:r>
      <w:r w:rsidR="00977C9D" w:rsidRPr="00641640">
        <w:rPr>
          <w:rFonts w:ascii="Times New Roman" w:hAnsi="Times New Roman" w:cs="Times New Roman"/>
          <w:noProof/>
          <w:sz w:val="24"/>
          <w:szCs w:val="24"/>
          <w:lang w:val="sq-AL"/>
        </w:rPr>
        <w:t>dhe masave të Strategji</w:t>
      </w:r>
      <w:r w:rsidR="0078675E" w:rsidRPr="00641640">
        <w:rPr>
          <w:rFonts w:ascii="Times New Roman" w:hAnsi="Times New Roman" w:cs="Times New Roman"/>
          <w:noProof/>
          <w:sz w:val="24"/>
          <w:szCs w:val="24"/>
          <w:lang w:val="sq-AL"/>
        </w:rPr>
        <w:t>s</w:t>
      </w:r>
      <w:r w:rsidR="007F00FB" w:rsidRPr="00641640">
        <w:rPr>
          <w:rFonts w:ascii="Times New Roman" w:hAnsi="Times New Roman" w:cs="Times New Roman"/>
          <w:noProof/>
          <w:sz w:val="24"/>
          <w:szCs w:val="24"/>
          <w:lang w:val="sq-AL"/>
        </w:rPr>
        <w:t>ë</w:t>
      </w:r>
      <w:r w:rsidR="00977C9D" w:rsidRPr="00641640">
        <w:rPr>
          <w:rFonts w:ascii="Times New Roman" w:hAnsi="Times New Roman" w:cs="Times New Roman"/>
          <w:noProof/>
          <w:sz w:val="24"/>
          <w:szCs w:val="24"/>
          <w:lang w:val="sq-AL"/>
        </w:rPr>
        <w:t xml:space="preserve"> Sektoriale të Menaxhimit të Financave Publike</w:t>
      </w:r>
      <w:r w:rsidRPr="00641640">
        <w:rPr>
          <w:rFonts w:ascii="Times New Roman" w:hAnsi="Times New Roman" w:cs="Times New Roman"/>
          <w:noProof/>
          <w:sz w:val="24"/>
          <w:szCs w:val="24"/>
          <w:lang w:val="sq-AL"/>
        </w:rPr>
        <w:t xml:space="preserve"> </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sht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rgjegj</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si e Ministris</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Financave, </w:t>
      </w:r>
      <w:r w:rsidR="00977C9D" w:rsidRPr="00641640">
        <w:rPr>
          <w:rFonts w:ascii="Times New Roman" w:hAnsi="Times New Roman" w:cs="Times New Roman"/>
          <w:noProof/>
          <w:sz w:val="24"/>
          <w:szCs w:val="24"/>
          <w:lang w:val="sq-AL"/>
        </w:rPr>
        <w:t xml:space="preserve">ndërsa </w:t>
      </w:r>
      <w:r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rputhshm</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ria dhe komplementariteti i tyre me masat n</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fushat e tjera prioritare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reform</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 n</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administrat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n publike </w:t>
      </w:r>
      <w:r w:rsidR="006C1D39" w:rsidRPr="00641640">
        <w:rPr>
          <w:rFonts w:ascii="Times New Roman" w:hAnsi="Times New Roman" w:cs="Times New Roman"/>
          <w:noProof/>
          <w:sz w:val="24"/>
          <w:szCs w:val="24"/>
          <w:lang w:val="sq-AL"/>
        </w:rPr>
        <w:t>jan</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 xml:space="preserve"> garantuar</w:t>
      </w:r>
      <w:r w:rsidR="00977C9D" w:rsidRPr="00641640">
        <w:rPr>
          <w:rFonts w:ascii="Times New Roman" w:hAnsi="Times New Roman" w:cs="Times New Roman"/>
          <w:noProof/>
          <w:sz w:val="24"/>
          <w:szCs w:val="24"/>
          <w:lang w:val="sq-AL"/>
        </w:rPr>
        <w:t xml:space="preserve"> </w:t>
      </w:r>
      <w:r w:rsidR="0078675E" w:rsidRPr="00641640">
        <w:rPr>
          <w:rFonts w:ascii="Times New Roman" w:hAnsi="Times New Roman" w:cs="Times New Roman"/>
          <w:noProof/>
          <w:sz w:val="24"/>
          <w:szCs w:val="24"/>
          <w:lang w:val="sq-AL"/>
        </w:rPr>
        <w:t>p</w:t>
      </w:r>
      <w:r w:rsidR="007F00FB" w:rsidRPr="00641640">
        <w:rPr>
          <w:rFonts w:ascii="Times New Roman" w:hAnsi="Times New Roman" w:cs="Times New Roman"/>
          <w:noProof/>
          <w:sz w:val="24"/>
          <w:szCs w:val="24"/>
          <w:lang w:val="sq-AL"/>
        </w:rPr>
        <w:t>ë</w:t>
      </w:r>
      <w:r w:rsidR="0078675E" w:rsidRPr="00641640">
        <w:rPr>
          <w:rFonts w:ascii="Times New Roman" w:hAnsi="Times New Roman" w:cs="Times New Roman"/>
          <w:noProof/>
          <w:sz w:val="24"/>
          <w:szCs w:val="24"/>
          <w:lang w:val="sq-AL"/>
        </w:rPr>
        <w:t>rmes</w:t>
      </w:r>
      <w:r w:rsidRPr="00641640">
        <w:rPr>
          <w:rFonts w:ascii="Times New Roman" w:hAnsi="Times New Roman" w:cs="Times New Roman"/>
          <w:noProof/>
          <w:sz w:val="24"/>
          <w:szCs w:val="24"/>
          <w:lang w:val="sq-AL"/>
        </w:rPr>
        <w:t xml:space="preserve"> nj</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procesi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integruar planifikimi dhe monitorimi</w:t>
      </w:r>
      <w:r w:rsidR="00977C9D"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rgjat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00977C9D" w:rsidRPr="00641640">
        <w:rPr>
          <w:rFonts w:ascii="Times New Roman" w:hAnsi="Times New Roman" w:cs="Times New Roman"/>
          <w:noProof/>
          <w:sz w:val="24"/>
          <w:szCs w:val="24"/>
          <w:lang w:val="sq-AL"/>
        </w:rPr>
        <w:t xml:space="preserve">përgatitjes së Strategjisë </w:t>
      </w:r>
      <w:r w:rsidRPr="00641640">
        <w:rPr>
          <w:rFonts w:ascii="Times New Roman" w:hAnsi="Times New Roman" w:cs="Times New Roman"/>
          <w:noProof/>
          <w:sz w:val="24"/>
          <w:szCs w:val="24"/>
          <w:lang w:val="sq-AL"/>
        </w:rPr>
        <w:t>Nd</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rsektoriale t</w:t>
      </w:r>
      <w:r w:rsidR="00977C9D" w:rsidRPr="00641640">
        <w:rPr>
          <w:rFonts w:ascii="Times New Roman" w:hAnsi="Times New Roman" w:cs="Times New Roman"/>
          <w:noProof/>
          <w:sz w:val="24"/>
          <w:szCs w:val="24"/>
          <w:lang w:val="sq-AL"/>
        </w:rPr>
        <w:t xml:space="preserve">ë RAP. </w:t>
      </w:r>
    </w:p>
    <w:p w14:paraId="2D13B2EF" w14:textId="77777777" w:rsidR="00C4394E" w:rsidRPr="0007033C" w:rsidRDefault="00C4394E" w:rsidP="003A395D">
      <w:pPr>
        <w:spacing w:after="0" w:line="276" w:lineRule="auto"/>
        <w:jc w:val="both"/>
        <w:rPr>
          <w:rFonts w:ascii="Times New Roman" w:hAnsi="Times New Roman" w:cs="Times New Roman"/>
          <w:b/>
          <w:bCs/>
          <w:noProof/>
          <w:sz w:val="16"/>
          <w:szCs w:val="16"/>
          <w:lang w:val="sq-AL"/>
        </w:rPr>
      </w:pPr>
    </w:p>
    <w:p w14:paraId="124A2981" w14:textId="7F798570" w:rsidR="00FD1BAC" w:rsidRPr="00641640" w:rsidRDefault="002D647C"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Ndërl</w:t>
      </w:r>
      <w:r w:rsidR="006C1D39" w:rsidRPr="00641640">
        <w:rPr>
          <w:rFonts w:ascii="Times New Roman" w:hAnsi="Times New Roman" w:cs="Times New Roman"/>
          <w:b/>
          <w:bCs/>
          <w:noProof/>
          <w:sz w:val="24"/>
          <w:szCs w:val="24"/>
          <w:lang w:val="sq-AL"/>
        </w:rPr>
        <w:t>idhja e SNRAP 202</w:t>
      </w:r>
      <w:r w:rsidR="00A5224A" w:rsidRPr="00641640">
        <w:rPr>
          <w:rFonts w:ascii="Times New Roman" w:hAnsi="Times New Roman" w:cs="Times New Roman"/>
          <w:b/>
          <w:bCs/>
          <w:noProof/>
          <w:sz w:val="24"/>
          <w:szCs w:val="24"/>
          <w:lang w:val="sq-AL"/>
        </w:rPr>
        <w:t>5</w:t>
      </w:r>
      <w:r w:rsidR="006C1D39" w:rsidRPr="00641640">
        <w:rPr>
          <w:rFonts w:ascii="Times New Roman" w:hAnsi="Times New Roman" w:cs="Times New Roman"/>
          <w:b/>
          <w:bCs/>
          <w:noProof/>
          <w:sz w:val="24"/>
          <w:szCs w:val="24"/>
          <w:lang w:val="sq-AL"/>
        </w:rPr>
        <w:t xml:space="preserve">-2030 me </w:t>
      </w:r>
      <w:r w:rsidR="00FD1BAC" w:rsidRPr="00641640">
        <w:rPr>
          <w:rFonts w:ascii="Times New Roman" w:hAnsi="Times New Roman" w:cs="Times New Roman"/>
          <w:b/>
          <w:bCs/>
          <w:noProof/>
          <w:sz w:val="24"/>
          <w:szCs w:val="24"/>
          <w:lang w:val="sq-AL"/>
        </w:rPr>
        <w:t>Strategji</w:t>
      </w:r>
      <w:r w:rsidR="006C1D39" w:rsidRPr="00641640">
        <w:rPr>
          <w:rFonts w:ascii="Times New Roman" w:hAnsi="Times New Roman" w:cs="Times New Roman"/>
          <w:b/>
          <w:bCs/>
          <w:noProof/>
          <w:sz w:val="24"/>
          <w:szCs w:val="24"/>
          <w:lang w:val="sq-AL"/>
        </w:rPr>
        <w:t>n</w:t>
      </w:r>
      <w:r w:rsidR="00064AC5" w:rsidRPr="00641640">
        <w:rPr>
          <w:rFonts w:ascii="Times New Roman" w:hAnsi="Times New Roman" w:cs="Times New Roman"/>
          <w:b/>
          <w:bCs/>
          <w:noProof/>
          <w:sz w:val="24"/>
          <w:szCs w:val="24"/>
          <w:lang w:val="sq-AL"/>
        </w:rPr>
        <w:t>ë</w:t>
      </w:r>
      <w:r w:rsidR="00FD1BAC" w:rsidRPr="00641640">
        <w:rPr>
          <w:rFonts w:ascii="Times New Roman" w:hAnsi="Times New Roman" w:cs="Times New Roman"/>
          <w:b/>
          <w:bCs/>
          <w:noProof/>
          <w:sz w:val="24"/>
          <w:szCs w:val="24"/>
          <w:lang w:val="sq-AL"/>
        </w:rPr>
        <w:t xml:space="preserve"> Ndërsektoriale kundër Korrupsionit 2024-2030 </w:t>
      </w:r>
    </w:p>
    <w:p w14:paraId="10D38E25" w14:textId="68B87818" w:rsidR="00E57940" w:rsidRPr="00641640" w:rsidRDefault="007B6404" w:rsidP="003A395D">
      <w:pPr>
        <w:spacing w:after="0"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Strategjia Ndërsektoriale Kundër Korrupsionit </w:t>
      </w:r>
      <w:r w:rsidR="00BB6E43" w:rsidRPr="00641640">
        <w:rPr>
          <w:rFonts w:ascii="Times New Roman" w:hAnsi="Times New Roman" w:cs="Times New Roman"/>
          <w:noProof/>
          <w:sz w:val="24"/>
          <w:szCs w:val="24"/>
          <w:lang w:val="sq-AL"/>
        </w:rPr>
        <w:t xml:space="preserve">(SNKK) </w:t>
      </w:r>
      <w:r w:rsidRPr="00641640">
        <w:rPr>
          <w:rFonts w:ascii="Times New Roman" w:hAnsi="Times New Roman" w:cs="Times New Roman"/>
          <w:noProof/>
          <w:sz w:val="24"/>
          <w:szCs w:val="24"/>
          <w:lang w:val="sq-AL"/>
        </w:rPr>
        <w:t xml:space="preserve">2024-2030 garanton linjëzimin e </w:t>
      </w:r>
      <w:r w:rsidR="00BB6E43" w:rsidRPr="00641640">
        <w:rPr>
          <w:rFonts w:ascii="Times New Roman" w:hAnsi="Times New Roman" w:cs="Times New Roman"/>
          <w:noProof/>
          <w:sz w:val="24"/>
          <w:szCs w:val="24"/>
          <w:lang w:val="sq-AL"/>
        </w:rPr>
        <w:t>plot</w:t>
      </w:r>
      <w:r w:rsidR="00064AC5" w:rsidRPr="00641640">
        <w:rPr>
          <w:rFonts w:ascii="Times New Roman" w:hAnsi="Times New Roman" w:cs="Times New Roman"/>
          <w:noProof/>
          <w:sz w:val="24"/>
          <w:szCs w:val="24"/>
          <w:lang w:val="sq-AL"/>
        </w:rPr>
        <w:t>ë</w:t>
      </w:r>
      <w:r w:rsidR="00BB6E43"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00BB6E43" w:rsidRPr="00641640">
        <w:rPr>
          <w:rFonts w:ascii="Times New Roman" w:hAnsi="Times New Roman" w:cs="Times New Roman"/>
          <w:noProof/>
          <w:sz w:val="24"/>
          <w:szCs w:val="24"/>
          <w:lang w:val="sq-AL"/>
        </w:rPr>
        <w:t xml:space="preserve"> angazhimeve </w:t>
      </w:r>
      <w:r w:rsidRPr="00641640">
        <w:rPr>
          <w:rFonts w:ascii="Times New Roman" w:hAnsi="Times New Roman" w:cs="Times New Roman"/>
          <w:noProof/>
          <w:sz w:val="24"/>
          <w:szCs w:val="24"/>
          <w:lang w:val="sq-AL"/>
        </w:rPr>
        <w:t>të ndërmarra nga autoritetet e përfshira në luftën kundër korrupsionit në Udhërrëfyesin për Shtetin e së Drejtës</w:t>
      </w:r>
      <w:r w:rsidR="006C1D39" w:rsidRPr="00641640">
        <w:rPr>
          <w:rFonts w:ascii="Times New Roman" w:hAnsi="Times New Roman" w:cs="Times New Roman"/>
          <w:noProof/>
          <w:sz w:val="24"/>
          <w:szCs w:val="24"/>
          <w:lang w:val="sq-AL"/>
        </w:rPr>
        <w:t>, miratuar n</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 xml:space="preserve"> dhjetor 2023.</w:t>
      </w:r>
      <w:r w:rsidR="006C1D39" w:rsidRPr="00641640">
        <w:rPr>
          <w:rStyle w:val="FootnoteReference"/>
          <w:rFonts w:ascii="Times New Roman" w:hAnsi="Times New Roman" w:cs="Times New Roman"/>
          <w:noProof/>
          <w:sz w:val="24"/>
          <w:szCs w:val="24"/>
          <w:lang w:val="sq-AL"/>
        </w:rPr>
        <w:footnoteReference w:id="23"/>
      </w:r>
      <w:r w:rsidR="006C1D39" w:rsidRPr="00641640">
        <w:rPr>
          <w:rFonts w:ascii="Times New Roman" w:hAnsi="Times New Roman" w:cs="Times New Roman"/>
          <w:noProof/>
          <w:sz w:val="24"/>
          <w:szCs w:val="24"/>
          <w:lang w:val="sq-AL"/>
        </w:rPr>
        <w:t xml:space="preserve"> </w:t>
      </w:r>
      <w:r w:rsidR="00BB6E43" w:rsidRPr="00641640">
        <w:rPr>
          <w:rFonts w:ascii="Times New Roman" w:hAnsi="Times New Roman" w:cs="Times New Roman"/>
          <w:noProof/>
          <w:sz w:val="24"/>
          <w:szCs w:val="24"/>
          <w:lang w:val="sq-AL"/>
        </w:rPr>
        <w:t>Mes masave t</w:t>
      </w:r>
      <w:r w:rsidR="00064AC5" w:rsidRPr="00641640">
        <w:rPr>
          <w:rFonts w:ascii="Times New Roman" w:hAnsi="Times New Roman" w:cs="Times New Roman"/>
          <w:noProof/>
          <w:sz w:val="24"/>
          <w:szCs w:val="24"/>
          <w:lang w:val="sq-AL"/>
        </w:rPr>
        <w:t>ë</w:t>
      </w:r>
      <w:r w:rsidR="00BB6E43" w:rsidRPr="00641640">
        <w:rPr>
          <w:rFonts w:ascii="Times New Roman" w:hAnsi="Times New Roman" w:cs="Times New Roman"/>
          <w:noProof/>
          <w:sz w:val="24"/>
          <w:szCs w:val="24"/>
          <w:lang w:val="sq-AL"/>
        </w:rPr>
        <w:t xml:space="preserve"> parashikuara p</w:t>
      </w:r>
      <w:r w:rsidR="00064AC5" w:rsidRPr="00641640">
        <w:rPr>
          <w:rFonts w:ascii="Times New Roman" w:hAnsi="Times New Roman" w:cs="Times New Roman"/>
          <w:noProof/>
          <w:sz w:val="24"/>
          <w:szCs w:val="24"/>
          <w:lang w:val="sq-AL"/>
        </w:rPr>
        <w:t>ë</w:t>
      </w:r>
      <w:r w:rsidR="00BB6E43" w:rsidRPr="00641640">
        <w:rPr>
          <w:rFonts w:ascii="Times New Roman" w:hAnsi="Times New Roman" w:cs="Times New Roman"/>
          <w:noProof/>
          <w:sz w:val="24"/>
          <w:szCs w:val="24"/>
          <w:lang w:val="sq-AL"/>
        </w:rPr>
        <w:t>r parandalimin dhe nd</w:t>
      </w:r>
      <w:r w:rsidR="00064AC5" w:rsidRPr="00641640">
        <w:rPr>
          <w:rFonts w:ascii="Times New Roman" w:hAnsi="Times New Roman" w:cs="Times New Roman"/>
          <w:noProof/>
          <w:sz w:val="24"/>
          <w:szCs w:val="24"/>
          <w:lang w:val="sq-AL"/>
        </w:rPr>
        <w:t>ë</w:t>
      </w:r>
      <w:r w:rsidR="00BB6E43" w:rsidRPr="00641640">
        <w:rPr>
          <w:rFonts w:ascii="Times New Roman" w:hAnsi="Times New Roman" w:cs="Times New Roman"/>
          <w:noProof/>
          <w:sz w:val="24"/>
          <w:szCs w:val="24"/>
          <w:lang w:val="sq-AL"/>
        </w:rPr>
        <w:t xml:space="preserve">shkimin e korrupsionit, </w:t>
      </w:r>
      <w:r w:rsidRPr="00641640">
        <w:rPr>
          <w:rFonts w:ascii="Times New Roman" w:hAnsi="Times New Roman" w:cs="Times New Roman"/>
          <w:noProof/>
          <w:sz w:val="24"/>
          <w:szCs w:val="24"/>
          <w:lang w:val="sq-AL"/>
        </w:rPr>
        <w:t>Udhërrëfyesi parash</w:t>
      </w:r>
      <w:r w:rsidR="00BB6E43" w:rsidRPr="00641640">
        <w:rPr>
          <w:rFonts w:ascii="Times New Roman" w:hAnsi="Times New Roman" w:cs="Times New Roman"/>
          <w:noProof/>
          <w:sz w:val="24"/>
          <w:szCs w:val="24"/>
          <w:lang w:val="sq-AL"/>
        </w:rPr>
        <w:t>tron</w:t>
      </w:r>
      <w:r w:rsidRPr="00641640">
        <w:rPr>
          <w:rFonts w:ascii="Times New Roman" w:hAnsi="Times New Roman" w:cs="Times New Roman"/>
          <w:noProof/>
          <w:sz w:val="24"/>
          <w:szCs w:val="24"/>
          <w:lang w:val="sq-AL"/>
        </w:rPr>
        <w:t xml:space="preserve"> paralelisht</w:t>
      </w:r>
      <w:r w:rsidR="00BB6E43" w:rsidRPr="00641640">
        <w:rPr>
          <w:rFonts w:ascii="Times New Roman" w:hAnsi="Times New Roman" w:cs="Times New Roman"/>
          <w:noProof/>
          <w:sz w:val="24"/>
          <w:szCs w:val="24"/>
          <w:lang w:val="sq-AL"/>
        </w:rPr>
        <w:t xml:space="preserve"> edhe</w:t>
      </w:r>
      <w:r w:rsidRPr="00641640">
        <w:rPr>
          <w:rFonts w:ascii="Times New Roman" w:hAnsi="Times New Roman" w:cs="Times New Roman"/>
          <w:noProof/>
          <w:sz w:val="24"/>
          <w:szCs w:val="24"/>
          <w:lang w:val="sq-AL"/>
        </w:rPr>
        <w:t xml:space="preserve"> zbatimin e vazhdueshëm të objektivave </w:t>
      </w:r>
      <w:r w:rsidR="00BB6E43"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BB6E43" w:rsidRPr="00641640">
        <w:rPr>
          <w:rFonts w:ascii="Times New Roman" w:hAnsi="Times New Roman" w:cs="Times New Roman"/>
          <w:noProof/>
          <w:sz w:val="24"/>
          <w:szCs w:val="24"/>
          <w:lang w:val="sq-AL"/>
        </w:rPr>
        <w:t xml:space="preserve"> nd</w:t>
      </w:r>
      <w:r w:rsidR="00064AC5" w:rsidRPr="00641640">
        <w:rPr>
          <w:rFonts w:ascii="Times New Roman" w:hAnsi="Times New Roman" w:cs="Times New Roman"/>
          <w:noProof/>
          <w:sz w:val="24"/>
          <w:szCs w:val="24"/>
          <w:lang w:val="sq-AL"/>
        </w:rPr>
        <w:t>ë</w:t>
      </w:r>
      <w:r w:rsidR="00BB6E43" w:rsidRPr="00641640">
        <w:rPr>
          <w:rFonts w:ascii="Times New Roman" w:hAnsi="Times New Roman" w:cs="Times New Roman"/>
          <w:noProof/>
          <w:sz w:val="24"/>
          <w:szCs w:val="24"/>
          <w:lang w:val="sq-AL"/>
        </w:rPr>
        <w:t>rgjegj</w:t>
      </w:r>
      <w:r w:rsidR="00064AC5" w:rsidRPr="00641640">
        <w:rPr>
          <w:rFonts w:ascii="Times New Roman" w:hAnsi="Times New Roman" w:cs="Times New Roman"/>
          <w:noProof/>
          <w:sz w:val="24"/>
          <w:szCs w:val="24"/>
          <w:lang w:val="sq-AL"/>
        </w:rPr>
        <w:t>ë</w:t>
      </w:r>
      <w:r w:rsidR="00BB6E43" w:rsidRPr="00641640">
        <w:rPr>
          <w:rFonts w:ascii="Times New Roman" w:hAnsi="Times New Roman" w:cs="Times New Roman"/>
          <w:noProof/>
          <w:sz w:val="24"/>
          <w:szCs w:val="24"/>
          <w:lang w:val="sq-AL"/>
        </w:rPr>
        <w:t xml:space="preserve">simit </w:t>
      </w:r>
      <w:r w:rsidRPr="00641640">
        <w:rPr>
          <w:rFonts w:ascii="Times New Roman" w:hAnsi="Times New Roman" w:cs="Times New Roman"/>
          <w:noProof/>
          <w:sz w:val="24"/>
          <w:szCs w:val="24"/>
          <w:lang w:val="sq-AL"/>
        </w:rPr>
        <w:t xml:space="preserve">të </w:t>
      </w:r>
      <w:r w:rsidR="00BB6E43" w:rsidRPr="00641640">
        <w:rPr>
          <w:rFonts w:ascii="Times New Roman" w:hAnsi="Times New Roman" w:cs="Times New Roman"/>
          <w:noProof/>
          <w:sz w:val="24"/>
          <w:szCs w:val="24"/>
          <w:lang w:val="sq-AL"/>
        </w:rPr>
        <w:t>parashikuara n</w:t>
      </w:r>
      <w:r w:rsidR="00064AC5" w:rsidRPr="00641640">
        <w:rPr>
          <w:rFonts w:ascii="Times New Roman" w:hAnsi="Times New Roman" w:cs="Times New Roman"/>
          <w:noProof/>
          <w:sz w:val="24"/>
          <w:szCs w:val="24"/>
          <w:lang w:val="sq-AL"/>
        </w:rPr>
        <w:t>ë</w:t>
      </w:r>
      <w:r w:rsidR="00BB6E43" w:rsidRPr="00641640">
        <w:rPr>
          <w:rFonts w:ascii="Times New Roman" w:hAnsi="Times New Roman" w:cs="Times New Roman"/>
          <w:noProof/>
          <w:sz w:val="24"/>
          <w:szCs w:val="24"/>
          <w:lang w:val="sq-AL"/>
        </w:rPr>
        <w:t xml:space="preserve"> SNKK 2024-2030</w:t>
      </w:r>
      <w:r w:rsidRPr="00641640">
        <w:rPr>
          <w:rFonts w:ascii="Times New Roman" w:hAnsi="Times New Roman" w:cs="Times New Roman"/>
          <w:noProof/>
          <w:sz w:val="24"/>
          <w:szCs w:val="24"/>
          <w:lang w:val="sq-AL"/>
        </w:rPr>
        <w:t xml:space="preserve">, duke </w:t>
      </w:r>
      <w:r w:rsidR="007B683C" w:rsidRPr="00641640">
        <w:rPr>
          <w:rFonts w:ascii="Times New Roman" w:hAnsi="Times New Roman" w:cs="Times New Roman"/>
          <w:noProof/>
          <w:sz w:val="24"/>
          <w:szCs w:val="24"/>
          <w:lang w:val="sq-AL"/>
        </w:rPr>
        <w:t>vendosur fokus</w:t>
      </w:r>
      <w:r w:rsidRPr="00641640">
        <w:rPr>
          <w:rFonts w:ascii="Times New Roman" w:hAnsi="Times New Roman" w:cs="Times New Roman"/>
          <w:noProof/>
          <w:sz w:val="24"/>
          <w:szCs w:val="24"/>
          <w:lang w:val="sq-AL"/>
        </w:rPr>
        <w:t xml:space="preserve"> veçanërisht në ndërgjegjësimin </w:t>
      </w:r>
      <w:r w:rsidR="007B683C" w:rsidRPr="00641640">
        <w:rPr>
          <w:rFonts w:ascii="Times New Roman" w:hAnsi="Times New Roman" w:cs="Times New Roman"/>
          <w:noProof/>
          <w:sz w:val="24"/>
          <w:szCs w:val="24"/>
          <w:lang w:val="sq-AL"/>
        </w:rPr>
        <w:t>antikorrupsion, si dhe promovimin e kultur</w:t>
      </w:r>
      <w:r w:rsidR="00064AC5" w:rsidRPr="00641640">
        <w:rPr>
          <w:rFonts w:ascii="Times New Roman" w:hAnsi="Times New Roman" w:cs="Times New Roman"/>
          <w:noProof/>
          <w:sz w:val="24"/>
          <w:szCs w:val="24"/>
          <w:lang w:val="sq-AL"/>
        </w:rPr>
        <w:t>ë</w:t>
      </w:r>
      <w:r w:rsidR="007B683C" w:rsidRPr="00641640">
        <w:rPr>
          <w:rFonts w:ascii="Times New Roman" w:hAnsi="Times New Roman" w:cs="Times New Roman"/>
          <w:noProof/>
          <w:sz w:val="24"/>
          <w:szCs w:val="24"/>
          <w:lang w:val="sq-AL"/>
        </w:rPr>
        <w:t>s s</w:t>
      </w:r>
      <w:r w:rsidR="00064AC5" w:rsidRPr="00641640">
        <w:rPr>
          <w:rFonts w:ascii="Times New Roman" w:hAnsi="Times New Roman" w:cs="Times New Roman"/>
          <w:noProof/>
          <w:sz w:val="24"/>
          <w:szCs w:val="24"/>
          <w:lang w:val="sq-AL"/>
        </w:rPr>
        <w:t>ë</w:t>
      </w:r>
      <w:r w:rsidR="007B683C" w:rsidRPr="00641640">
        <w:rPr>
          <w:rFonts w:ascii="Times New Roman" w:hAnsi="Times New Roman" w:cs="Times New Roman"/>
          <w:noProof/>
          <w:sz w:val="24"/>
          <w:szCs w:val="24"/>
          <w:lang w:val="sq-AL"/>
        </w:rPr>
        <w:t xml:space="preserve"> integritetit dhe transparenc</w:t>
      </w:r>
      <w:r w:rsidR="00064AC5" w:rsidRPr="00641640">
        <w:rPr>
          <w:rFonts w:ascii="Times New Roman" w:hAnsi="Times New Roman" w:cs="Times New Roman"/>
          <w:noProof/>
          <w:sz w:val="24"/>
          <w:szCs w:val="24"/>
          <w:lang w:val="sq-AL"/>
        </w:rPr>
        <w:t>ë</w:t>
      </w:r>
      <w:r w:rsidR="007B683C" w:rsidRPr="00641640">
        <w:rPr>
          <w:rFonts w:ascii="Times New Roman" w:hAnsi="Times New Roman" w:cs="Times New Roman"/>
          <w:noProof/>
          <w:sz w:val="24"/>
          <w:szCs w:val="24"/>
          <w:lang w:val="sq-AL"/>
        </w:rPr>
        <w:t xml:space="preserve">s </w:t>
      </w:r>
      <w:r w:rsidRPr="00641640">
        <w:rPr>
          <w:rFonts w:ascii="Times New Roman" w:hAnsi="Times New Roman" w:cs="Times New Roman"/>
          <w:noProof/>
          <w:sz w:val="24"/>
          <w:szCs w:val="24"/>
          <w:lang w:val="sq-AL"/>
        </w:rPr>
        <w:t xml:space="preserve">brenda institucioneve të administratës publike. </w:t>
      </w:r>
      <w:r w:rsidR="006C1D39" w:rsidRPr="00641640">
        <w:rPr>
          <w:rFonts w:ascii="Times New Roman" w:hAnsi="Times New Roman" w:cs="Times New Roman"/>
          <w:noProof/>
          <w:sz w:val="24"/>
          <w:szCs w:val="24"/>
          <w:lang w:val="sq-AL"/>
        </w:rPr>
        <w:t>Garantimi dhe promovimi i integritetit në administratën publike jan</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 xml:space="preserve"> gjithashtu elemente themelore në k</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 xml:space="preserve"> </w:t>
      </w:r>
      <w:r w:rsidR="002D647C" w:rsidRPr="00641640">
        <w:rPr>
          <w:rFonts w:ascii="Times New Roman" w:hAnsi="Times New Roman" w:cs="Times New Roman"/>
          <w:noProof/>
          <w:sz w:val="24"/>
          <w:szCs w:val="24"/>
          <w:lang w:val="sq-AL"/>
        </w:rPr>
        <w:t>s</w:t>
      </w:r>
      <w:r w:rsidR="006C1D39" w:rsidRPr="00641640">
        <w:rPr>
          <w:rFonts w:ascii="Times New Roman" w:hAnsi="Times New Roman" w:cs="Times New Roman"/>
          <w:noProof/>
          <w:sz w:val="24"/>
          <w:szCs w:val="24"/>
          <w:lang w:val="sq-AL"/>
        </w:rPr>
        <w:t>trategji, masat p</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r arritjen e t</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 xml:space="preserve"> cilave linj</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zohen plot</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sisht me parashikimet e SNRAP 202</w:t>
      </w:r>
      <w:r w:rsidR="00A5224A" w:rsidRPr="00641640">
        <w:rPr>
          <w:rFonts w:ascii="Times New Roman" w:hAnsi="Times New Roman" w:cs="Times New Roman"/>
          <w:noProof/>
          <w:sz w:val="24"/>
          <w:szCs w:val="24"/>
          <w:lang w:val="sq-AL"/>
        </w:rPr>
        <w:t>5</w:t>
      </w:r>
      <w:r w:rsidR="006C1D39" w:rsidRPr="00641640">
        <w:rPr>
          <w:rFonts w:ascii="Times New Roman" w:hAnsi="Times New Roman" w:cs="Times New Roman"/>
          <w:noProof/>
          <w:sz w:val="24"/>
          <w:szCs w:val="24"/>
          <w:lang w:val="sq-AL"/>
        </w:rPr>
        <w:t>-2030 p</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r zbatimin e rregullave të etikës n</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 xml:space="preserve"> administrat</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 xml:space="preserve"> p</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 xml:space="preserve">rmes ngritjes së kapaciteteve të stafit në njësitë që monitorojnë etikën dhe menaxhojnë burimet njerëzore. </w:t>
      </w:r>
    </w:p>
    <w:p w14:paraId="7CB31B86" w14:textId="77777777" w:rsidR="00E57940" w:rsidRPr="00641640" w:rsidRDefault="00E57940" w:rsidP="003A395D">
      <w:pPr>
        <w:spacing w:after="0" w:line="276" w:lineRule="auto"/>
        <w:jc w:val="both"/>
        <w:rPr>
          <w:rFonts w:ascii="Times New Roman" w:hAnsi="Times New Roman" w:cs="Times New Roman"/>
          <w:noProof/>
          <w:sz w:val="24"/>
          <w:szCs w:val="24"/>
          <w:lang w:val="sq-AL"/>
        </w:rPr>
      </w:pPr>
    </w:p>
    <w:p w14:paraId="00BFBB06" w14:textId="407843AB" w:rsidR="007B6404" w:rsidRPr="006C694E" w:rsidRDefault="00E57940" w:rsidP="006C694E">
      <w:pPr>
        <w:spacing w:after="0"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M</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konkretisht, SNKK parashikon forcimin e integritetit të institucioneve publike në të gjitha nivelet e qeverisjes përmes disa masave të rëndësishme. Këto masa përfshijnë vlerësimin e detajuar të numrit të institucioneve që kanë kryer vlerësimin e riskut të korrupsionit dhe kanë miratuar Plane Integriteti, si dhe përgatitjen dhe shpërndarjen e një manuali praktik për hartimin e planeve të integritetit. Po ashtu, parashikohet një vlerësim i detajuar i numrit të institucioneve që kanë miratuar Kodin e Etikës ose Kodet e Sjelljes, paralelisht me zbatimin e Planeve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Integritetit dhe monitorimin e tyre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rregullt. N</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baz</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tyre parashikimeve, regjistri i riskut të korrupsionit do të integrohet në regjistrin e riskut të çdo institucioni publik, dhe do të krijohet një databazë qendrore për nëpunësit civilë që kanë marrë masa disiplinore për shkelje etike ose janë larguar nga shërbimi civil për shkak të një dënimi penal me vendim të formës së prerë.</w:t>
      </w:r>
      <w:r w:rsidR="006C694E">
        <w:rPr>
          <w:rFonts w:ascii="Times New Roman" w:hAnsi="Times New Roman" w:cs="Times New Roman"/>
          <w:noProof/>
          <w:sz w:val="24"/>
          <w:szCs w:val="24"/>
          <w:lang w:val="sq-AL"/>
        </w:rPr>
        <w:t xml:space="preserve"> </w:t>
      </w:r>
      <w:r w:rsidR="006C1D39" w:rsidRPr="00641640">
        <w:rPr>
          <w:rFonts w:ascii="Times New Roman" w:hAnsi="Times New Roman" w:cs="Times New Roman"/>
          <w:noProof/>
          <w:sz w:val="24"/>
          <w:szCs w:val="24"/>
          <w:lang w:val="sq-AL"/>
        </w:rPr>
        <w:t>Përmes sinergjizimit t</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 xml:space="preserve"> masave t</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 xml:space="preserve"> dyja </w:t>
      </w:r>
      <w:r w:rsidR="002D647C" w:rsidRPr="00641640">
        <w:rPr>
          <w:rFonts w:ascii="Times New Roman" w:hAnsi="Times New Roman" w:cs="Times New Roman"/>
          <w:noProof/>
          <w:sz w:val="24"/>
          <w:szCs w:val="24"/>
          <w:lang w:val="sq-AL"/>
        </w:rPr>
        <w:t>s</w:t>
      </w:r>
      <w:r w:rsidR="006C1D39" w:rsidRPr="00641640">
        <w:rPr>
          <w:rFonts w:ascii="Times New Roman" w:hAnsi="Times New Roman" w:cs="Times New Roman"/>
          <w:noProof/>
          <w:sz w:val="24"/>
          <w:szCs w:val="24"/>
          <w:lang w:val="sq-AL"/>
        </w:rPr>
        <w:t>trategjive p</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r etik</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n dhe integritetin n</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 xml:space="preserve"> institucionet e t</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 xml:space="preserve"> gjitha niveleve t</w:t>
      </w:r>
      <w:r w:rsidR="00064AC5" w:rsidRPr="00641640">
        <w:rPr>
          <w:rFonts w:ascii="Times New Roman" w:hAnsi="Times New Roman" w:cs="Times New Roman"/>
          <w:noProof/>
          <w:sz w:val="24"/>
          <w:szCs w:val="24"/>
          <w:lang w:val="sq-AL"/>
        </w:rPr>
        <w:t>ë</w:t>
      </w:r>
      <w:r w:rsidR="006C1D39" w:rsidRPr="00641640">
        <w:rPr>
          <w:rFonts w:ascii="Times New Roman" w:hAnsi="Times New Roman" w:cs="Times New Roman"/>
          <w:noProof/>
          <w:sz w:val="24"/>
          <w:szCs w:val="24"/>
          <w:lang w:val="sq-AL"/>
        </w:rPr>
        <w:t xml:space="preserve"> qeverisjes, synohet avancimi i përgjegjshmërisë insti</w:t>
      </w:r>
      <w:r w:rsidRPr="00641640">
        <w:rPr>
          <w:rFonts w:ascii="Times New Roman" w:hAnsi="Times New Roman" w:cs="Times New Roman"/>
          <w:noProof/>
          <w:sz w:val="24"/>
          <w:szCs w:val="24"/>
          <w:lang w:val="sq-AL"/>
        </w:rPr>
        <w:t>tucionale dhe konsolidimi i integritetit si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002D647C" w:rsidRPr="00641640">
        <w:rPr>
          <w:rFonts w:ascii="Times New Roman" w:hAnsi="Times New Roman" w:cs="Times New Roman"/>
          <w:noProof/>
          <w:sz w:val="24"/>
          <w:szCs w:val="24"/>
          <w:lang w:val="sq-AL"/>
        </w:rPr>
        <w:t>punonjësve</w:t>
      </w:r>
      <w:r w:rsidRPr="00641640">
        <w:rPr>
          <w:rFonts w:ascii="Times New Roman" w:hAnsi="Times New Roman" w:cs="Times New Roman"/>
          <w:noProof/>
          <w:sz w:val="24"/>
          <w:szCs w:val="24"/>
          <w:lang w:val="sq-AL"/>
        </w:rPr>
        <w:t>, ashtu edhe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procedurave administrative. </w:t>
      </w:r>
    </w:p>
    <w:p w14:paraId="2896ED6D" w14:textId="2CF21C31" w:rsidR="00977C9D" w:rsidRPr="00641640" w:rsidRDefault="002D647C"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lastRenderedPageBreak/>
        <w:t>Ndërl</w:t>
      </w:r>
      <w:r w:rsidR="00E57940" w:rsidRPr="00641640">
        <w:rPr>
          <w:rFonts w:ascii="Times New Roman" w:hAnsi="Times New Roman" w:cs="Times New Roman"/>
          <w:b/>
          <w:bCs/>
          <w:noProof/>
          <w:sz w:val="24"/>
          <w:szCs w:val="24"/>
          <w:lang w:val="sq-AL"/>
        </w:rPr>
        <w:t>idhja e SNRAP 202</w:t>
      </w:r>
      <w:r w:rsidR="00AD01FD" w:rsidRPr="00641640">
        <w:rPr>
          <w:rFonts w:ascii="Times New Roman" w:hAnsi="Times New Roman" w:cs="Times New Roman"/>
          <w:b/>
          <w:bCs/>
          <w:noProof/>
          <w:sz w:val="24"/>
          <w:szCs w:val="24"/>
          <w:lang w:val="sq-AL"/>
        </w:rPr>
        <w:t>5</w:t>
      </w:r>
      <w:r w:rsidR="00E57940" w:rsidRPr="00641640">
        <w:rPr>
          <w:rFonts w:ascii="Times New Roman" w:hAnsi="Times New Roman" w:cs="Times New Roman"/>
          <w:b/>
          <w:bCs/>
          <w:noProof/>
          <w:sz w:val="24"/>
          <w:szCs w:val="24"/>
          <w:lang w:val="sq-AL"/>
        </w:rPr>
        <w:t xml:space="preserve">-2030 me </w:t>
      </w:r>
      <w:r w:rsidR="00977C9D" w:rsidRPr="00641640">
        <w:rPr>
          <w:rFonts w:ascii="Times New Roman" w:hAnsi="Times New Roman" w:cs="Times New Roman"/>
          <w:b/>
          <w:bCs/>
          <w:noProof/>
          <w:sz w:val="24"/>
          <w:szCs w:val="24"/>
          <w:lang w:val="sq-AL"/>
        </w:rPr>
        <w:t>Strategji</w:t>
      </w:r>
      <w:r w:rsidR="00E57940" w:rsidRPr="00641640">
        <w:rPr>
          <w:rFonts w:ascii="Times New Roman" w:hAnsi="Times New Roman" w:cs="Times New Roman"/>
          <w:b/>
          <w:bCs/>
          <w:noProof/>
          <w:sz w:val="24"/>
          <w:szCs w:val="24"/>
          <w:lang w:val="sq-AL"/>
        </w:rPr>
        <w:t>n</w:t>
      </w:r>
      <w:r w:rsidR="00064AC5" w:rsidRPr="00641640">
        <w:rPr>
          <w:rFonts w:ascii="Times New Roman" w:hAnsi="Times New Roman" w:cs="Times New Roman"/>
          <w:b/>
          <w:bCs/>
          <w:noProof/>
          <w:sz w:val="24"/>
          <w:szCs w:val="24"/>
          <w:lang w:val="sq-AL"/>
        </w:rPr>
        <w:t>ë</w:t>
      </w:r>
      <w:r w:rsidR="00977C9D" w:rsidRPr="00641640">
        <w:rPr>
          <w:rFonts w:ascii="Times New Roman" w:hAnsi="Times New Roman" w:cs="Times New Roman"/>
          <w:b/>
          <w:bCs/>
          <w:noProof/>
          <w:sz w:val="24"/>
          <w:szCs w:val="24"/>
          <w:lang w:val="sq-AL"/>
        </w:rPr>
        <w:t xml:space="preserve"> </w:t>
      </w:r>
      <w:r w:rsidR="00E57940" w:rsidRPr="00641640">
        <w:rPr>
          <w:rFonts w:ascii="Times New Roman" w:hAnsi="Times New Roman" w:cs="Times New Roman"/>
          <w:b/>
          <w:bCs/>
          <w:noProof/>
          <w:sz w:val="24"/>
          <w:szCs w:val="24"/>
          <w:lang w:val="sq-AL"/>
        </w:rPr>
        <w:t>“</w:t>
      </w:r>
      <w:r w:rsidR="00977C9D" w:rsidRPr="00641640">
        <w:rPr>
          <w:rFonts w:ascii="Times New Roman" w:hAnsi="Times New Roman" w:cs="Times New Roman"/>
          <w:b/>
          <w:bCs/>
          <w:noProof/>
          <w:sz w:val="24"/>
          <w:szCs w:val="24"/>
          <w:lang w:val="sq-AL"/>
        </w:rPr>
        <w:t>Agjenda Digjitale e Shqip</w:t>
      </w:r>
      <w:r w:rsidR="003D6826" w:rsidRPr="00641640">
        <w:rPr>
          <w:rFonts w:ascii="Times New Roman" w:hAnsi="Times New Roman" w:cs="Times New Roman"/>
          <w:b/>
          <w:bCs/>
          <w:noProof/>
          <w:sz w:val="24"/>
          <w:szCs w:val="24"/>
          <w:lang w:val="sq-AL"/>
        </w:rPr>
        <w:t>ë</w:t>
      </w:r>
      <w:r w:rsidR="00977C9D" w:rsidRPr="00641640">
        <w:rPr>
          <w:rFonts w:ascii="Times New Roman" w:hAnsi="Times New Roman" w:cs="Times New Roman"/>
          <w:b/>
          <w:bCs/>
          <w:noProof/>
          <w:sz w:val="24"/>
          <w:szCs w:val="24"/>
          <w:lang w:val="sq-AL"/>
        </w:rPr>
        <w:t>ris</w:t>
      </w:r>
      <w:r w:rsidR="003D6826" w:rsidRPr="00641640">
        <w:rPr>
          <w:rFonts w:ascii="Times New Roman" w:hAnsi="Times New Roman" w:cs="Times New Roman"/>
          <w:b/>
          <w:bCs/>
          <w:noProof/>
          <w:sz w:val="24"/>
          <w:szCs w:val="24"/>
          <w:lang w:val="sq-AL"/>
        </w:rPr>
        <w:t>ë</w:t>
      </w:r>
      <w:r w:rsidR="00977C9D" w:rsidRPr="00641640">
        <w:rPr>
          <w:rFonts w:ascii="Times New Roman" w:hAnsi="Times New Roman" w:cs="Times New Roman"/>
          <w:b/>
          <w:bCs/>
          <w:noProof/>
          <w:sz w:val="24"/>
          <w:szCs w:val="24"/>
          <w:lang w:val="sq-AL"/>
        </w:rPr>
        <w:t xml:space="preserve"> 2022</w:t>
      </w:r>
      <w:r w:rsidRPr="00641640">
        <w:rPr>
          <w:rFonts w:ascii="Times New Roman" w:hAnsi="Times New Roman" w:cs="Times New Roman"/>
          <w:b/>
          <w:bCs/>
          <w:noProof/>
          <w:sz w:val="24"/>
          <w:szCs w:val="24"/>
          <w:lang w:val="sq-AL"/>
        </w:rPr>
        <w:t>-</w:t>
      </w:r>
      <w:r w:rsidR="00977C9D" w:rsidRPr="00641640">
        <w:rPr>
          <w:rFonts w:ascii="Times New Roman" w:hAnsi="Times New Roman" w:cs="Times New Roman"/>
          <w:b/>
          <w:bCs/>
          <w:noProof/>
          <w:sz w:val="24"/>
          <w:szCs w:val="24"/>
          <w:lang w:val="sq-AL"/>
        </w:rPr>
        <w:t>2026</w:t>
      </w:r>
      <w:r w:rsidR="00E57940" w:rsidRPr="00641640">
        <w:rPr>
          <w:rFonts w:ascii="Times New Roman" w:hAnsi="Times New Roman" w:cs="Times New Roman"/>
          <w:b/>
          <w:bCs/>
          <w:noProof/>
          <w:sz w:val="24"/>
          <w:szCs w:val="24"/>
          <w:lang w:val="sq-AL"/>
        </w:rPr>
        <w:t>”</w:t>
      </w:r>
    </w:p>
    <w:p w14:paraId="69312BD4" w14:textId="6C9443B6" w:rsidR="00A74DDD" w:rsidRPr="00641640" w:rsidRDefault="007B683C"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Vijimi i p</w:t>
      </w:r>
      <w:r w:rsidR="00977C9D" w:rsidRPr="00641640">
        <w:rPr>
          <w:rFonts w:ascii="Times New Roman" w:hAnsi="Times New Roman" w:cs="Times New Roman"/>
          <w:noProof/>
          <w:sz w:val="24"/>
          <w:szCs w:val="24"/>
          <w:lang w:val="sq-AL"/>
        </w:rPr>
        <w:t>un</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w:t>
      </w:r>
      <w:r w:rsidR="00977C9D" w:rsidRPr="00641640">
        <w:rPr>
          <w:rFonts w:ascii="Times New Roman" w:hAnsi="Times New Roman" w:cs="Times New Roman"/>
          <w:noProof/>
          <w:sz w:val="24"/>
          <w:szCs w:val="24"/>
          <w:lang w:val="sq-AL"/>
        </w:rPr>
        <w:t xml:space="preserve"> për transformimin digjital </w:t>
      </w:r>
      <w:r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Shqip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ris</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mb</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shtetet </w:t>
      </w:r>
      <w:r w:rsidR="00977C9D" w:rsidRPr="00641640">
        <w:rPr>
          <w:rFonts w:ascii="Times New Roman" w:hAnsi="Times New Roman" w:cs="Times New Roman"/>
          <w:noProof/>
          <w:sz w:val="24"/>
          <w:szCs w:val="24"/>
          <w:lang w:val="sq-AL"/>
        </w:rPr>
        <w:t xml:space="preserve">nga Strategjia </w:t>
      </w:r>
      <w:r w:rsidRPr="00641640">
        <w:rPr>
          <w:rFonts w:ascii="Times New Roman" w:hAnsi="Times New Roman" w:cs="Times New Roman"/>
          <w:noProof/>
          <w:sz w:val="24"/>
          <w:szCs w:val="24"/>
          <w:lang w:val="sq-AL"/>
        </w:rPr>
        <w:t>“</w:t>
      </w:r>
      <w:r w:rsidR="00977C9D" w:rsidRPr="00641640">
        <w:rPr>
          <w:rFonts w:ascii="Times New Roman" w:hAnsi="Times New Roman" w:cs="Times New Roman"/>
          <w:noProof/>
          <w:sz w:val="24"/>
          <w:szCs w:val="24"/>
          <w:lang w:val="sq-AL"/>
        </w:rPr>
        <w:t>Agjenda Digjitale e Shqipërisë 2022</w:t>
      </w:r>
      <w:r w:rsidR="002D647C" w:rsidRPr="00641640">
        <w:rPr>
          <w:rFonts w:ascii="Times New Roman" w:hAnsi="Times New Roman" w:cs="Times New Roman"/>
          <w:noProof/>
          <w:sz w:val="24"/>
          <w:szCs w:val="24"/>
          <w:lang w:val="sq-AL"/>
        </w:rPr>
        <w:t>-</w:t>
      </w:r>
      <w:r w:rsidR="00977C9D" w:rsidRPr="00641640">
        <w:rPr>
          <w:rFonts w:ascii="Times New Roman" w:hAnsi="Times New Roman" w:cs="Times New Roman"/>
          <w:noProof/>
          <w:sz w:val="24"/>
          <w:szCs w:val="24"/>
          <w:lang w:val="sq-AL"/>
        </w:rPr>
        <w:t>2026</w:t>
      </w:r>
      <w:r w:rsidRPr="00641640">
        <w:rPr>
          <w:rFonts w:ascii="Times New Roman" w:hAnsi="Times New Roman" w:cs="Times New Roman"/>
          <w:noProof/>
          <w:sz w:val="24"/>
          <w:szCs w:val="24"/>
          <w:lang w:val="sq-AL"/>
        </w:rPr>
        <w:t>”,</w:t>
      </w:r>
      <w:r w:rsidR="00977C9D" w:rsidRPr="00641640">
        <w:rPr>
          <w:rFonts w:ascii="Times New Roman" w:hAnsi="Times New Roman" w:cs="Times New Roman"/>
          <w:noProof/>
          <w:sz w:val="24"/>
          <w:szCs w:val="24"/>
          <w:lang w:val="sq-AL"/>
        </w:rPr>
        <w:t xml:space="preserve"> si edhe Strategjia e re Ndërsektoriale për Reformën në Administratën Publike 202</w:t>
      </w:r>
      <w:r w:rsidR="00922F01" w:rsidRPr="00641640">
        <w:rPr>
          <w:rFonts w:ascii="Times New Roman" w:hAnsi="Times New Roman" w:cs="Times New Roman"/>
          <w:noProof/>
          <w:sz w:val="24"/>
          <w:szCs w:val="24"/>
          <w:lang w:val="sq-AL"/>
        </w:rPr>
        <w:t>5</w:t>
      </w:r>
      <w:r w:rsidR="002D647C" w:rsidRPr="00641640">
        <w:rPr>
          <w:rFonts w:ascii="Times New Roman" w:hAnsi="Times New Roman" w:cs="Times New Roman"/>
          <w:noProof/>
          <w:sz w:val="24"/>
          <w:szCs w:val="24"/>
          <w:lang w:val="sq-AL"/>
        </w:rPr>
        <w:t>-</w:t>
      </w:r>
      <w:r w:rsidR="00977C9D" w:rsidRPr="00641640">
        <w:rPr>
          <w:rFonts w:ascii="Times New Roman" w:hAnsi="Times New Roman" w:cs="Times New Roman"/>
          <w:noProof/>
          <w:sz w:val="24"/>
          <w:szCs w:val="24"/>
          <w:lang w:val="sq-AL"/>
        </w:rPr>
        <w:t xml:space="preserve">2030. </w:t>
      </w:r>
      <w:r w:rsidR="00A74DDD" w:rsidRPr="00641640">
        <w:rPr>
          <w:rFonts w:ascii="Times New Roman" w:hAnsi="Times New Roman" w:cs="Times New Roman"/>
          <w:noProof/>
          <w:sz w:val="24"/>
          <w:szCs w:val="24"/>
          <w:lang w:val="sq-AL"/>
        </w:rPr>
        <w:t>Agjenda Digjitale e Shqipërisë 2022</w:t>
      </w:r>
      <w:r w:rsidR="002D647C" w:rsidRPr="00641640">
        <w:rPr>
          <w:rFonts w:ascii="Times New Roman" w:hAnsi="Times New Roman" w:cs="Times New Roman"/>
          <w:noProof/>
          <w:sz w:val="24"/>
          <w:szCs w:val="24"/>
          <w:lang w:val="sq-AL"/>
        </w:rPr>
        <w:t>-</w:t>
      </w:r>
      <w:r w:rsidR="00A74DDD" w:rsidRPr="00641640">
        <w:rPr>
          <w:rFonts w:ascii="Times New Roman" w:hAnsi="Times New Roman" w:cs="Times New Roman"/>
          <w:noProof/>
          <w:sz w:val="24"/>
          <w:szCs w:val="24"/>
          <w:lang w:val="sq-AL"/>
        </w:rPr>
        <w:t xml:space="preserve">2026 synon të nxisë investimet në </w:t>
      </w:r>
      <w:r w:rsidR="002D647C" w:rsidRPr="00641640">
        <w:rPr>
          <w:rFonts w:ascii="Times New Roman" w:hAnsi="Times New Roman" w:cs="Times New Roman"/>
          <w:noProof/>
          <w:sz w:val="24"/>
          <w:szCs w:val="24"/>
          <w:lang w:val="sq-AL"/>
        </w:rPr>
        <w:t xml:space="preserve">fushat </w:t>
      </w:r>
      <w:r w:rsidR="00A74DDD" w:rsidRPr="00641640">
        <w:rPr>
          <w:rFonts w:ascii="Times New Roman" w:hAnsi="Times New Roman" w:cs="Times New Roman"/>
          <w:noProof/>
          <w:sz w:val="24"/>
          <w:szCs w:val="24"/>
          <w:lang w:val="sq-AL"/>
        </w:rPr>
        <w:t>kyçe të informatikës së avancuar dhe përpunimit të të dhënave, inteligjencës artificiale, sigurisë kibernetike dhe aftësive të përparuara digjitale të nevojshme për t’i zhvilluar ato, me qëllimin për të afruar bizneset, administratën publike dhe qytetarët me teknologjitë m</w:t>
      </w:r>
      <w:r w:rsidR="00E72046" w:rsidRPr="00641640">
        <w:rPr>
          <w:rFonts w:ascii="Times New Roman" w:hAnsi="Times New Roman" w:cs="Times New Roman"/>
          <w:noProof/>
          <w:sz w:val="24"/>
          <w:szCs w:val="24"/>
          <w:lang w:val="sq-AL"/>
        </w:rPr>
        <w:t>ë</w:t>
      </w:r>
      <w:r w:rsidR="00A74DDD" w:rsidRPr="00641640">
        <w:rPr>
          <w:rFonts w:ascii="Times New Roman" w:hAnsi="Times New Roman" w:cs="Times New Roman"/>
          <w:noProof/>
          <w:sz w:val="24"/>
          <w:szCs w:val="24"/>
          <w:lang w:val="sq-AL"/>
        </w:rPr>
        <w:t xml:space="preserve"> t</w:t>
      </w:r>
      <w:r w:rsidR="00E72046" w:rsidRPr="00641640">
        <w:rPr>
          <w:rFonts w:ascii="Times New Roman" w:hAnsi="Times New Roman" w:cs="Times New Roman"/>
          <w:noProof/>
          <w:sz w:val="24"/>
          <w:szCs w:val="24"/>
          <w:lang w:val="sq-AL"/>
        </w:rPr>
        <w:t>ë</w:t>
      </w:r>
      <w:r w:rsidR="00A74DDD" w:rsidRPr="00641640">
        <w:rPr>
          <w:rFonts w:ascii="Times New Roman" w:hAnsi="Times New Roman" w:cs="Times New Roman"/>
          <w:noProof/>
          <w:sz w:val="24"/>
          <w:szCs w:val="24"/>
          <w:lang w:val="sq-AL"/>
        </w:rPr>
        <w:t xml:space="preserve"> fundit. </w:t>
      </w:r>
    </w:p>
    <w:p w14:paraId="3D56D6F3" w14:textId="44B23884" w:rsidR="00FE600C" w:rsidRPr="00641640" w:rsidRDefault="00A74DDD" w:rsidP="003A395D">
      <w:pPr>
        <w:spacing w:after="0"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Strategjia </w:t>
      </w:r>
      <w:r w:rsidR="002D647C" w:rsidRPr="00641640">
        <w:rPr>
          <w:rFonts w:ascii="Times New Roman" w:hAnsi="Times New Roman" w:cs="Times New Roman"/>
          <w:noProof/>
          <w:sz w:val="24"/>
          <w:szCs w:val="24"/>
          <w:lang w:val="sq-AL"/>
        </w:rPr>
        <w:t xml:space="preserve">Agjenda Digjitale e Shqipërisë </w:t>
      </w:r>
      <w:r w:rsidRPr="00641640">
        <w:rPr>
          <w:rFonts w:ascii="Times New Roman" w:hAnsi="Times New Roman" w:cs="Times New Roman"/>
          <w:noProof/>
          <w:sz w:val="24"/>
          <w:szCs w:val="24"/>
          <w:lang w:val="sq-AL"/>
        </w:rPr>
        <w:t>dhe Plani i Veprimit parashikojn</w:t>
      </w:r>
      <w:r w:rsidR="00E72046" w:rsidRPr="00641640">
        <w:rPr>
          <w:rFonts w:ascii="Times New Roman" w:hAnsi="Times New Roman" w:cs="Times New Roman"/>
          <w:noProof/>
          <w:sz w:val="24"/>
          <w:szCs w:val="24"/>
          <w:lang w:val="sq-AL"/>
        </w:rPr>
        <w:t>ë</w:t>
      </w:r>
      <w:r w:rsidR="00076AE4" w:rsidRPr="00641640">
        <w:rPr>
          <w:rFonts w:ascii="Times New Roman" w:hAnsi="Times New Roman" w:cs="Times New Roman"/>
          <w:noProof/>
          <w:sz w:val="24"/>
          <w:szCs w:val="24"/>
          <w:lang w:val="sq-AL"/>
        </w:rPr>
        <w:t xml:space="preserve"> projekte </w:t>
      </w:r>
      <w:r w:rsidR="0063610E" w:rsidRPr="00641640">
        <w:rPr>
          <w:rFonts w:ascii="Times New Roman" w:hAnsi="Times New Roman" w:cs="Times New Roman"/>
          <w:noProof/>
          <w:sz w:val="24"/>
          <w:szCs w:val="24"/>
          <w:lang w:val="sq-AL"/>
        </w:rPr>
        <w:t>konkrete</w:t>
      </w:r>
      <w:r w:rsidR="00076AE4"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p</w:t>
      </w:r>
      <w:r w:rsidR="00E72046"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zhvillimin e mëtejshëm t</w:t>
      </w:r>
      <w:r w:rsidR="00E72046"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sistemeve ekzistuese dhe ngritjen e platformave moderne q</w:t>
      </w:r>
      <w:r w:rsidR="00E72046"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u p</w:t>
      </w:r>
      <w:r w:rsidR="00E72046"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rgjigjen nevojave t</w:t>
      </w:r>
      <w:r w:rsidR="00E72046"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qytetarit apo administratës,</w:t>
      </w:r>
      <w:r w:rsidR="00076AE4" w:rsidRPr="00641640">
        <w:rPr>
          <w:rFonts w:ascii="Times New Roman" w:hAnsi="Times New Roman" w:cs="Times New Roman"/>
          <w:noProof/>
          <w:sz w:val="24"/>
          <w:szCs w:val="24"/>
          <w:lang w:val="sq-AL"/>
        </w:rPr>
        <w:t xml:space="preserve"> si dhe</w:t>
      </w:r>
      <w:r w:rsidRPr="00641640">
        <w:rPr>
          <w:rFonts w:ascii="Times New Roman" w:hAnsi="Times New Roman" w:cs="Times New Roman"/>
          <w:noProof/>
          <w:sz w:val="24"/>
          <w:szCs w:val="24"/>
          <w:lang w:val="sq-AL"/>
        </w:rPr>
        <w:t xml:space="preserve"> iniciativa</w:t>
      </w:r>
      <w:r w:rsidR="00076AE4" w:rsidRPr="00641640">
        <w:rPr>
          <w:rFonts w:ascii="Times New Roman" w:hAnsi="Times New Roman" w:cs="Times New Roman"/>
          <w:noProof/>
          <w:sz w:val="24"/>
          <w:szCs w:val="24"/>
          <w:lang w:val="sq-AL"/>
        </w:rPr>
        <w:t xml:space="preserve"> konkrete</w:t>
      </w:r>
      <w:r w:rsidRPr="00641640">
        <w:rPr>
          <w:rFonts w:ascii="Times New Roman" w:hAnsi="Times New Roman" w:cs="Times New Roman"/>
          <w:noProof/>
          <w:sz w:val="24"/>
          <w:szCs w:val="24"/>
          <w:lang w:val="sq-AL"/>
        </w:rPr>
        <w:t xml:space="preserve"> </w:t>
      </w:r>
      <w:r w:rsidR="00076AE4" w:rsidRPr="00641640">
        <w:rPr>
          <w:rFonts w:ascii="Times New Roman" w:hAnsi="Times New Roman" w:cs="Times New Roman"/>
          <w:noProof/>
          <w:sz w:val="24"/>
          <w:szCs w:val="24"/>
          <w:lang w:val="sq-AL"/>
        </w:rPr>
        <w:t>p</w:t>
      </w:r>
      <w:r w:rsidR="00E72046" w:rsidRPr="00641640">
        <w:rPr>
          <w:rFonts w:ascii="Times New Roman" w:hAnsi="Times New Roman" w:cs="Times New Roman"/>
          <w:noProof/>
          <w:sz w:val="24"/>
          <w:szCs w:val="24"/>
          <w:lang w:val="sq-AL"/>
        </w:rPr>
        <w:t>ë</w:t>
      </w:r>
      <w:r w:rsidR="00076AE4" w:rsidRPr="00641640">
        <w:rPr>
          <w:rFonts w:ascii="Times New Roman" w:hAnsi="Times New Roman" w:cs="Times New Roman"/>
          <w:noProof/>
          <w:sz w:val="24"/>
          <w:szCs w:val="24"/>
          <w:lang w:val="sq-AL"/>
        </w:rPr>
        <w:t>r adresimin e mungesës së burimeve njer</w:t>
      </w:r>
      <w:r w:rsidR="00E72046"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zore n</w:t>
      </w:r>
      <w:r w:rsidR="00E72046"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fushën digjitale, duke avancuar më tej </w:t>
      </w:r>
      <w:r w:rsidR="00076AE4" w:rsidRPr="00641640">
        <w:rPr>
          <w:rFonts w:ascii="Times New Roman" w:hAnsi="Times New Roman" w:cs="Times New Roman"/>
          <w:noProof/>
          <w:sz w:val="24"/>
          <w:szCs w:val="24"/>
          <w:lang w:val="sq-AL"/>
        </w:rPr>
        <w:t>vizionin p</w:t>
      </w:r>
      <w:r w:rsidR="00E72046" w:rsidRPr="00641640">
        <w:rPr>
          <w:rFonts w:ascii="Times New Roman" w:hAnsi="Times New Roman" w:cs="Times New Roman"/>
          <w:noProof/>
          <w:sz w:val="24"/>
          <w:szCs w:val="24"/>
          <w:lang w:val="sq-AL"/>
        </w:rPr>
        <w:t>ë</w:t>
      </w:r>
      <w:r w:rsidR="00076AE4" w:rsidRPr="00641640">
        <w:rPr>
          <w:rFonts w:ascii="Times New Roman" w:hAnsi="Times New Roman" w:cs="Times New Roman"/>
          <w:noProof/>
          <w:sz w:val="24"/>
          <w:szCs w:val="24"/>
          <w:lang w:val="sq-AL"/>
        </w:rPr>
        <w:t xml:space="preserve">r </w:t>
      </w:r>
      <w:r w:rsidRPr="00641640">
        <w:rPr>
          <w:rFonts w:ascii="Times New Roman" w:hAnsi="Times New Roman" w:cs="Times New Roman"/>
          <w:noProof/>
          <w:sz w:val="24"/>
          <w:szCs w:val="24"/>
          <w:lang w:val="sq-AL"/>
        </w:rPr>
        <w:t>digjitalizimin e shërbimeve publike dhe zhvillimin e aftësive kibernetike</w:t>
      </w:r>
      <w:r w:rsidR="00076AE4" w:rsidRPr="00641640">
        <w:rPr>
          <w:rFonts w:ascii="Times New Roman" w:hAnsi="Times New Roman" w:cs="Times New Roman"/>
          <w:noProof/>
          <w:sz w:val="24"/>
          <w:szCs w:val="24"/>
          <w:lang w:val="sq-AL"/>
        </w:rPr>
        <w:t xml:space="preserve"> t</w:t>
      </w:r>
      <w:r w:rsidR="00E72046" w:rsidRPr="00641640">
        <w:rPr>
          <w:rFonts w:ascii="Times New Roman" w:hAnsi="Times New Roman" w:cs="Times New Roman"/>
          <w:noProof/>
          <w:sz w:val="24"/>
          <w:szCs w:val="24"/>
          <w:lang w:val="sq-AL"/>
        </w:rPr>
        <w:t>ë</w:t>
      </w:r>
      <w:r w:rsidR="00076AE4" w:rsidRPr="00641640">
        <w:rPr>
          <w:rFonts w:ascii="Times New Roman" w:hAnsi="Times New Roman" w:cs="Times New Roman"/>
          <w:noProof/>
          <w:sz w:val="24"/>
          <w:szCs w:val="24"/>
          <w:lang w:val="sq-AL"/>
        </w:rPr>
        <w:t xml:space="preserve"> shoq</w:t>
      </w:r>
      <w:r w:rsidR="00E72046" w:rsidRPr="00641640">
        <w:rPr>
          <w:rFonts w:ascii="Times New Roman" w:hAnsi="Times New Roman" w:cs="Times New Roman"/>
          <w:noProof/>
          <w:sz w:val="24"/>
          <w:szCs w:val="24"/>
          <w:lang w:val="sq-AL"/>
        </w:rPr>
        <w:t>ë</w:t>
      </w:r>
      <w:r w:rsidR="00076AE4" w:rsidRPr="00641640">
        <w:rPr>
          <w:rFonts w:ascii="Times New Roman" w:hAnsi="Times New Roman" w:cs="Times New Roman"/>
          <w:noProof/>
          <w:sz w:val="24"/>
          <w:szCs w:val="24"/>
          <w:lang w:val="sq-AL"/>
        </w:rPr>
        <w:t>ris</w:t>
      </w:r>
      <w:r w:rsidR="00E72046" w:rsidRPr="00641640">
        <w:rPr>
          <w:rFonts w:ascii="Times New Roman" w:hAnsi="Times New Roman" w:cs="Times New Roman"/>
          <w:noProof/>
          <w:sz w:val="24"/>
          <w:szCs w:val="24"/>
          <w:lang w:val="sq-AL"/>
        </w:rPr>
        <w:t>ë</w:t>
      </w:r>
      <w:r w:rsidR="00076AE4" w:rsidRPr="00641640">
        <w:rPr>
          <w:rFonts w:ascii="Times New Roman" w:hAnsi="Times New Roman" w:cs="Times New Roman"/>
          <w:noProof/>
          <w:sz w:val="24"/>
          <w:szCs w:val="24"/>
          <w:lang w:val="sq-AL"/>
        </w:rPr>
        <w:t xml:space="preserve"> s</w:t>
      </w:r>
      <w:r w:rsidR="00E72046" w:rsidRPr="00641640">
        <w:rPr>
          <w:rFonts w:ascii="Times New Roman" w:hAnsi="Times New Roman" w:cs="Times New Roman"/>
          <w:noProof/>
          <w:sz w:val="24"/>
          <w:szCs w:val="24"/>
          <w:lang w:val="sq-AL"/>
        </w:rPr>
        <w:t>ë</w:t>
      </w:r>
      <w:r w:rsidR="00076AE4" w:rsidRPr="00641640">
        <w:rPr>
          <w:rFonts w:ascii="Times New Roman" w:hAnsi="Times New Roman" w:cs="Times New Roman"/>
          <w:noProof/>
          <w:sz w:val="24"/>
          <w:szCs w:val="24"/>
          <w:lang w:val="sq-AL"/>
        </w:rPr>
        <w:t xml:space="preserve"> gjer</w:t>
      </w:r>
      <w:r w:rsidR="00E72046"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w:t>
      </w:r>
      <w:r w:rsidR="00076AE4" w:rsidRPr="00641640">
        <w:rPr>
          <w:rFonts w:ascii="Times New Roman" w:hAnsi="Times New Roman" w:cs="Times New Roman"/>
          <w:noProof/>
          <w:sz w:val="24"/>
          <w:szCs w:val="24"/>
          <w:lang w:val="sq-AL"/>
        </w:rPr>
        <w:t xml:space="preserve"> </w:t>
      </w:r>
      <w:r w:rsidR="00977C9D" w:rsidRPr="00641640">
        <w:rPr>
          <w:rFonts w:ascii="Times New Roman" w:hAnsi="Times New Roman" w:cs="Times New Roman"/>
          <w:noProof/>
          <w:sz w:val="24"/>
          <w:szCs w:val="24"/>
          <w:lang w:val="sq-AL"/>
        </w:rPr>
        <w:t xml:space="preserve">Masat që përfshihen në SNRAP </w:t>
      </w:r>
      <w:r w:rsidR="00076AE4" w:rsidRPr="00641640">
        <w:rPr>
          <w:rFonts w:ascii="Times New Roman" w:hAnsi="Times New Roman" w:cs="Times New Roman"/>
          <w:noProof/>
          <w:sz w:val="24"/>
          <w:szCs w:val="24"/>
          <w:lang w:val="sq-AL"/>
        </w:rPr>
        <w:t>202</w:t>
      </w:r>
      <w:r w:rsidR="003607A9" w:rsidRPr="00641640">
        <w:rPr>
          <w:rFonts w:ascii="Times New Roman" w:hAnsi="Times New Roman" w:cs="Times New Roman"/>
          <w:noProof/>
          <w:sz w:val="24"/>
          <w:szCs w:val="24"/>
          <w:lang w:val="sq-AL"/>
        </w:rPr>
        <w:t>5</w:t>
      </w:r>
      <w:r w:rsidR="00076AE4" w:rsidRPr="00641640">
        <w:rPr>
          <w:rFonts w:ascii="Times New Roman" w:hAnsi="Times New Roman" w:cs="Times New Roman"/>
          <w:noProof/>
          <w:sz w:val="24"/>
          <w:szCs w:val="24"/>
          <w:lang w:val="sq-AL"/>
        </w:rPr>
        <w:t>-</w:t>
      </w:r>
      <w:r w:rsidR="00977C9D" w:rsidRPr="00641640">
        <w:rPr>
          <w:rFonts w:ascii="Times New Roman" w:hAnsi="Times New Roman" w:cs="Times New Roman"/>
          <w:noProof/>
          <w:sz w:val="24"/>
          <w:szCs w:val="24"/>
          <w:lang w:val="sq-AL"/>
        </w:rPr>
        <w:t>2030 synojnë ofr</w:t>
      </w:r>
      <w:r w:rsidR="0044335A" w:rsidRPr="00641640">
        <w:rPr>
          <w:rFonts w:ascii="Times New Roman" w:hAnsi="Times New Roman" w:cs="Times New Roman"/>
          <w:noProof/>
          <w:sz w:val="24"/>
          <w:szCs w:val="24"/>
          <w:lang w:val="sq-AL"/>
        </w:rPr>
        <w:t>imin e</w:t>
      </w:r>
      <w:r w:rsidR="00977C9D" w:rsidRPr="00641640">
        <w:rPr>
          <w:rFonts w:ascii="Times New Roman" w:hAnsi="Times New Roman" w:cs="Times New Roman"/>
          <w:noProof/>
          <w:sz w:val="24"/>
          <w:szCs w:val="24"/>
          <w:lang w:val="sq-AL"/>
        </w:rPr>
        <w:t xml:space="preserve"> shërbime</w:t>
      </w:r>
      <w:r w:rsidR="00E57940" w:rsidRPr="00641640">
        <w:rPr>
          <w:rFonts w:ascii="Times New Roman" w:hAnsi="Times New Roman" w:cs="Times New Roman"/>
          <w:noProof/>
          <w:sz w:val="24"/>
          <w:szCs w:val="24"/>
          <w:lang w:val="sq-AL"/>
        </w:rPr>
        <w:t>ve</w:t>
      </w:r>
      <w:r w:rsidR="00977C9D" w:rsidRPr="00641640">
        <w:rPr>
          <w:rFonts w:ascii="Times New Roman" w:hAnsi="Times New Roman" w:cs="Times New Roman"/>
          <w:noProof/>
          <w:sz w:val="24"/>
          <w:szCs w:val="24"/>
          <w:lang w:val="sq-AL"/>
        </w:rPr>
        <w:t xml:space="preserve"> digjitale gjithëpërfshirëse dhe p</w:t>
      </w:r>
      <w:r w:rsidR="00064AC5" w:rsidRPr="00641640">
        <w:rPr>
          <w:rFonts w:ascii="Times New Roman" w:hAnsi="Times New Roman" w:cs="Times New Roman"/>
          <w:noProof/>
          <w:sz w:val="24"/>
          <w:szCs w:val="24"/>
          <w:lang w:val="sq-AL"/>
        </w:rPr>
        <w:t>ë</w:t>
      </w:r>
      <w:r w:rsidR="00E57940" w:rsidRPr="00641640">
        <w:rPr>
          <w:rFonts w:ascii="Times New Roman" w:hAnsi="Times New Roman" w:cs="Times New Roman"/>
          <w:noProof/>
          <w:sz w:val="24"/>
          <w:szCs w:val="24"/>
          <w:lang w:val="sq-AL"/>
        </w:rPr>
        <w:t>rtej kufijve</w:t>
      </w:r>
      <w:r w:rsidR="00977C9D" w:rsidRPr="00641640">
        <w:rPr>
          <w:rFonts w:ascii="Times New Roman" w:hAnsi="Times New Roman" w:cs="Times New Roman"/>
          <w:noProof/>
          <w:sz w:val="24"/>
          <w:szCs w:val="24"/>
          <w:lang w:val="sq-AL"/>
        </w:rPr>
        <w:t xml:space="preserve"> për qytetarët dhe bizneset</w:t>
      </w:r>
      <w:r w:rsidR="0044335A" w:rsidRPr="00641640">
        <w:rPr>
          <w:rFonts w:ascii="Times New Roman" w:hAnsi="Times New Roman" w:cs="Times New Roman"/>
          <w:noProof/>
          <w:sz w:val="24"/>
          <w:szCs w:val="24"/>
          <w:lang w:val="sq-AL"/>
        </w:rPr>
        <w:t xml:space="preserve">, </w:t>
      </w:r>
      <w:r w:rsidR="00E57940" w:rsidRPr="00641640">
        <w:rPr>
          <w:rFonts w:ascii="Times New Roman" w:hAnsi="Times New Roman" w:cs="Times New Roman"/>
          <w:noProof/>
          <w:sz w:val="24"/>
          <w:szCs w:val="24"/>
          <w:lang w:val="sq-AL"/>
        </w:rPr>
        <w:t xml:space="preserve">si dhe </w:t>
      </w:r>
      <w:r w:rsidR="00977C9D" w:rsidRPr="00641640">
        <w:rPr>
          <w:rFonts w:ascii="Times New Roman" w:hAnsi="Times New Roman" w:cs="Times New Roman"/>
          <w:noProof/>
          <w:sz w:val="24"/>
          <w:szCs w:val="24"/>
          <w:lang w:val="sq-AL"/>
        </w:rPr>
        <w:t>ri-inxhinierimi</w:t>
      </w:r>
      <w:r w:rsidR="0044335A" w:rsidRPr="00641640">
        <w:rPr>
          <w:rFonts w:ascii="Times New Roman" w:hAnsi="Times New Roman" w:cs="Times New Roman"/>
          <w:noProof/>
          <w:sz w:val="24"/>
          <w:szCs w:val="24"/>
          <w:lang w:val="sq-AL"/>
        </w:rPr>
        <w:t>n</w:t>
      </w:r>
      <w:r w:rsidR="00977C9D" w:rsidRPr="00641640">
        <w:rPr>
          <w:rFonts w:ascii="Times New Roman" w:hAnsi="Times New Roman" w:cs="Times New Roman"/>
          <w:noProof/>
          <w:sz w:val="24"/>
          <w:szCs w:val="24"/>
          <w:lang w:val="sq-AL"/>
        </w:rPr>
        <w:t xml:space="preserve"> </w:t>
      </w:r>
      <w:r w:rsidR="0044335A" w:rsidRPr="00641640">
        <w:rPr>
          <w:rFonts w:ascii="Times New Roman" w:hAnsi="Times New Roman" w:cs="Times New Roman"/>
          <w:noProof/>
          <w:sz w:val="24"/>
          <w:szCs w:val="24"/>
          <w:lang w:val="sq-AL"/>
        </w:rPr>
        <w:t>e</w:t>
      </w:r>
      <w:r w:rsidR="00977C9D" w:rsidRPr="00641640">
        <w:rPr>
          <w:rFonts w:ascii="Times New Roman" w:hAnsi="Times New Roman" w:cs="Times New Roman"/>
          <w:noProof/>
          <w:sz w:val="24"/>
          <w:szCs w:val="24"/>
          <w:lang w:val="sq-AL"/>
        </w:rPr>
        <w:t xml:space="preserve"> shërbimeve </w:t>
      </w:r>
      <w:r w:rsidR="00E57940" w:rsidRPr="00641640">
        <w:rPr>
          <w:rFonts w:ascii="Times New Roman" w:hAnsi="Times New Roman" w:cs="Times New Roman"/>
          <w:noProof/>
          <w:sz w:val="24"/>
          <w:szCs w:val="24"/>
          <w:lang w:val="sq-AL"/>
        </w:rPr>
        <w:t>si nj</w:t>
      </w:r>
      <w:r w:rsidR="00064AC5" w:rsidRPr="00641640">
        <w:rPr>
          <w:rFonts w:ascii="Times New Roman" w:hAnsi="Times New Roman" w:cs="Times New Roman"/>
          <w:noProof/>
          <w:sz w:val="24"/>
          <w:szCs w:val="24"/>
          <w:lang w:val="sq-AL"/>
        </w:rPr>
        <w:t>ë</w:t>
      </w:r>
      <w:r w:rsidR="00E57940" w:rsidRPr="00641640">
        <w:rPr>
          <w:rFonts w:ascii="Times New Roman" w:hAnsi="Times New Roman" w:cs="Times New Roman"/>
          <w:noProof/>
          <w:sz w:val="24"/>
          <w:szCs w:val="24"/>
          <w:lang w:val="sq-AL"/>
        </w:rPr>
        <w:t xml:space="preserve"> proces </w:t>
      </w:r>
      <w:r w:rsidR="0044335A" w:rsidRPr="00641640">
        <w:rPr>
          <w:rFonts w:ascii="Times New Roman" w:hAnsi="Times New Roman" w:cs="Times New Roman"/>
          <w:noProof/>
          <w:sz w:val="24"/>
          <w:szCs w:val="24"/>
          <w:lang w:val="sq-AL"/>
        </w:rPr>
        <w:t>q</w:t>
      </w:r>
      <w:r w:rsidR="007F00FB" w:rsidRPr="00641640">
        <w:rPr>
          <w:rFonts w:ascii="Times New Roman" w:hAnsi="Times New Roman" w:cs="Times New Roman"/>
          <w:noProof/>
          <w:sz w:val="24"/>
          <w:szCs w:val="24"/>
          <w:lang w:val="sq-AL"/>
        </w:rPr>
        <w:t>ë</w:t>
      </w:r>
      <w:r w:rsidR="00977C9D" w:rsidRPr="00641640">
        <w:rPr>
          <w:rFonts w:ascii="Times New Roman" w:hAnsi="Times New Roman" w:cs="Times New Roman"/>
          <w:noProof/>
          <w:sz w:val="24"/>
          <w:szCs w:val="24"/>
          <w:lang w:val="sq-AL"/>
        </w:rPr>
        <w:t xml:space="preserve"> ka hyrë tashmë në një fazë të avancuar zbatimi. Aktivitetet e parashikuara në të dy</w:t>
      </w:r>
      <w:r w:rsidR="00E57940" w:rsidRPr="00641640">
        <w:rPr>
          <w:rFonts w:ascii="Times New Roman" w:hAnsi="Times New Roman" w:cs="Times New Roman"/>
          <w:noProof/>
          <w:sz w:val="24"/>
          <w:szCs w:val="24"/>
          <w:lang w:val="sq-AL"/>
        </w:rPr>
        <w:t>ja</w:t>
      </w:r>
      <w:r w:rsidR="00977C9D" w:rsidRPr="00641640">
        <w:rPr>
          <w:rFonts w:ascii="Times New Roman" w:hAnsi="Times New Roman" w:cs="Times New Roman"/>
          <w:noProof/>
          <w:sz w:val="24"/>
          <w:szCs w:val="24"/>
          <w:lang w:val="sq-AL"/>
        </w:rPr>
        <w:t xml:space="preserve"> strategjitë </w:t>
      </w:r>
      <w:r w:rsidR="00E57940" w:rsidRPr="00641640">
        <w:rPr>
          <w:rFonts w:ascii="Times New Roman" w:hAnsi="Times New Roman" w:cs="Times New Roman"/>
          <w:noProof/>
          <w:sz w:val="24"/>
          <w:szCs w:val="24"/>
          <w:lang w:val="sq-AL"/>
        </w:rPr>
        <w:t>jan</w:t>
      </w:r>
      <w:r w:rsidR="00064AC5" w:rsidRPr="00641640">
        <w:rPr>
          <w:rFonts w:ascii="Times New Roman" w:hAnsi="Times New Roman" w:cs="Times New Roman"/>
          <w:noProof/>
          <w:sz w:val="24"/>
          <w:szCs w:val="24"/>
          <w:lang w:val="sq-AL"/>
        </w:rPr>
        <w:t>ë</w:t>
      </w:r>
      <w:r w:rsidR="00E57940" w:rsidRPr="00641640">
        <w:rPr>
          <w:rFonts w:ascii="Times New Roman" w:hAnsi="Times New Roman" w:cs="Times New Roman"/>
          <w:noProof/>
          <w:sz w:val="24"/>
          <w:szCs w:val="24"/>
          <w:lang w:val="sq-AL"/>
        </w:rPr>
        <w:t xml:space="preserve"> komplementare </w:t>
      </w:r>
      <w:r w:rsidR="0044335A" w:rsidRPr="00641640">
        <w:rPr>
          <w:rFonts w:ascii="Times New Roman" w:hAnsi="Times New Roman" w:cs="Times New Roman"/>
          <w:noProof/>
          <w:sz w:val="24"/>
          <w:szCs w:val="24"/>
          <w:lang w:val="sq-AL"/>
        </w:rPr>
        <w:t xml:space="preserve">dhe </w:t>
      </w:r>
      <w:r w:rsidR="00977C9D" w:rsidRPr="00641640">
        <w:rPr>
          <w:rFonts w:ascii="Times New Roman" w:hAnsi="Times New Roman" w:cs="Times New Roman"/>
          <w:noProof/>
          <w:sz w:val="24"/>
          <w:szCs w:val="24"/>
          <w:lang w:val="sq-AL"/>
        </w:rPr>
        <w:t>shmangi</w:t>
      </w:r>
      <w:r w:rsidR="0044335A" w:rsidRPr="00641640">
        <w:rPr>
          <w:rFonts w:ascii="Times New Roman" w:hAnsi="Times New Roman" w:cs="Times New Roman"/>
          <w:noProof/>
          <w:sz w:val="24"/>
          <w:szCs w:val="24"/>
          <w:lang w:val="sq-AL"/>
        </w:rPr>
        <w:t>n</w:t>
      </w:r>
      <w:r w:rsidR="00977C9D" w:rsidRPr="00641640">
        <w:rPr>
          <w:rFonts w:ascii="Times New Roman" w:hAnsi="Times New Roman" w:cs="Times New Roman"/>
          <w:noProof/>
          <w:sz w:val="24"/>
          <w:szCs w:val="24"/>
          <w:lang w:val="sq-AL"/>
        </w:rPr>
        <w:t xml:space="preserve"> mbivendosje</w:t>
      </w:r>
      <w:r w:rsidR="0044335A" w:rsidRPr="00641640">
        <w:rPr>
          <w:rFonts w:ascii="Times New Roman" w:hAnsi="Times New Roman" w:cs="Times New Roman"/>
          <w:noProof/>
          <w:sz w:val="24"/>
          <w:szCs w:val="24"/>
          <w:lang w:val="sq-AL"/>
        </w:rPr>
        <w:t>n</w:t>
      </w:r>
      <w:r w:rsidR="00E57940" w:rsidRPr="00641640">
        <w:rPr>
          <w:rFonts w:ascii="Times New Roman" w:hAnsi="Times New Roman" w:cs="Times New Roman"/>
          <w:noProof/>
          <w:sz w:val="24"/>
          <w:szCs w:val="24"/>
          <w:lang w:val="sq-AL"/>
        </w:rPr>
        <w:t xml:space="preserve"> e p</w:t>
      </w:r>
      <w:r w:rsidR="00064AC5" w:rsidRPr="00641640">
        <w:rPr>
          <w:rFonts w:ascii="Times New Roman" w:hAnsi="Times New Roman" w:cs="Times New Roman"/>
          <w:noProof/>
          <w:sz w:val="24"/>
          <w:szCs w:val="24"/>
          <w:lang w:val="sq-AL"/>
        </w:rPr>
        <w:t>ë</w:t>
      </w:r>
      <w:r w:rsidR="00E57940" w:rsidRPr="00641640">
        <w:rPr>
          <w:rFonts w:ascii="Times New Roman" w:hAnsi="Times New Roman" w:cs="Times New Roman"/>
          <w:noProof/>
          <w:sz w:val="24"/>
          <w:szCs w:val="24"/>
          <w:lang w:val="sq-AL"/>
        </w:rPr>
        <w:t>rpjekjeve institucionale drejt digjitalizimit t</w:t>
      </w:r>
      <w:r w:rsidR="00064AC5" w:rsidRPr="00641640">
        <w:rPr>
          <w:rFonts w:ascii="Times New Roman" w:hAnsi="Times New Roman" w:cs="Times New Roman"/>
          <w:noProof/>
          <w:sz w:val="24"/>
          <w:szCs w:val="24"/>
          <w:lang w:val="sq-AL"/>
        </w:rPr>
        <w:t>ë</w:t>
      </w:r>
      <w:r w:rsidR="00E57940" w:rsidRPr="00641640">
        <w:rPr>
          <w:rFonts w:ascii="Times New Roman" w:hAnsi="Times New Roman" w:cs="Times New Roman"/>
          <w:noProof/>
          <w:sz w:val="24"/>
          <w:szCs w:val="24"/>
          <w:lang w:val="sq-AL"/>
        </w:rPr>
        <w:t xml:space="preserve"> synuar t</w:t>
      </w:r>
      <w:r w:rsidR="00064AC5" w:rsidRPr="00641640">
        <w:rPr>
          <w:rFonts w:ascii="Times New Roman" w:hAnsi="Times New Roman" w:cs="Times New Roman"/>
          <w:noProof/>
          <w:sz w:val="24"/>
          <w:szCs w:val="24"/>
          <w:lang w:val="sq-AL"/>
        </w:rPr>
        <w:t>ë</w:t>
      </w:r>
      <w:r w:rsidR="00E57940" w:rsidRPr="00641640">
        <w:rPr>
          <w:rFonts w:ascii="Times New Roman" w:hAnsi="Times New Roman" w:cs="Times New Roman"/>
          <w:noProof/>
          <w:sz w:val="24"/>
          <w:szCs w:val="24"/>
          <w:lang w:val="sq-AL"/>
        </w:rPr>
        <w:t xml:space="preserve"> sh</w:t>
      </w:r>
      <w:r w:rsidR="00064AC5" w:rsidRPr="00641640">
        <w:rPr>
          <w:rFonts w:ascii="Times New Roman" w:hAnsi="Times New Roman" w:cs="Times New Roman"/>
          <w:noProof/>
          <w:sz w:val="24"/>
          <w:szCs w:val="24"/>
          <w:lang w:val="sq-AL"/>
        </w:rPr>
        <w:t>ë</w:t>
      </w:r>
      <w:r w:rsidR="00E57940" w:rsidRPr="00641640">
        <w:rPr>
          <w:rFonts w:ascii="Times New Roman" w:hAnsi="Times New Roman" w:cs="Times New Roman"/>
          <w:noProof/>
          <w:sz w:val="24"/>
          <w:szCs w:val="24"/>
          <w:lang w:val="sq-AL"/>
        </w:rPr>
        <w:t>rbimeve t</w:t>
      </w:r>
      <w:r w:rsidR="00064AC5" w:rsidRPr="00641640">
        <w:rPr>
          <w:rFonts w:ascii="Times New Roman" w:hAnsi="Times New Roman" w:cs="Times New Roman"/>
          <w:noProof/>
          <w:sz w:val="24"/>
          <w:szCs w:val="24"/>
          <w:lang w:val="sq-AL"/>
        </w:rPr>
        <w:t>ë</w:t>
      </w:r>
      <w:r w:rsidR="00E57940" w:rsidRPr="00641640">
        <w:rPr>
          <w:rFonts w:ascii="Times New Roman" w:hAnsi="Times New Roman" w:cs="Times New Roman"/>
          <w:noProof/>
          <w:sz w:val="24"/>
          <w:szCs w:val="24"/>
          <w:lang w:val="sq-AL"/>
        </w:rPr>
        <w:t xml:space="preserve"> ofruara n</w:t>
      </w:r>
      <w:r w:rsidR="00064AC5" w:rsidRPr="00641640">
        <w:rPr>
          <w:rFonts w:ascii="Times New Roman" w:hAnsi="Times New Roman" w:cs="Times New Roman"/>
          <w:noProof/>
          <w:sz w:val="24"/>
          <w:szCs w:val="24"/>
          <w:lang w:val="sq-AL"/>
        </w:rPr>
        <w:t>ë</w:t>
      </w:r>
      <w:r w:rsidR="00E57940" w:rsidRPr="00641640">
        <w:rPr>
          <w:rFonts w:ascii="Times New Roman" w:hAnsi="Times New Roman" w:cs="Times New Roman"/>
          <w:noProof/>
          <w:sz w:val="24"/>
          <w:szCs w:val="24"/>
          <w:lang w:val="sq-AL"/>
        </w:rPr>
        <w:t xml:space="preserve"> vend</w:t>
      </w:r>
      <w:r w:rsidR="00977C9D" w:rsidRPr="00641640">
        <w:rPr>
          <w:rFonts w:ascii="Times New Roman" w:hAnsi="Times New Roman" w:cs="Times New Roman"/>
          <w:noProof/>
          <w:sz w:val="24"/>
          <w:szCs w:val="24"/>
          <w:lang w:val="sq-AL"/>
        </w:rPr>
        <w:t xml:space="preserve">. </w:t>
      </w:r>
    </w:p>
    <w:p w14:paraId="766A589C" w14:textId="77777777" w:rsidR="007A0EF1" w:rsidRPr="0007033C" w:rsidRDefault="007A0EF1" w:rsidP="003A395D">
      <w:pPr>
        <w:spacing w:after="0" w:line="276" w:lineRule="auto"/>
        <w:jc w:val="both"/>
        <w:rPr>
          <w:rFonts w:ascii="Times New Roman" w:hAnsi="Times New Roman" w:cs="Times New Roman"/>
          <w:noProof/>
          <w:sz w:val="16"/>
          <w:szCs w:val="16"/>
          <w:lang w:val="sq-AL"/>
        </w:rPr>
      </w:pPr>
    </w:p>
    <w:p w14:paraId="2CFA2C1E" w14:textId="711117AA" w:rsidR="00785DAD" w:rsidRPr="00641640" w:rsidRDefault="00FE25B9" w:rsidP="00A66034">
      <w:pPr>
        <w:spacing w:before="240"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Ndërl</w:t>
      </w:r>
      <w:r w:rsidR="00E57940" w:rsidRPr="00641640">
        <w:rPr>
          <w:rFonts w:ascii="Times New Roman" w:hAnsi="Times New Roman" w:cs="Times New Roman"/>
          <w:b/>
          <w:bCs/>
          <w:noProof/>
          <w:sz w:val="24"/>
          <w:szCs w:val="24"/>
          <w:lang w:val="sq-AL"/>
        </w:rPr>
        <w:t>idhja e SNRAP</w:t>
      </w:r>
      <w:r w:rsidR="006026BE">
        <w:rPr>
          <w:rFonts w:ascii="Times New Roman" w:hAnsi="Times New Roman" w:cs="Times New Roman"/>
          <w:b/>
          <w:bCs/>
          <w:noProof/>
          <w:sz w:val="24"/>
          <w:szCs w:val="24"/>
          <w:lang w:val="sq-AL"/>
        </w:rPr>
        <w:t xml:space="preserve"> 2025-2030</w:t>
      </w:r>
      <w:r w:rsidR="00E57940" w:rsidRPr="00641640">
        <w:rPr>
          <w:rFonts w:ascii="Times New Roman" w:hAnsi="Times New Roman" w:cs="Times New Roman"/>
          <w:b/>
          <w:bCs/>
          <w:noProof/>
          <w:sz w:val="24"/>
          <w:szCs w:val="24"/>
          <w:lang w:val="sq-AL"/>
        </w:rPr>
        <w:t xml:space="preserve"> me </w:t>
      </w:r>
      <w:r w:rsidR="00FE600C" w:rsidRPr="00641640">
        <w:rPr>
          <w:rFonts w:ascii="Times New Roman" w:hAnsi="Times New Roman" w:cs="Times New Roman"/>
          <w:b/>
          <w:bCs/>
          <w:noProof/>
          <w:sz w:val="24"/>
          <w:szCs w:val="24"/>
          <w:lang w:val="sq-AL"/>
        </w:rPr>
        <w:t>Strategji</w:t>
      </w:r>
      <w:r w:rsidR="00E57940" w:rsidRPr="00641640">
        <w:rPr>
          <w:rFonts w:ascii="Times New Roman" w:hAnsi="Times New Roman" w:cs="Times New Roman"/>
          <w:b/>
          <w:bCs/>
          <w:noProof/>
          <w:sz w:val="24"/>
          <w:szCs w:val="24"/>
          <w:lang w:val="sq-AL"/>
        </w:rPr>
        <w:t>n</w:t>
      </w:r>
      <w:r w:rsidR="00064AC5" w:rsidRPr="00641640">
        <w:rPr>
          <w:rFonts w:ascii="Times New Roman" w:hAnsi="Times New Roman" w:cs="Times New Roman"/>
          <w:b/>
          <w:bCs/>
          <w:noProof/>
          <w:sz w:val="24"/>
          <w:szCs w:val="24"/>
          <w:lang w:val="sq-AL"/>
        </w:rPr>
        <w:t>ë</w:t>
      </w:r>
      <w:r w:rsidR="00E57940" w:rsidRPr="00641640">
        <w:rPr>
          <w:rFonts w:ascii="Times New Roman" w:hAnsi="Times New Roman" w:cs="Times New Roman"/>
          <w:b/>
          <w:bCs/>
          <w:noProof/>
          <w:sz w:val="24"/>
          <w:szCs w:val="24"/>
          <w:lang w:val="sq-AL"/>
        </w:rPr>
        <w:t xml:space="preserve"> </w:t>
      </w:r>
      <w:r w:rsidR="00FE600C" w:rsidRPr="00641640">
        <w:rPr>
          <w:rFonts w:ascii="Times New Roman" w:hAnsi="Times New Roman" w:cs="Times New Roman"/>
          <w:b/>
          <w:bCs/>
          <w:noProof/>
          <w:sz w:val="24"/>
          <w:szCs w:val="24"/>
          <w:lang w:val="sq-AL"/>
        </w:rPr>
        <w:t>Kombëtare për Barazinë Gjinore 2021</w:t>
      </w:r>
      <w:r w:rsidR="002D647C" w:rsidRPr="00641640">
        <w:rPr>
          <w:rFonts w:ascii="Times New Roman" w:hAnsi="Times New Roman" w:cs="Times New Roman"/>
          <w:b/>
          <w:bCs/>
          <w:noProof/>
          <w:sz w:val="24"/>
          <w:szCs w:val="24"/>
          <w:lang w:val="sq-AL"/>
        </w:rPr>
        <w:t>-</w:t>
      </w:r>
      <w:r w:rsidR="00FE600C" w:rsidRPr="00641640">
        <w:rPr>
          <w:rFonts w:ascii="Times New Roman" w:hAnsi="Times New Roman" w:cs="Times New Roman"/>
          <w:b/>
          <w:bCs/>
          <w:noProof/>
          <w:sz w:val="24"/>
          <w:szCs w:val="24"/>
          <w:lang w:val="sq-AL"/>
        </w:rPr>
        <w:t>2030</w:t>
      </w:r>
    </w:p>
    <w:p w14:paraId="5C6B9594" w14:textId="3B4D40BE" w:rsidR="00E7005E" w:rsidRDefault="00FE600C"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Strategjia Kombëtare për Barazinë Gjinore</w:t>
      </w:r>
      <w:r w:rsidR="00DB78D9"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202</w:t>
      </w:r>
      <w:r w:rsidR="002D647C" w:rsidRPr="00641640">
        <w:rPr>
          <w:rFonts w:ascii="Times New Roman" w:hAnsi="Times New Roman" w:cs="Times New Roman"/>
          <w:noProof/>
          <w:sz w:val="24"/>
          <w:szCs w:val="24"/>
          <w:lang w:val="sq-AL"/>
        </w:rPr>
        <w:t>1</w:t>
      </w:r>
      <w:r w:rsidRPr="00641640">
        <w:rPr>
          <w:rFonts w:ascii="Times New Roman" w:hAnsi="Times New Roman" w:cs="Times New Roman"/>
          <w:noProof/>
          <w:sz w:val="24"/>
          <w:szCs w:val="24"/>
          <w:lang w:val="sq-AL"/>
        </w:rPr>
        <w:t>-20</w:t>
      </w:r>
      <w:r w:rsidR="002D647C" w:rsidRPr="00641640">
        <w:rPr>
          <w:rFonts w:ascii="Times New Roman" w:hAnsi="Times New Roman" w:cs="Times New Roman"/>
          <w:noProof/>
          <w:sz w:val="24"/>
          <w:szCs w:val="24"/>
          <w:lang w:val="sq-AL"/>
        </w:rPr>
        <w:t>30</w:t>
      </w:r>
      <w:r w:rsidRPr="00641640">
        <w:rPr>
          <w:rFonts w:ascii="Times New Roman" w:hAnsi="Times New Roman" w:cs="Times New Roman"/>
          <w:noProof/>
          <w:sz w:val="24"/>
          <w:szCs w:val="24"/>
          <w:lang w:val="sq-AL"/>
        </w:rPr>
        <w:t xml:space="preserve"> përbën një udhërrëfyes për përfshirjen e perspektivës gjinore në zhvillimin, zbatimin dhe monitorimin e politikave publike, ngritjen e mekanizmave për barazinë gjinore në sistemin e administratës publike dhe forcimin e atyre ekzistuese. Integrimi gjinor në politika</w:t>
      </w:r>
      <w:r w:rsidR="00E57940" w:rsidRPr="00641640">
        <w:rPr>
          <w:rFonts w:ascii="Times New Roman" w:hAnsi="Times New Roman" w:cs="Times New Roman"/>
          <w:noProof/>
          <w:sz w:val="24"/>
          <w:szCs w:val="24"/>
          <w:lang w:val="sq-AL"/>
        </w:rPr>
        <w:t>t e nd</w:t>
      </w:r>
      <w:r w:rsidR="00064AC5" w:rsidRPr="00641640">
        <w:rPr>
          <w:rFonts w:ascii="Times New Roman" w:hAnsi="Times New Roman" w:cs="Times New Roman"/>
          <w:noProof/>
          <w:sz w:val="24"/>
          <w:szCs w:val="24"/>
          <w:lang w:val="sq-AL"/>
        </w:rPr>
        <w:t>ë</w:t>
      </w:r>
      <w:r w:rsidR="00E57940" w:rsidRPr="00641640">
        <w:rPr>
          <w:rFonts w:ascii="Times New Roman" w:hAnsi="Times New Roman" w:cs="Times New Roman"/>
          <w:noProof/>
          <w:sz w:val="24"/>
          <w:szCs w:val="24"/>
          <w:lang w:val="sq-AL"/>
        </w:rPr>
        <w:t xml:space="preserve">rmarra </w:t>
      </w:r>
      <w:r w:rsidRPr="00641640">
        <w:rPr>
          <w:rFonts w:ascii="Times New Roman" w:hAnsi="Times New Roman" w:cs="Times New Roman"/>
          <w:noProof/>
          <w:sz w:val="24"/>
          <w:szCs w:val="24"/>
          <w:lang w:val="sq-AL"/>
        </w:rPr>
        <w:t>mbështet qeverinë në vendimmarrjen e bazuar në të dhëna për politikat që synojnë arritjen e barazisë gjinore. Për këtë</w:t>
      </w:r>
      <w:r w:rsidR="00E57940" w:rsidRPr="00641640">
        <w:rPr>
          <w:rFonts w:ascii="Times New Roman" w:hAnsi="Times New Roman" w:cs="Times New Roman"/>
          <w:noProof/>
          <w:sz w:val="24"/>
          <w:szCs w:val="24"/>
          <w:lang w:val="sq-AL"/>
        </w:rPr>
        <w:t xml:space="preserve"> q</w:t>
      </w:r>
      <w:r w:rsidR="00064AC5" w:rsidRPr="00641640">
        <w:rPr>
          <w:rFonts w:ascii="Times New Roman" w:hAnsi="Times New Roman" w:cs="Times New Roman"/>
          <w:noProof/>
          <w:sz w:val="24"/>
          <w:szCs w:val="24"/>
          <w:lang w:val="sq-AL"/>
        </w:rPr>
        <w:t>ë</w:t>
      </w:r>
      <w:r w:rsidR="00E57940" w:rsidRPr="00641640">
        <w:rPr>
          <w:rFonts w:ascii="Times New Roman" w:hAnsi="Times New Roman" w:cs="Times New Roman"/>
          <w:noProof/>
          <w:sz w:val="24"/>
          <w:szCs w:val="24"/>
          <w:lang w:val="sq-AL"/>
        </w:rPr>
        <w:t>llim, nj</w:t>
      </w:r>
      <w:r w:rsidR="00064AC5" w:rsidRPr="00641640">
        <w:rPr>
          <w:rFonts w:ascii="Times New Roman" w:hAnsi="Times New Roman" w:cs="Times New Roman"/>
          <w:noProof/>
          <w:sz w:val="24"/>
          <w:szCs w:val="24"/>
          <w:lang w:val="sq-AL"/>
        </w:rPr>
        <w:t>ë</w:t>
      </w:r>
      <w:r w:rsidR="00E57940" w:rsidRPr="00641640">
        <w:rPr>
          <w:rFonts w:ascii="Times New Roman" w:hAnsi="Times New Roman" w:cs="Times New Roman"/>
          <w:noProof/>
          <w:sz w:val="24"/>
          <w:szCs w:val="24"/>
          <w:lang w:val="sq-AL"/>
        </w:rPr>
        <w:t xml:space="preserve"> num</w:t>
      </w:r>
      <w:r w:rsidR="00064AC5" w:rsidRPr="00641640">
        <w:rPr>
          <w:rFonts w:ascii="Times New Roman" w:hAnsi="Times New Roman" w:cs="Times New Roman"/>
          <w:noProof/>
          <w:sz w:val="24"/>
          <w:szCs w:val="24"/>
          <w:lang w:val="sq-AL"/>
        </w:rPr>
        <w:t>ë</w:t>
      </w:r>
      <w:r w:rsidR="00E57940" w:rsidRPr="00641640">
        <w:rPr>
          <w:rFonts w:ascii="Times New Roman" w:hAnsi="Times New Roman" w:cs="Times New Roman"/>
          <w:noProof/>
          <w:sz w:val="24"/>
          <w:szCs w:val="24"/>
          <w:lang w:val="sq-AL"/>
        </w:rPr>
        <w:t>r</w:t>
      </w:r>
      <w:r w:rsidRPr="00641640">
        <w:rPr>
          <w:rFonts w:ascii="Times New Roman" w:hAnsi="Times New Roman" w:cs="Times New Roman"/>
          <w:noProof/>
          <w:sz w:val="24"/>
          <w:szCs w:val="24"/>
          <w:lang w:val="sq-AL"/>
        </w:rPr>
        <w:t xml:space="preserve"> angazhime</w:t>
      </w:r>
      <w:r w:rsidR="00E57940" w:rsidRPr="00641640">
        <w:rPr>
          <w:rFonts w:ascii="Times New Roman" w:hAnsi="Times New Roman" w:cs="Times New Roman"/>
          <w:noProof/>
          <w:sz w:val="24"/>
          <w:szCs w:val="24"/>
          <w:lang w:val="sq-AL"/>
        </w:rPr>
        <w:t>sh</w:t>
      </w:r>
      <w:r w:rsidRPr="00641640">
        <w:rPr>
          <w:rFonts w:ascii="Times New Roman" w:hAnsi="Times New Roman" w:cs="Times New Roman"/>
          <w:noProof/>
          <w:sz w:val="24"/>
          <w:szCs w:val="24"/>
          <w:lang w:val="sq-AL"/>
        </w:rPr>
        <w:t xml:space="preserve"> të qarta dhe mekanizma</w:t>
      </w:r>
      <w:r w:rsidR="00E57940" w:rsidRPr="00641640">
        <w:rPr>
          <w:rFonts w:ascii="Times New Roman" w:hAnsi="Times New Roman" w:cs="Times New Roman"/>
          <w:noProof/>
          <w:sz w:val="24"/>
          <w:szCs w:val="24"/>
          <w:lang w:val="sq-AL"/>
        </w:rPr>
        <w:t>sh</w:t>
      </w:r>
      <w:r w:rsidRPr="00641640">
        <w:rPr>
          <w:rFonts w:ascii="Times New Roman" w:hAnsi="Times New Roman" w:cs="Times New Roman"/>
          <w:noProof/>
          <w:sz w:val="24"/>
          <w:szCs w:val="24"/>
          <w:lang w:val="sq-AL"/>
        </w:rPr>
        <w:t xml:space="preserve"> efektivë </w:t>
      </w:r>
      <w:r w:rsidR="00E57940" w:rsidRPr="00641640">
        <w:rPr>
          <w:rFonts w:ascii="Times New Roman" w:hAnsi="Times New Roman" w:cs="Times New Roman"/>
          <w:noProof/>
          <w:sz w:val="24"/>
          <w:szCs w:val="24"/>
          <w:lang w:val="sq-AL"/>
        </w:rPr>
        <w:t>parashikohen edhe n</w:t>
      </w:r>
      <w:r w:rsidR="00064AC5" w:rsidRPr="00641640">
        <w:rPr>
          <w:rFonts w:ascii="Times New Roman" w:hAnsi="Times New Roman" w:cs="Times New Roman"/>
          <w:noProof/>
          <w:sz w:val="24"/>
          <w:szCs w:val="24"/>
          <w:lang w:val="sq-AL"/>
        </w:rPr>
        <w:t>ë</w:t>
      </w:r>
      <w:r w:rsidR="00E57940" w:rsidRPr="00641640">
        <w:rPr>
          <w:rFonts w:ascii="Times New Roman" w:hAnsi="Times New Roman" w:cs="Times New Roman"/>
          <w:noProof/>
          <w:sz w:val="24"/>
          <w:szCs w:val="24"/>
          <w:lang w:val="sq-AL"/>
        </w:rPr>
        <w:t xml:space="preserve"> SNRAP </w:t>
      </w:r>
      <w:r w:rsidRPr="00641640">
        <w:rPr>
          <w:rFonts w:ascii="Times New Roman" w:hAnsi="Times New Roman" w:cs="Times New Roman"/>
          <w:noProof/>
          <w:sz w:val="24"/>
          <w:szCs w:val="24"/>
          <w:lang w:val="sq-AL"/>
        </w:rPr>
        <w:t xml:space="preserve">për të përfshirë perspektivën gjinore në analizën, zhvillimin, zbatimin dhe vlerësimin e politikave dhe buxheteve publike. Strategjia </w:t>
      </w:r>
      <w:r w:rsidR="00FE25B9" w:rsidRPr="00641640">
        <w:rPr>
          <w:rFonts w:ascii="Times New Roman" w:hAnsi="Times New Roman" w:cs="Times New Roman"/>
          <w:noProof/>
          <w:sz w:val="24"/>
          <w:szCs w:val="24"/>
          <w:lang w:val="sq-AL"/>
        </w:rPr>
        <w:t xml:space="preserve">Ndërsektoriale </w:t>
      </w:r>
      <w:r w:rsidRPr="00641640">
        <w:rPr>
          <w:rFonts w:ascii="Times New Roman" w:hAnsi="Times New Roman" w:cs="Times New Roman"/>
          <w:noProof/>
          <w:sz w:val="24"/>
          <w:szCs w:val="24"/>
          <w:lang w:val="sq-AL"/>
        </w:rPr>
        <w:t xml:space="preserve">e RAP siguron </w:t>
      </w:r>
      <w:r w:rsidR="00E57940" w:rsidRPr="00641640">
        <w:rPr>
          <w:rFonts w:ascii="Times New Roman" w:hAnsi="Times New Roman" w:cs="Times New Roman"/>
          <w:noProof/>
          <w:sz w:val="24"/>
          <w:szCs w:val="24"/>
          <w:lang w:val="sq-AL"/>
        </w:rPr>
        <w:t>k</w:t>
      </w:r>
      <w:r w:rsidR="00064AC5" w:rsidRPr="00641640">
        <w:rPr>
          <w:rFonts w:ascii="Times New Roman" w:hAnsi="Times New Roman" w:cs="Times New Roman"/>
          <w:noProof/>
          <w:sz w:val="24"/>
          <w:szCs w:val="24"/>
          <w:lang w:val="sq-AL"/>
        </w:rPr>
        <w:t>ë</w:t>
      </w:r>
      <w:r w:rsidR="00E57940" w:rsidRPr="00641640">
        <w:rPr>
          <w:rFonts w:ascii="Times New Roman" w:hAnsi="Times New Roman" w:cs="Times New Roman"/>
          <w:noProof/>
          <w:sz w:val="24"/>
          <w:szCs w:val="24"/>
          <w:lang w:val="sq-AL"/>
        </w:rPr>
        <w:t xml:space="preserve">shtu </w:t>
      </w:r>
      <w:r w:rsidRPr="00641640">
        <w:rPr>
          <w:rFonts w:ascii="Times New Roman" w:hAnsi="Times New Roman" w:cs="Times New Roman"/>
          <w:noProof/>
          <w:sz w:val="24"/>
          <w:szCs w:val="24"/>
          <w:lang w:val="sq-AL"/>
        </w:rPr>
        <w:t>përputhshmëri të plotë me zotimet dhe kërkesat kombëtare që rrje</w:t>
      </w:r>
      <w:r w:rsidR="0044335A" w:rsidRPr="00641640">
        <w:rPr>
          <w:rFonts w:ascii="Times New Roman" w:hAnsi="Times New Roman" w:cs="Times New Roman"/>
          <w:noProof/>
          <w:sz w:val="24"/>
          <w:szCs w:val="24"/>
          <w:lang w:val="sq-AL"/>
        </w:rPr>
        <w:t>d</w:t>
      </w:r>
      <w:r w:rsidRPr="00641640">
        <w:rPr>
          <w:rFonts w:ascii="Times New Roman" w:hAnsi="Times New Roman" w:cs="Times New Roman"/>
          <w:noProof/>
          <w:sz w:val="24"/>
          <w:szCs w:val="24"/>
          <w:lang w:val="sq-AL"/>
        </w:rPr>
        <w:t>hin nga Strategjia Kombëtare për Barazinë Gjinore</w:t>
      </w:r>
      <w:r w:rsidR="00FE25B9" w:rsidRPr="00641640">
        <w:rPr>
          <w:rFonts w:ascii="Times New Roman" w:hAnsi="Times New Roman" w:cs="Times New Roman"/>
          <w:noProof/>
          <w:sz w:val="24"/>
          <w:szCs w:val="24"/>
          <w:lang w:val="sq-AL"/>
        </w:rPr>
        <w:t xml:space="preserve"> 2021-2030</w:t>
      </w:r>
      <w:r w:rsidRPr="00641640">
        <w:rPr>
          <w:rFonts w:ascii="Times New Roman" w:hAnsi="Times New Roman" w:cs="Times New Roman"/>
          <w:noProof/>
          <w:sz w:val="24"/>
          <w:szCs w:val="24"/>
          <w:lang w:val="sq-AL"/>
        </w:rPr>
        <w:t>.</w:t>
      </w:r>
    </w:p>
    <w:p w14:paraId="1E22C121" w14:textId="77777777" w:rsidR="0007033C" w:rsidRPr="00BD352A" w:rsidRDefault="0007033C" w:rsidP="0007033C">
      <w:pPr>
        <w:spacing w:after="0" w:line="276" w:lineRule="auto"/>
        <w:jc w:val="both"/>
        <w:rPr>
          <w:rFonts w:ascii="Times New Roman" w:hAnsi="Times New Roman" w:cs="Times New Roman"/>
          <w:noProof/>
          <w:sz w:val="16"/>
          <w:szCs w:val="16"/>
          <w:lang w:val="sq-AL"/>
        </w:rPr>
      </w:pPr>
    </w:p>
    <w:p w14:paraId="75175091" w14:textId="3091487D" w:rsidR="003461CD" w:rsidRPr="00BD352A" w:rsidRDefault="003461CD" w:rsidP="003A395D">
      <w:pPr>
        <w:spacing w:line="276" w:lineRule="auto"/>
        <w:jc w:val="both"/>
        <w:rPr>
          <w:rFonts w:ascii="Times New Roman" w:hAnsi="Times New Roman" w:cs="Times New Roman"/>
          <w:b/>
          <w:bCs/>
          <w:noProof/>
          <w:sz w:val="24"/>
          <w:szCs w:val="24"/>
          <w:lang w:val="sq-AL"/>
        </w:rPr>
      </w:pPr>
      <w:r w:rsidRPr="00BD352A">
        <w:rPr>
          <w:rFonts w:ascii="Times New Roman" w:hAnsi="Times New Roman" w:cs="Times New Roman"/>
          <w:b/>
          <w:bCs/>
          <w:noProof/>
          <w:sz w:val="24"/>
          <w:szCs w:val="24"/>
          <w:lang w:val="sq-AL"/>
        </w:rPr>
        <w:t xml:space="preserve">Ndërlidhja e SNRAP 2025-2030 me Strategjinë Kombëtare </w:t>
      </w:r>
      <w:r w:rsidR="00377FF7" w:rsidRPr="00BD352A">
        <w:rPr>
          <w:rFonts w:ascii="Times New Roman" w:hAnsi="Times New Roman" w:cs="Times New Roman"/>
          <w:b/>
          <w:bCs/>
          <w:noProof/>
          <w:sz w:val="24"/>
          <w:szCs w:val="24"/>
          <w:lang w:val="sq-AL"/>
        </w:rPr>
        <w:t>të</w:t>
      </w:r>
      <w:r w:rsidRPr="00BD352A">
        <w:rPr>
          <w:rFonts w:ascii="Times New Roman" w:hAnsi="Times New Roman" w:cs="Times New Roman"/>
          <w:b/>
          <w:bCs/>
          <w:noProof/>
          <w:sz w:val="24"/>
          <w:szCs w:val="24"/>
          <w:lang w:val="sq-AL"/>
        </w:rPr>
        <w:t xml:space="preserve"> Punësim</w:t>
      </w:r>
      <w:r w:rsidR="00377FF7" w:rsidRPr="00BD352A">
        <w:rPr>
          <w:rFonts w:ascii="Times New Roman" w:hAnsi="Times New Roman" w:cs="Times New Roman"/>
          <w:b/>
          <w:bCs/>
          <w:noProof/>
          <w:sz w:val="24"/>
          <w:szCs w:val="24"/>
          <w:lang w:val="sq-AL"/>
        </w:rPr>
        <w:t>it</w:t>
      </w:r>
      <w:r w:rsidRPr="00BD352A">
        <w:rPr>
          <w:rFonts w:ascii="Times New Roman" w:hAnsi="Times New Roman" w:cs="Times New Roman"/>
          <w:b/>
          <w:bCs/>
          <w:noProof/>
          <w:sz w:val="24"/>
          <w:szCs w:val="24"/>
          <w:lang w:val="sq-AL"/>
        </w:rPr>
        <w:t xml:space="preserve"> dhe Aftësi</w:t>
      </w:r>
      <w:r w:rsidR="007F474E" w:rsidRPr="00BD352A">
        <w:rPr>
          <w:rFonts w:ascii="Times New Roman" w:hAnsi="Times New Roman" w:cs="Times New Roman"/>
          <w:b/>
          <w:bCs/>
          <w:noProof/>
          <w:sz w:val="24"/>
          <w:szCs w:val="24"/>
          <w:lang w:val="sq-AL"/>
        </w:rPr>
        <w:t>ve</w:t>
      </w:r>
      <w:r w:rsidR="00F16115" w:rsidRPr="00BD352A">
        <w:rPr>
          <w:rFonts w:ascii="Times New Roman" w:hAnsi="Times New Roman" w:cs="Times New Roman"/>
          <w:b/>
          <w:bCs/>
          <w:noProof/>
          <w:sz w:val="24"/>
          <w:szCs w:val="24"/>
          <w:lang w:val="sq-AL"/>
        </w:rPr>
        <w:t xml:space="preserve"> </w:t>
      </w:r>
      <w:r w:rsidR="002E11FF" w:rsidRPr="00BD352A">
        <w:rPr>
          <w:rFonts w:ascii="Times New Roman" w:hAnsi="Times New Roman" w:cs="Times New Roman"/>
          <w:b/>
          <w:bCs/>
          <w:noProof/>
          <w:sz w:val="24"/>
          <w:szCs w:val="24"/>
          <w:lang w:val="sq-AL"/>
        </w:rPr>
        <w:t>2023-2030</w:t>
      </w:r>
    </w:p>
    <w:p w14:paraId="1DAD8050" w14:textId="6CB38F61" w:rsidR="00765C56" w:rsidRPr="00BD352A" w:rsidRDefault="00802DD2" w:rsidP="00765C56">
      <w:pPr>
        <w:spacing w:line="276" w:lineRule="auto"/>
        <w:jc w:val="both"/>
        <w:rPr>
          <w:rFonts w:ascii="Times New Roman" w:hAnsi="Times New Roman" w:cs="Times New Roman"/>
          <w:noProof/>
          <w:sz w:val="24"/>
          <w:szCs w:val="24"/>
        </w:rPr>
      </w:pPr>
      <w:r w:rsidRPr="00BD352A">
        <w:rPr>
          <w:rFonts w:ascii="Times New Roman" w:hAnsi="Times New Roman" w:cs="Times New Roman"/>
          <w:noProof/>
          <w:sz w:val="24"/>
          <w:szCs w:val="24"/>
        </w:rPr>
        <w:t>Strategjia Kombëtare e Punësimit dhe Aftësive 2023–2030 ka si objektiv kryesor zhvillimin e tregut të punës, përmirësimin e aftësive të fuqisë punëtore dhe adresimin e sfidave që lidhen me punësimin, duke përfshirë fokusin te të rinjtë përmes Garancisë Rinore</w:t>
      </w:r>
      <w:r w:rsidR="00180476" w:rsidRPr="00BD352A">
        <w:rPr>
          <w:rFonts w:ascii="Times New Roman" w:hAnsi="Times New Roman" w:cs="Times New Roman"/>
          <w:noProof/>
          <w:sz w:val="24"/>
          <w:szCs w:val="24"/>
        </w:rPr>
        <w:t>.</w:t>
      </w:r>
      <w:r w:rsidR="00765C56" w:rsidRPr="00BD352A">
        <w:rPr>
          <w:rFonts w:ascii="Times New Roman" w:hAnsi="Times New Roman" w:cs="Times New Roman"/>
          <w:noProof/>
          <w:sz w:val="24"/>
          <w:szCs w:val="24"/>
        </w:rPr>
        <w:t xml:space="preserve"> Plani i saj i Veprimit dhe zbatimi i Garancisë Rinore synojnë forcimin e pjesëmarrjes në tregun e punës dhe zhvillimin e kapaciteteve të të rinjve për punësim.</w:t>
      </w:r>
      <w:r w:rsidR="006D556F" w:rsidRPr="00BD352A">
        <w:rPr>
          <w:rFonts w:ascii="Times New Roman" w:hAnsi="Times New Roman" w:cs="Times New Roman"/>
          <w:noProof/>
          <w:sz w:val="24"/>
          <w:szCs w:val="24"/>
        </w:rPr>
        <w:t xml:space="preserve"> N</w:t>
      </w:r>
      <w:r w:rsidR="001360E9" w:rsidRPr="00BD352A">
        <w:rPr>
          <w:rFonts w:ascii="Times New Roman" w:hAnsi="Times New Roman" w:cs="Times New Roman"/>
          <w:noProof/>
          <w:sz w:val="24"/>
          <w:szCs w:val="24"/>
        </w:rPr>
        <w:t>ë</w:t>
      </w:r>
      <w:r w:rsidR="006D556F" w:rsidRPr="00BD352A">
        <w:rPr>
          <w:rFonts w:ascii="Times New Roman" w:hAnsi="Times New Roman" w:cs="Times New Roman"/>
          <w:noProof/>
          <w:sz w:val="24"/>
          <w:szCs w:val="24"/>
        </w:rPr>
        <w:t xml:space="preserve"> k</w:t>
      </w:r>
      <w:r w:rsidR="001360E9" w:rsidRPr="00BD352A">
        <w:rPr>
          <w:rFonts w:ascii="Times New Roman" w:hAnsi="Times New Roman" w:cs="Times New Roman"/>
          <w:noProof/>
          <w:sz w:val="24"/>
          <w:szCs w:val="24"/>
        </w:rPr>
        <w:t>ë</w:t>
      </w:r>
      <w:r w:rsidR="006D556F" w:rsidRPr="00BD352A">
        <w:rPr>
          <w:rFonts w:ascii="Times New Roman" w:hAnsi="Times New Roman" w:cs="Times New Roman"/>
          <w:noProof/>
          <w:sz w:val="24"/>
          <w:szCs w:val="24"/>
        </w:rPr>
        <w:t>t</w:t>
      </w:r>
      <w:r w:rsidR="001360E9" w:rsidRPr="00BD352A">
        <w:rPr>
          <w:rFonts w:ascii="Times New Roman" w:hAnsi="Times New Roman" w:cs="Times New Roman"/>
          <w:noProof/>
          <w:sz w:val="24"/>
          <w:szCs w:val="24"/>
        </w:rPr>
        <w:t>ë</w:t>
      </w:r>
      <w:r w:rsidR="006D556F" w:rsidRPr="00BD352A">
        <w:rPr>
          <w:rFonts w:ascii="Times New Roman" w:hAnsi="Times New Roman" w:cs="Times New Roman"/>
          <w:noProof/>
          <w:sz w:val="24"/>
          <w:szCs w:val="24"/>
        </w:rPr>
        <w:t xml:space="preserve"> kuad</w:t>
      </w:r>
      <w:r w:rsidR="001360E9" w:rsidRPr="00BD352A">
        <w:rPr>
          <w:rFonts w:ascii="Times New Roman" w:hAnsi="Times New Roman" w:cs="Times New Roman"/>
          <w:noProof/>
          <w:sz w:val="24"/>
          <w:szCs w:val="24"/>
        </w:rPr>
        <w:t>ë</w:t>
      </w:r>
      <w:r w:rsidR="006D556F" w:rsidRPr="00BD352A">
        <w:rPr>
          <w:rFonts w:ascii="Times New Roman" w:hAnsi="Times New Roman" w:cs="Times New Roman"/>
          <w:noProof/>
          <w:sz w:val="24"/>
          <w:szCs w:val="24"/>
        </w:rPr>
        <w:t xml:space="preserve">r, kjo strategji </w:t>
      </w:r>
      <w:r w:rsidR="001360E9" w:rsidRPr="00BD352A">
        <w:rPr>
          <w:rFonts w:ascii="Times New Roman" w:hAnsi="Times New Roman" w:cs="Times New Roman"/>
          <w:noProof/>
          <w:sz w:val="24"/>
          <w:szCs w:val="24"/>
        </w:rPr>
        <w:t>ë</w:t>
      </w:r>
      <w:r w:rsidR="006D556F" w:rsidRPr="00BD352A">
        <w:rPr>
          <w:rFonts w:ascii="Times New Roman" w:hAnsi="Times New Roman" w:cs="Times New Roman"/>
          <w:noProof/>
          <w:sz w:val="24"/>
          <w:szCs w:val="24"/>
        </w:rPr>
        <w:t>sht</w:t>
      </w:r>
      <w:r w:rsidR="001360E9" w:rsidRPr="00BD352A">
        <w:rPr>
          <w:rFonts w:ascii="Times New Roman" w:hAnsi="Times New Roman" w:cs="Times New Roman"/>
          <w:noProof/>
          <w:sz w:val="24"/>
          <w:szCs w:val="24"/>
        </w:rPr>
        <w:t>ë</w:t>
      </w:r>
      <w:r w:rsidR="006D556F" w:rsidRPr="00BD352A">
        <w:rPr>
          <w:rFonts w:ascii="Times New Roman" w:hAnsi="Times New Roman" w:cs="Times New Roman"/>
          <w:noProof/>
          <w:sz w:val="24"/>
          <w:szCs w:val="24"/>
        </w:rPr>
        <w:t xml:space="preserve"> n</w:t>
      </w:r>
      <w:r w:rsidR="001360E9" w:rsidRPr="00BD352A">
        <w:rPr>
          <w:rFonts w:ascii="Times New Roman" w:hAnsi="Times New Roman" w:cs="Times New Roman"/>
          <w:noProof/>
          <w:sz w:val="24"/>
          <w:szCs w:val="24"/>
        </w:rPr>
        <w:t>ë</w:t>
      </w:r>
      <w:r w:rsidR="006D556F" w:rsidRPr="00BD352A">
        <w:rPr>
          <w:rFonts w:ascii="Times New Roman" w:hAnsi="Times New Roman" w:cs="Times New Roman"/>
          <w:noProof/>
          <w:sz w:val="24"/>
          <w:szCs w:val="24"/>
        </w:rPr>
        <w:t xml:space="preserve"> t</w:t>
      </w:r>
      <w:r w:rsidR="001360E9" w:rsidRPr="00BD352A">
        <w:rPr>
          <w:rFonts w:ascii="Times New Roman" w:hAnsi="Times New Roman" w:cs="Times New Roman"/>
          <w:noProof/>
          <w:sz w:val="24"/>
          <w:szCs w:val="24"/>
        </w:rPr>
        <w:t>ë</w:t>
      </w:r>
      <w:r w:rsidR="006D556F" w:rsidRPr="00BD352A">
        <w:rPr>
          <w:rFonts w:ascii="Times New Roman" w:hAnsi="Times New Roman" w:cs="Times New Roman"/>
          <w:noProof/>
          <w:sz w:val="24"/>
          <w:szCs w:val="24"/>
        </w:rPr>
        <w:t xml:space="preserve"> nj</w:t>
      </w:r>
      <w:r w:rsidR="001360E9" w:rsidRPr="00BD352A">
        <w:rPr>
          <w:rFonts w:ascii="Times New Roman" w:hAnsi="Times New Roman" w:cs="Times New Roman"/>
          <w:noProof/>
          <w:sz w:val="24"/>
          <w:szCs w:val="24"/>
        </w:rPr>
        <w:t>ë</w:t>
      </w:r>
      <w:r w:rsidR="006D556F" w:rsidRPr="00BD352A">
        <w:rPr>
          <w:rFonts w:ascii="Times New Roman" w:hAnsi="Times New Roman" w:cs="Times New Roman"/>
          <w:noProof/>
          <w:sz w:val="24"/>
          <w:szCs w:val="24"/>
        </w:rPr>
        <w:t>jt</w:t>
      </w:r>
      <w:r w:rsidR="001360E9" w:rsidRPr="00BD352A">
        <w:rPr>
          <w:rFonts w:ascii="Times New Roman" w:hAnsi="Times New Roman" w:cs="Times New Roman"/>
          <w:noProof/>
          <w:sz w:val="24"/>
          <w:szCs w:val="24"/>
        </w:rPr>
        <w:t>ë</w:t>
      </w:r>
      <w:r w:rsidR="006D556F" w:rsidRPr="00BD352A">
        <w:rPr>
          <w:rFonts w:ascii="Times New Roman" w:hAnsi="Times New Roman" w:cs="Times New Roman"/>
          <w:noProof/>
          <w:sz w:val="24"/>
          <w:szCs w:val="24"/>
        </w:rPr>
        <w:t>n linj</w:t>
      </w:r>
      <w:r w:rsidR="001360E9" w:rsidRPr="00BD352A">
        <w:rPr>
          <w:rFonts w:ascii="Times New Roman" w:hAnsi="Times New Roman" w:cs="Times New Roman"/>
          <w:noProof/>
          <w:sz w:val="24"/>
          <w:szCs w:val="24"/>
        </w:rPr>
        <w:t>ë</w:t>
      </w:r>
      <w:r w:rsidR="006D556F" w:rsidRPr="00BD352A">
        <w:rPr>
          <w:rFonts w:ascii="Times New Roman" w:hAnsi="Times New Roman" w:cs="Times New Roman"/>
          <w:noProof/>
          <w:sz w:val="24"/>
          <w:szCs w:val="24"/>
        </w:rPr>
        <w:t xml:space="preserve"> me </w:t>
      </w:r>
      <w:r w:rsidR="006D556F" w:rsidRPr="00BD352A">
        <w:rPr>
          <w:rFonts w:ascii="Times New Roman" w:hAnsi="Times New Roman" w:cs="Times New Roman"/>
          <w:noProof/>
          <w:sz w:val="24"/>
          <w:szCs w:val="24"/>
        </w:rPr>
        <w:lastRenderedPageBreak/>
        <w:t>q</w:t>
      </w:r>
      <w:r w:rsidR="001360E9" w:rsidRPr="00BD352A">
        <w:rPr>
          <w:rFonts w:ascii="Times New Roman" w:hAnsi="Times New Roman" w:cs="Times New Roman"/>
          <w:noProof/>
          <w:sz w:val="24"/>
          <w:szCs w:val="24"/>
        </w:rPr>
        <w:t>ë</w:t>
      </w:r>
      <w:r w:rsidR="006D556F" w:rsidRPr="00BD352A">
        <w:rPr>
          <w:rFonts w:ascii="Times New Roman" w:hAnsi="Times New Roman" w:cs="Times New Roman"/>
          <w:noProof/>
          <w:sz w:val="24"/>
          <w:szCs w:val="24"/>
        </w:rPr>
        <w:t xml:space="preserve">llimin SNRAP 2025-2030, e cila </w:t>
      </w:r>
      <w:r w:rsidR="00765C56" w:rsidRPr="00BD352A">
        <w:rPr>
          <w:rFonts w:ascii="Times New Roman" w:hAnsi="Times New Roman" w:cs="Times New Roman"/>
          <w:noProof/>
          <w:sz w:val="24"/>
          <w:szCs w:val="24"/>
        </w:rPr>
        <w:t>synon modernizimin, profesionalizimin dhe efikasitetin e administratës publike, rritjen e kapaciteteve të punonjësve publikë për të përmbushur standardet dhe kërkesat e reja të administrimit dhe shërbimeve publike, përmirësimin e procesit të menaxhimit të burimeve njerëzore në sektorin publik.</w:t>
      </w:r>
    </w:p>
    <w:p w14:paraId="2998060A" w14:textId="5C731AF2" w:rsidR="00E7005E" w:rsidRPr="00BD352A" w:rsidRDefault="00E7005E" w:rsidP="00E7005E">
      <w:pPr>
        <w:spacing w:line="276" w:lineRule="auto"/>
        <w:jc w:val="both"/>
        <w:rPr>
          <w:rFonts w:ascii="Times New Roman" w:hAnsi="Times New Roman" w:cs="Times New Roman"/>
          <w:noProof/>
          <w:sz w:val="24"/>
          <w:szCs w:val="24"/>
        </w:rPr>
      </w:pPr>
      <w:r w:rsidRPr="00BD352A">
        <w:rPr>
          <w:rFonts w:ascii="Times New Roman" w:hAnsi="Times New Roman" w:cs="Times New Roman"/>
          <w:noProof/>
          <w:sz w:val="24"/>
          <w:szCs w:val="24"/>
        </w:rPr>
        <w:t>Strategjia e Punësimit dhe Aftësive</w:t>
      </w:r>
      <w:r w:rsidR="006D556F" w:rsidRPr="00BD352A">
        <w:rPr>
          <w:rFonts w:ascii="Times New Roman" w:hAnsi="Times New Roman" w:cs="Times New Roman"/>
          <w:noProof/>
          <w:sz w:val="24"/>
          <w:szCs w:val="24"/>
        </w:rPr>
        <w:t xml:space="preserve"> </w:t>
      </w:r>
      <w:r w:rsidRPr="00BD352A">
        <w:rPr>
          <w:rFonts w:ascii="Times New Roman" w:hAnsi="Times New Roman" w:cs="Times New Roman"/>
          <w:noProof/>
          <w:sz w:val="24"/>
          <w:szCs w:val="24"/>
        </w:rPr>
        <w:t>fokusohet në zhvillimin e aftësive të fuqisë punëtore në tërësi, përfshirë dhe administratën publike, që është një nga segmentet kyçe të tregut të punës. K</w:t>
      </w:r>
      <w:r w:rsidR="00A866BB" w:rsidRPr="00BD352A">
        <w:rPr>
          <w:rFonts w:ascii="Times New Roman" w:hAnsi="Times New Roman" w:cs="Times New Roman"/>
          <w:noProof/>
          <w:sz w:val="24"/>
          <w:szCs w:val="24"/>
        </w:rPr>
        <w:t>y q</w:t>
      </w:r>
      <w:r w:rsidR="002E11FF" w:rsidRPr="00BD352A">
        <w:rPr>
          <w:rFonts w:ascii="Times New Roman" w:hAnsi="Times New Roman" w:cs="Times New Roman"/>
          <w:noProof/>
          <w:sz w:val="24"/>
          <w:szCs w:val="24"/>
        </w:rPr>
        <w:t>ë</w:t>
      </w:r>
      <w:r w:rsidR="00A866BB" w:rsidRPr="00BD352A">
        <w:rPr>
          <w:rFonts w:ascii="Times New Roman" w:hAnsi="Times New Roman" w:cs="Times New Roman"/>
          <w:noProof/>
          <w:sz w:val="24"/>
          <w:szCs w:val="24"/>
        </w:rPr>
        <w:t xml:space="preserve">llim </w:t>
      </w:r>
      <w:r w:rsidR="002E11FF" w:rsidRPr="00BD352A">
        <w:rPr>
          <w:rFonts w:ascii="Times New Roman" w:hAnsi="Times New Roman" w:cs="Times New Roman"/>
          <w:noProof/>
          <w:sz w:val="24"/>
          <w:szCs w:val="24"/>
        </w:rPr>
        <w:t>ë</w:t>
      </w:r>
      <w:r w:rsidR="00A866BB" w:rsidRPr="00BD352A">
        <w:rPr>
          <w:rFonts w:ascii="Times New Roman" w:hAnsi="Times New Roman" w:cs="Times New Roman"/>
          <w:noProof/>
          <w:sz w:val="24"/>
          <w:szCs w:val="24"/>
        </w:rPr>
        <w:t>sht</w:t>
      </w:r>
      <w:r w:rsidR="002E11FF" w:rsidRPr="00BD352A">
        <w:rPr>
          <w:rFonts w:ascii="Times New Roman" w:hAnsi="Times New Roman" w:cs="Times New Roman"/>
          <w:noProof/>
          <w:sz w:val="24"/>
          <w:szCs w:val="24"/>
        </w:rPr>
        <w:t>ë</w:t>
      </w:r>
      <w:r w:rsidR="00A866BB" w:rsidRPr="00BD352A">
        <w:rPr>
          <w:rFonts w:ascii="Times New Roman" w:hAnsi="Times New Roman" w:cs="Times New Roman"/>
          <w:noProof/>
          <w:sz w:val="24"/>
          <w:szCs w:val="24"/>
        </w:rPr>
        <w:t xml:space="preserve"> n</w:t>
      </w:r>
      <w:r w:rsidR="002E11FF" w:rsidRPr="00BD352A">
        <w:rPr>
          <w:rFonts w:ascii="Times New Roman" w:hAnsi="Times New Roman" w:cs="Times New Roman"/>
          <w:noProof/>
          <w:sz w:val="24"/>
          <w:szCs w:val="24"/>
        </w:rPr>
        <w:t>ë</w:t>
      </w:r>
      <w:r w:rsidR="00A866BB" w:rsidRPr="00BD352A">
        <w:rPr>
          <w:rFonts w:ascii="Times New Roman" w:hAnsi="Times New Roman" w:cs="Times New Roman"/>
          <w:noProof/>
          <w:sz w:val="24"/>
          <w:szCs w:val="24"/>
        </w:rPr>
        <w:t xml:space="preserve"> t</w:t>
      </w:r>
      <w:r w:rsidR="002E11FF" w:rsidRPr="00BD352A">
        <w:rPr>
          <w:rFonts w:ascii="Times New Roman" w:hAnsi="Times New Roman" w:cs="Times New Roman"/>
          <w:noProof/>
          <w:sz w:val="24"/>
          <w:szCs w:val="24"/>
        </w:rPr>
        <w:t>ë</w:t>
      </w:r>
      <w:r w:rsidR="00A866BB" w:rsidRPr="00BD352A">
        <w:rPr>
          <w:rFonts w:ascii="Times New Roman" w:hAnsi="Times New Roman" w:cs="Times New Roman"/>
          <w:noProof/>
          <w:sz w:val="24"/>
          <w:szCs w:val="24"/>
        </w:rPr>
        <w:t xml:space="preserve"> nj</w:t>
      </w:r>
      <w:r w:rsidR="002E11FF" w:rsidRPr="00BD352A">
        <w:rPr>
          <w:rFonts w:ascii="Times New Roman" w:hAnsi="Times New Roman" w:cs="Times New Roman"/>
          <w:noProof/>
          <w:sz w:val="24"/>
          <w:szCs w:val="24"/>
        </w:rPr>
        <w:t>ë</w:t>
      </w:r>
      <w:r w:rsidR="00A866BB" w:rsidRPr="00BD352A">
        <w:rPr>
          <w:rFonts w:ascii="Times New Roman" w:hAnsi="Times New Roman" w:cs="Times New Roman"/>
          <w:noProof/>
          <w:sz w:val="24"/>
          <w:szCs w:val="24"/>
        </w:rPr>
        <w:t>jt</w:t>
      </w:r>
      <w:r w:rsidR="002E11FF" w:rsidRPr="00BD352A">
        <w:rPr>
          <w:rFonts w:ascii="Times New Roman" w:hAnsi="Times New Roman" w:cs="Times New Roman"/>
          <w:noProof/>
          <w:sz w:val="24"/>
          <w:szCs w:val="24"/>
        </w:rPr>
        <w:t>ë</w:t>
      </w:r>
      <w:r w:rsidR="00A866BB" w:rsidRPr="00BD352A">
        <w:rPr>
          <w:rFonts w:ascii="Times New Roman" w:hAnsi="Times New Roman" w:cs="Times New Roman"/>
          <w:noProof/>
          <w:sz w:val="24"/>
          <w:szCs w:val="24"/>
        </w:rPr>
        <w:t>n linj</w:t>
      </w:r>
      <w:r w:rsidR="002E11FF" w:rsidRPr="00BD352A">
        <w:rPr>
          <w:rFonts w:ascii="Times New Roman" w:hAnsi="Times New Roman" w:cs="Times New Roman"/>
          <w:noProof/>
          <w:sz w:val="24"/>
          <w:szCs w:val="24"/>
        </w:rPr>
        <w:t>ë</w:t>
      </w:r>
      <w:r w:rsidRPr="00BD352A">
        <w:rPr>
          <w:rFonts w:ascii="Times New Roman" w:hAnsi="Times New Roman" w:cs="Times New Roman"/>
          <w:noProof/>
          <w:sz w:val="24"/>
          <w:szCs w:val="24"/>
        </w:rPr>
        <w:t xml:space="preserve"> me reformën në administratë</w:t>
      </w:r>
      <w:r w:rsidR="00A866BB" w:rsidRPr="00BD352A">
        <w:rPr>
          <w:rFonts w:ascii="Times New Roman" w:hAnsi="Times New Roman" w:cs="Times New Roman"/>
          <w:noProof/>
          <w:sz w:val="24"/>
          <w:szCs w:val="24"/>
        </w:rPr>
        <w:t>,</w:t>
      </w:r>
      <w:r w:rsidRPr="00BD352A">
        <w:rPr>
          <w:rFonts w:ascii="Times New Roman" w:hAnsi="Times New Roman" w:cs="Times New Roman"/>
          <w:noProof/>
          <w:sz w:val="24"/>
          <w:szCs w:val="24"/>
        </w:rPr>
        <w:t xml:space="preserve"> që </w:t>
      </w:r>
      <w:r w:rsidR="00A866BB" w:rsidRPr="00BD352A">
        <w:rPr>
          <w:rFonts w:ascii="Times New Roman" w:hAnsi="Times New Roman" w:cs="Times New Roman"/>
          <w:noProof/>
          <w:sz w:val="24"/>
          <w:szCs w:val="24"/>
        </w:rPr>
        <w:t>synon</w:t>
      </w:r>
      <w:r w:rsidRPr="00BD352A">
        <w:rPr>
          <w:rFonts w:ascii="Times New Roman" w:hAnsi="Times New Roman" w:cs="Times New Roman"/>
          <w:noProof/>
          <w:sz w:val="24"/>
          <w:szCs w:val="24"/>
        </w:rPr>
        <w:t xml:space="preserve"> rritje të profesionalizmit dhe kapaciteteve të punonjësve.</w:t>
      </w:r>
      <w:r w:rsidR="006D556F" w:rsidRPr="00BD352A">
        <w:rPr>
          <w:rFonts w:ascii="Times New Roman" w:hAnsi="Times New Roman" w:cs="Times New Roman"/>
          <w:noProof/>
          <w:sz w:val="24"/>
          <w:szCs w:val="24"/>
        </w:rPr>
        <w:t xml:space="preserve"> </w:t>
      </w:r>
      <w:r w:rsidRPr="00BD352A">
        <w:rPr>
          <w:rFonts w:ascii="Times New Roman" w:hAnsi="Times New Roman" w:cs="Times New Roman"/>
          <w:noProof/>
          <w:sz w:val="24"/>
          <w:szCs w:val="24"/>
        </w:rPr>
        <w:t>Plani i zbatimit të Garancisë Rinore kontribuo</w:t>
      </w:r>
      <w:r w:rsidR="006D556F" w:rsidRPr="00BD352A">
        <w:rPr>
          <w:rFonts w:ascii="Times New Roman" w:hAnsi="Times New Roman" w:cs="Times New Roman"/>
          <w:noProof/>
          <w:sz w:val="24"/>
          <w:szCs w:val="24"/>
        </w:rPr>
        <w:t>n</w:t>
      </w:r>
      <w:r w:rsidRPr="00BD352A">
        <w:rPr>
          <w:rFonts w:ascii="Times New Roman" w:hAnsi="Times New Roman" w:cs="Times New Roman"/>
          <w:noProof/>
          <w:sz w:val="24"/>
          <w:szCs w:val="24"/>
        </w:rPr>
        <w:t xml:space="preserve"> në ofrimin e mundësive për punësim dhe trajnim për të rinjtë në sektorin publik, duke mbështetur në këtë mënyrë edhe synimet e reformës në administratën publike për rinovim dhe modernizim të stafit.</w:t>
      </w:r>
    </w:p>
    <w:p w14:paraId="6CBF9482" w14:textId="550F22F3" w:rsidR="00A66034" w:rsidRPr="00BD352A" w:rsidRDefault="006D556F" w:rsidP="00E7005E">
      <w:pPr>
        <w:spacing w:line="276" w:lineRule="auto"/>
        <w:jc w:val="both"/>
        <w:rPr>
          <w:rFonts w:ascii="Times New Roman" w:hAnsi="Times New Roman" w:cs="Times New Roman"/>
          <w:noProof/>
          <w:sz w:val="24"/>
          <w:szCs w:val="24"/>
        </w:rPr>
      </w:pPr>
      <w:r w:rsidRPr="00BD352A">
        <w:rPr>
          <w:rFonts w:ascii="Times New Roman" w:hAnsi="Times New Roman" w:cs="Times New Roman"/>
          <w:noProof/>
          <w:sz w:val="24"/>
          <w:szCs w:val="24"/>
        </w:rPr>
        <w:t>T</w:t>
      </w:r>
      <w:r w:rsidR="00E7005E" w:rsidRPr="00BD352A">
        <w:rPr>
          <w:rFonts w:ascii="Times New Roman" w:hAnsi="Times New Roman" w:cs="Times New Roman"/>
          <w:noProof/>
          <w:sz w:val="24"/>
          <w:szCs w:val="24"/>
        </w:rPr>
        <w:t>ë dyja strategjitë janë pjesë e planifikimit të përgjithshëm kombëtar për zhvillim ekonomik dhe social, dhe rrjedhimisht bashkërendimi i tyre është i nevojshëm për të siguruar një administratë publike efikase që shërben nevojat e tregut të punës dhe shoqërisë.</w:t>
      </w:r>
      <w:r w:rsidR="001360E9" w:rsidRPr="00BD352A">
        <w:rPr>
          <w:rFonts w:ascii="Times New Roman" w:hAnsi="Times New Roman" w:cs="Times New Roman"/>
          <w:noProof/>
          <w:sz w:val="24"/>
          <w:szCs w:val="24"/>
        </w:rPr>
        <w:t xml:space="preserve"> </w:t>
      </w:r>
      <w:r w:rsidR="009662EC" w:rsidRPr="00BD352A">
        <w:rPr>
          <w:rFonts w:ascii="Times New Roman" w:hAnsi="Times New Roman" w:cs="Times New Roman"/>
          <w:noProof/>
          <w:sz w:val="24"/>
          <w:szCs w:val="24"/>
        </w:rPr>
        <w:t>Nj</w:t>
      </w:r>
      <w:r w:rsidR="001360E9" w:rsidRPr="00BD352A">
        <w:rPr>
          <w:rFonts w:ascii="Times New Roman" w:hAnsi="Times New Roman" w:cs="Times New Roman"/>
          <w:noProof/>
          <w:sz w:val="24"/>
          <w:szCs w:val="24"/>
        </w:rPr>
        <w:t>ë</w:t>
      </w:r>
      <w:r w:rsidR="009662EC" w:rsidRPr="00BD352A">
        <w:rPr>
          <w:rFonts w:ascii="Times New Roman" w:hAnsi="Times New Roman" w:cs="Times New Roman"/>
          <w:noProof/>
          <w:sz w:val="24"/>
          <w:szCs w:val="24"/>
        </w:rPr>
        <w:t>koh</w:t>
      </w:r>
      <w:r w:rsidR="001360E9" w:rsidRPr="00BD352A">
        <w:rPr>
          <w:rFonts w:ascii="Times New Roman" w:hAnsi="Times New Roman" w:cs="Times New Roman"/>
          <w:noProof/>
          <w:sz w:val="24"/>
          <w:szCs w:val="24"/>
        </w:rPr>
        <w:t>ë</w:t>
      </w:r>
      <w:r w:rsidR="009662EC" w:rsidRPr="00BD352A">
        <w:rPr>
          <w:rFonts w:ascii="Times New Roman" w:hAnsi="Times New Roman" w:cs="Times New Roman"/>
          <w:noProof/>
          <w:sz w:val="24"/>
          <w:szCs w:val="24"/>
        </w:rPr>
        <w:t xml:space="preserve">sisht, </w:t>
      </w:r>
      <w:r w:rsidR="00D03AE3" w:rsidRPr="00BD352A">
        <w:rPr>
          <w:rFonts w:ascii="Times New Roman" w:hAnsi="Times New Roman" w:cs="Times New Roman"/>
          <w:noProof/>
          <w:sz w:val="24"/>
          <w:szCs w:val="24"/>
        </w:rPr>
        <w:t>t</w:t>
      </w:r>
      <w:r w:rsidR="001360E9" w:rsidRPr="00BD352A">
        <w:rPr>
          <w:rFonts w:ascii="Times New Roman" w:hAnsi="Times New Roman" w:cs="Times New Roman"/>
          <w:noProof/>
          <w:sz w:val="24"/>
          <w:szCs w:val="24"/>
        </w:rPr>
        <w:t>ë</w:t>
      </w:r>
      <w:r w:rsidR="00D03AE3" w:rsidRPr="00BD352A">
        <w:rPr>
          <w:rFonts w:ascii="Times New Roman" w:hAnsi="Times New Roman" w:cs="Times New Roman"/>
          <w:noProof/>
          <w:sz w:val="24"/>
          <w:szCs w:val="24"/>
        </w:rPr>
        <w:t xml:space="preserve"> dy strategjit</w:t>
      </w:r>
      <w:r w:rsidR="001360E9" w:rsidRPr="00BD352A">
        <w:rPr>
          <w:rFonts w:ascii="Times New Roman" w:hAnsi="Times New Roman" w:cs="Times New Roman"/>
          <w:noProof/>
          <w:sz w:val="24"/>
          <w:szCs w:val="24"/>
        </w:rPr>
        <w:t>ë</w:t>
      </w:r>
      <w:r w:rsidR="00D03AE3" w:rsidRPr="00BD352A">
        <w:rPr>
          <w:rFonts w:ascii="Times New Roman" w:hAnsi="Times New Roman" w:cs="Times New Roman"/>
          <w:noProof/>
          <w:sz w:val="24"/>
          <w:szCs w:val="24"/>
        </w:rPr>
        <w:t xml:space="preserve"> kan</w:t>
      </w:r>
      <w:r w:rsidR="001360E9" w:rsidRPr="00BD352A">
        <w:rPr>
          <w:rFonts w:ascii="Times New Roman" w:hAnsi="Times New Roman" w:cs="Times New Roman"/>
          <w:noProof/>
          <w:sz w:val="24"/>
          <w:szCs w:val="24"/>
        </w:rPr>
        <w:t>ë</w:t>
      </w:r>
      <w:r w:rsidR="009662EC" w:rsidRPr="00BD352A">
        <w:rPr>
          <w:rFonts w:ascii="Times New Roman" w:hAnsi="Times New Roman" w:cs="Times New Roman"/>
          <w:noProof/>
          <w:sz w:val="24"/>
          <w:szCs w:val="24"/>
        </w:rPr>
        <w:t xml:space="preserve"> fokus </w:t>
      </w:r>
      <w:r w:rsidR="00D03AE3" w:rsidRPr="00BD352A">
        <w:rPr>
          <w:rFonts w:ascii="Times New Roman" w:hAnsi="Times New Roman" w:cs="Times New Roman"/>
          <w:noProof/>
          <w:sz w:val="24"/>
          <w:szCs w:val="24"/>
        </w:rPr>
        <w:t>t</w:t>
      </w:r>
      <w:r w:rsidR="001360E9" w:rsidRPr="00BD352A">
        <w:rPr>
          <w:rFonts w:ascii="Times New Roman" w:hAnsi="Times New Roman" w:cs="Times New Roman"/>
          <w:noProof/>
          <w:sz w:val="24"/>
          <w:szCs w:val="24"/>
        </w:rPr>
        <w:t>ë</w:t>
      </w:r>
      <w:r w:rsidR="00D03AE3" w:rsidRPr="00BD352A">
        <w:rPr>
          <w:rFonts w:ascii="Times New Roman" w:hAnsi="Times New Roman" w:cs="Times New Roman"/>
          <w:noProof/>
          <w:sz w:val="24"/>
          <w:szCs w:val="24"/>
        </w:rPr>
        <w:t xml:space="preserve"> </w:t>
      </w:r>
      <w:r w:rsidR="00E7005E" w:rsidRPr="00BD352A">
        <w:rPr>
          <w:rFonts w:ascii="Times New Roman" w:hAnsi="Times New Roman" w:cs="Times New Roman"/>
          <w:noProof/>
          <w:sz w:val="24"/>
          <w:szCs w:val="24"/>
        </w:rPr>
        <w:t>përbashkët në forcimin e burimeve njerëzore, zhvillimin e aftësive</w:t>
      </w:r>
      <w:r w:rsidR="001360E9" w:rsidRPr="00BD352A">
        <w:rPr>
          <w:rFonts w:ascii="Times New Roman" w:hAnsi="Times New Roman" w:cs="Times New Roman"/>
          <w:noProof/>
          <w:sz w:val="24"/>
          <w:szCs w:val="24"/>
        </w:rPr>
        <w:t>, si</w:t>
      </w:r>
      <w:r w:rsidR="00E7005E" w:rsidRPr="00BD352A">
        <w:rPr>
          <w:rFonts w:ascii="Times New Roman" w:hAnsi="Times New Roman" w:cs="Times New Roman"/>
          <w:noProof/>
          <w:sz w:val="24"/>
          <w:szCs w:val="24"/>
        </w:rPr>
        <w:t xml:space="preserve"> dhe integrimin e të rinjve në tregun e punës dhe në sektorin publik. Strategjia e punësimit dhe ajo e reformës në administratë janë komplementare dhe synojnë të përmirësojnë cilësinë dhe efikasitetin e administratës publike nëpërmjet trajnimeve, rekrutimeve, dhe rritjes së kapaciteteve profesionale.</w:t>
      </w:r>
    </w:p>
    <w:p w14:paraId="06319844" w14:textId="77777777" w:rsidR="00A66034" w:rsidRPr="00BD352A" w:rsidRDefault="00A66034" w:rsidP="003A395D">
      <w:pPr>
        <w:spacing w:after="0" w:line="276" w:lineRule="auto"/>
        <w:jc w:val="both"/>
        <w:rPr>
          <w:rFonts w:ascii="Times New Roman" w:hAnsi="Times New Roman" w:cs="Times New Roman"/>
          <w:noProof/>
          <w:sz w:val="20"/>
          <w:szCs w:val="20"/>
          <w:highlight w:val="yellow"/>
          <w:lang w:val="sq-AL"/>
        </w:rPr>
      </w:pPr>
    </w:p>
    <w:p w14:paraId="330741BF" w14:textId="592522B0" w:rsidR="00CA197E" w:rsidRPr="00BD352A" w:rsidRDefault="00FE25B9" w:rsidP="003A395D">
      <w:pPr>
        <w:spacing w:line="276" w:lineRule="auto"/>
        <w:jc w:val="both"/>
        <w:rPr>
          <w:rFonts w:ascii="Times New Roman" w:hAnsi="Times New Roman" w:cs="Times New Roman"/>
          <w:b/>
          <w:bCs/>
          <w:noProof/>
          <w:sz w:val="24"/>
          <w:szCs w:val="24"/>
          <w:lang w:val="sq-AL"/>
        </w:rPr>
      </w:pPr>
      <w:r w:rsidRPr="00BD352A">
        <w:rPr>
          <w:rFonts w:ascii="Times New Roman" w:hAnsi="Times New Roman" w:cs="Times New Roman"/>
          <w:b/>
          <w:bCs/>
          <w:noProof/>
          <w:sz w:val="24"/>
          <w:szCs w:val="24"/>
          <w:lang w:val="sq-AL"/>
        </w:rPr>
        <w:t>Ndërl</w:t>
      </w:r>
      <w:r w:rsidR="00E57940" w:rsidRPr="00BD352A">
        <w:rPr>
          <w:rFonts w:ascii="Times New Roman" w:hAnsi="Times New Roman" w:cs="Times New Roman"/>
          <w:b/>
          <w:bCs/>
          <w:noProof/>
          <w:sz w:val="24"/>
          <w:szCs w:val="24"/>
          <w:lang w:val="sq-AL"/>
        </w:rPr>
        <w:t xml:space="preserve">idhja e SNRAP </w:t>
      </w:r>
      <w:r w:rsidR="00C85D7C" w:rsidRPr="00BD352A">
        <w:rPr>
          <w:rFonts w:ascii="Times New Roman" w:hAnsi="Times New Roman" w:cs="Times New Roman"/>
          <w:b/>
          <w:bCs/>
          <w:noProof/>
          <w:sz w:val="24"/>
          <w:szCs w:val="24"/>
          <w:lang w:val="sq-AL"/>
        </w:rPr>
        <w:t xml:space="preserve">2025-2030 </w:t>
      </w:r>
      <w:r w:rsidR="00E57940" w:rsidRPr="00BD352A">
        <w:rPr>
          <w:rFonts w:ascii="Times New Roman" w:hAnsi="Times New Roman" w:cs="Times New Roman"/>
          <w:b/>
          <w:bCs/>
          <w:noProof/>
          <w:sz w:val="24"/>
          <w:szCs w:val="24"/>
          <w:lang w:val="sq-AL"/>
        </w:rPr>
        <w:t xml:space="preserve">me </w:t>
      </w:r>
      <w:r w:rsidR="00CA197E" w:rsidRPr="00BD352A">
        <w:rPr>
          <w:rFonts w:ascii="Times New Roman" w:hAnsi="Times New Roman" w:cs="Times New Roman"/>
          <w:b/>
          <w:bCs/>
          <w:noProof/>
          <w:sz w:val="24"/>
          <w:szCs w:val="24"/>
          <w:lang w:val="sq-AL"/>
        </w:rPr>
        <w:t>Plani</w:t>
      </w:r>
      <w:r w:rsidR="00E57940" w:rsidRPr="00BD352A">
        <w:rPr>
          <w:rFonts w:ascii="Times New Roman" w:hAnsi="Times New Roman" w:cs="Times New Roman"/>
          <w:b/>
          <w:bCs/>
          <w:noProof/>
          <w:sz w:val="24"/>
          <w:szCs w:val="24"/>
          <w:lang w:val="sq-AL"/>
        </w:rPr>
        <w:t>n</w:t>
      </w:r>
      <w:r w:rsidR="00CA197E" w:rsidRPr="00BD352A">
        <w:rPr>
          <w:rFonts w:ascii="Times New Roman" w:hAnsi="Times New Roman" w:cs="Times New Roman"/>
          <w:b/>
          <w:bCs/>
          <w:noProof/>
          <w:sz w:val="24"/>
          <w:szCs w:val="24"/>
          <w:lang w:val="sq-AL"/>
        </w:rPr>
        <w:t xml:space="preserve"> Kombëtar </w:t>
      </w:r>
      <w:r w:rsidR="00E57940" w:rsidRPr="00BD352A">
        <w:rPr>
          <w:rFonts w:ascii="Times New Roman" w:hAnsi="Times New Roman" w:cs="Times New Roman"/>
          <w:b/>
          <w:bCs/>
          <w:noProof/>
          <w:sz w:val="24"/>
          <w:szCs w:val="24"/>
          <w:lang w:val="sq-AL"/>
        </w:rPr>
        <w:t>t</w:t>
      </w:r>
      <w:r w:rsidR="00064AC5" w:rsidRPr="00BD352A">
        <w:rPr>
          <w:rFonts w:ascii="Times New Roman" w:hAnsi="Times New Roman" w:cs="Times New Roman"/>
          <w:b/>
          <w:bCs/>
          <w:noProof/>
          <w:sz w:val="24"/>
          <w:szCs w:val="24"/>
          <w:lang w:val="sq-AL"/>
        </w:rPr>
        <w:t>ë</w:t>
      </w:r>
      <w:r w:rsidR="00CA197E" w:rsidRPr="00BD352A">
        <w:rPr>
          <w:rFonts w:ascii="Times New Roman" w:hAnsi="Times New Roman" w:cs="Times New Roman"/>
          <w:b/>
          <w:bCs/>
          <w:noProof/>
          <w:sz w:val="24"/>
          <w:szCs w:val="24"/>
          <w:lang w:val="sq-AL"/>
        </w:rPr>
        <w:t xml:space="preserve"> Veprimit</w:t>
      </w:r>
      <w:r w:rsidR="0044335A" w:rsidRPr="00BD352A">
        <w:rPr>
          <w:rFonts w:ascii="Times New Roman" w:hAnsi="Times New Roman" w:cs="Times New Roman"/>
          <w:b/>
          <w:bCs/>
          <w:noProof/>
          <w:sz w:val="24"/>
          <w:szCs w:val="24"/>
          <w:lang w:val="sq-AL"/>
        </w:rPr>
        <w:t xml:space="preserve"> </w:t>
      </w:r>
      <w:r w:rsidR="00E57940" w:rsidRPr="00BD352A">
        <w:rPr>
          <w:rFonts w:ascii="Times New Roman" w:hAnsi="Times New Roman" w:cs="Times New Roman"/>
          <w:b/>
          <w:bCs/>
          <w:noProof/>
          <w:sz w:val="24"/>
          <w:szCs w:val="24"/>
          <w:lang w:val="sq-AL"/>
        </w:rPr>
        <w:t>“</w:t>
      </w:r>
      <w:r w:rsidR="00CA197E" w:rsidRPr="00BD352A">
        <w:rPr>
          <w:rFonts w:ascii="Times New Roman" w:hAnsi="Times New Roman" w:cs="Times New Roman"/>
          <w:b/>
          <w:bCs/>
          <w:noProof/>
          <w:sz w:val="24"/>
          <w:szCs w:val="24"/>
          <w:lang w:val="sq-AL"/>
        </w:rPr>
        <w:t xml:space="preserve">Partneriteti </w:t>
      </w:r>
      <w:r w:rsidR="00CA1EAB" w:rsidRPr="00BD352A">
        <w:rPr>
          <w:rFonts w:ascii="Times New Roman" w:hAnsi="Times New Roman" w:cs="Times New Roman"/>
          <w:b/>
          <w:bCs/>
          <w:noProof/>
          <w:sz w:val="24"/>
          <w:szCs w:val="24"/>
          <w:lang w:val="sq-AL"/>
        </w:rPr>
        <w:t>për</w:t>
      </w:r>
      <w:r w:rsidR="00CA197E" w:rsidRPr="00BD352A">
        <w:rPr>
          <w:rFonts w:ascii="Times New Roman" w:hAnsi="Times New Roman" w:cs="Times New Roman"/>
          <w:b/>
          <w:bCs/>
          <w:noProof/>
          <w:sz w:val="24"/>
          <w:szCs w:val="24"/>
          <w:lang w:val="sq-AL"/>
        </w:rPr>
        <w:t xml:space="preserve"> Qeveris</w:t>
      </w:r>
      <w:r w:rsidR="00CA1EAB" w:rsidRPr="00BD352A">
        <w:rPr>
          <w:rFonts w:ascii="Times New Roman" w:hAnsi="Times New Roman" w:cs="Times New Roman"/>
          <w:b/>
          <w:bCs/>
          <w:noProof/>
          <w:sz w:val="24"/>
          <w:szCs w:val="24"/>
          <w:lang w:val="sq-AL"/>
        </w:rPr>
        <w:t>jen</w:t>
      </w:r>
      <w:r w:rsidR="00CA197E" w:rsidRPr="00BD352A">
        <w:rPr>
          <w:rFonts w:ascii="Times New Roman" w:hAnsi="Times New Roman" w:cs="Times New Roman"/>
          <w:b/>
          <w:bCs/>
          <w:noProof/>
          <w:sz w:val="24"/>
          <w:szCs w:val="24"/>
          <w:lang w:val="sq-AL"/>
        </w:rPr>
        <w:t xml:space="preserve"> </w:t>
      </w:r>
      <w:r w:rsidR="00CA1EAB" w:rsidRPr="00BD352A">
        <w:rPr>
          <w:rFonts w:ascii="Times New Roman" w:hAnsi="Times New Roman" w:cs="Times New Roman"/>
          <w:b/>
          <w:bCs/>
          <w:noProof/>
          <w:sz w:val="24"/>
          <w:szCs w:val="24"/>
          <w:lang w:val="sq-AL"/>
        </w:rPr>
        <w:t>e</w:t>
      </w:r>
      <w:r w:rsidR="00CA197E" w:rsidRPr="00BD352A">
        <w:rPr>
          <w:rFonts w:ascii="Times New Roman" w:hAnsi="Times New Roman" w:cs="Times New Roman"/>
          <w:b/>
          <w:bCs/>
          <w:noProof/>
          <w:sz w:val="24"/>
          <w:szCs w:val="24"/>
          <w:lang w:val="sq-AL"/>
        </w:rPr>
        <w:t xml:space="preserve"> Hapur 202</w:t>
      </w:r>
      <w:r w:rsidR="00CA1EAB" w:rsidRPr="00BD352A">
        <w:rPr>
          <w:rFonts w:ascii="Times New Roman" w:hAnsi="Times New Roman" w:cs="Times New Roman"/>
          <w:b/>
          <w:bCs/>
          <w:noProof/>
          <w:sz w:val="24"/>
          <w:szCs w:val="24"/>
          <w:lang w:val="sq-AL"/>
        </w:rPr>
        <w:t>3</w:t>
      </w:r>
      <w:r w:rsidR="0044335A" w:rsidRPr="00BD352A">
        <w:rPr>
          <w:rFonts w:ascii="Times New Roman" w:hAnsi="Times New Roman" w:cs="Times New Roman"/>
          <w:b/>
          <w:bCs/>
          <w:noProof/>
          <w:sz w:val="24"/>
          <w:szCs w:val="24"/>
          <w:lang w:val="sq-AL"/>
        </w:rPr>
        <w:t xml:space="preserve"> </w:t>
      </w:r>
      <w:r w:rsidRPr="00BD352A">
        <w:rPr>
          <w:rFonts w:ascii="Times New Roman" w:hAnsi="Times New Roman" w:cs="Times New Roman"/>
          <w:b/>
          <w:bCs/>
          <w:noProof/>
          <w:sz w:val="24"/>
          <w:szCs w:val="24"/>
          <w:lang w:val="sq-AL"/>
        </w:rPr>
        <w:t>-</w:t>
      </w:r>
      <w:r w:rsidR="00CA197E" w:rsidRPr="00BD352A">
        <w:rPr>
          <w:rFonts w:ascii="Times New Roman" w:hAnsi="Times New Roman" w:cs="Times New Roman"/>
          <w:b/>
          <w:bCs/>
          <w:noProof/>
          <w:sz w:val="24"/>
          <w:szCs w:val="24"/>
          <w:lang w:val="sq-AL"/>
        </w:rPr>
        <w:t>202</w:t>
      </w:r>
      <w:r w:rsidR="00CA1EAB" w:rsidRPr="00BD352A">
        <w:rPr>
          <w:rFonts w:ascii="Times New Roman" w:hAnsi="Times New Roman" w:cs="Times New Roman"/>
          <w:b/>
          <w:bCs/>
          <w:noProof/>
          <w:sz w:val="24"/>
          <w:szCs w:val="24"/>
          <w:lang w:val="sq-AL"/>
        </w:rPr>
        <w:t>5</w:t>
      </w:r>
      <w:r w:rsidR="00E57940" w:rsidRPr="00BD352A">
        <w:rPr>
          <w:rFonts w:ascii="Times New Roman" w:hAnsi="Times New Roman" w:cs="Times New Roman"/>
          <w:b/>
          <w:bCs/>
          <w:noProof/>
          <w:sz w:val="24"/>
          <w:szCs w:val="24"/>
          <w:lang w:val="sq-AL"/>
        </w:rPr>
        <w:t>”</w:t>
      </w:r>
    </w:p>
    <w:p w14:paraId="0779A017" w14:textId="3E422B30" w:rsidR="00CA197E" w:rsidRPr="00641640" w:rsidRDefault="00CA197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Plani Kombëtar i Veprimit </w:t>
      </w:r>
      <w:r w:rsidR="00E57940"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Partneritet</w:t>
      </w:r>
      <w:r w:rsidR="00CA1EAB" w:rsidRPr="00641640">
        <w:rPr>
          <w:rFonts w:ascii="Times New Roman" w:hAnsi="Times New Roman" w:cs="Times New Roman"/>
          <w:noProof/>
          <w:sz w:val="24"/>
          <w:szCs w:val="24"/>
          <w:lang w:val="sq-AL"/>
        </w:rPr>
        <w:t>i</w:t>
      </w:r>
      <w:r w:rsidRPr="00641640">
        <w:rPr>
          <w:rFonts w:ascii="Times New Roman" w:hAnsi="Times New Roman" w:cs="Times New Roman"/>
          <w:noProof/>
          <w:sz w:val="24"/>
          <w:szCs w:val="24"/>
          <w:lang w:val="sq-AL"/>
        </w:rPr>
        <w:t xml:space="preserve"> </w:t>
      </w:r>
      <w:r w:rsidR="00CA1EAB" w:rsidRPr="00641640">
        <w:rPr>
          <w:rFonts w:ascii="Times New Roman" w:hAnsi="Times New Roman" w:cs="Times New Roman"/>
          <w:noProof/>
          <w:sz w:val="24"/>
          <w:szCs w:val="24"/>
          <w:lang w:val="sq-AL"/>
        </w:rPr>
        <w:t>për</w:t>
      </w:r>
      <w:r w:rsidRPr="00641640">
        <w:rPr>
          <w:rFonts w:ascii="Times New Roman" w:hAnsi="Times New Roman" w:cs="Times New Roman"/>
          <w:noProof/>
          <w:sz w:val="24"/>
          <w:szCs w:val="24"/>
          <w:lang w:val="sq-AL"/>
        </w:rPr>
        <w:t xml:space="preserve"> Qeverisje</w:t>
      </w:r>
      <w:r w:rsidR="00CA1EAB" w:rsidRPr="00641640">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 xml:space="preserve"> </w:t>
      </w:r>
      <w:r w:rsidR="00CA1EAB"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 Hapur 202</w:t>
      </w:r>
      <w:r w:rsidR="00CA1EAB" w:rsidRPr="00641640">
        <w:rPr>
          <w:rFonts w:ascii="Times New Roman" w:hAnsi="Times New Roman" w:cs="Times New Roman"/>
          <w:noProof/>
          <w:sz w:val="24"/>
          <w:szCs w:val="24"/>
          <w:lang w:val="sq-AL"/>
        </w:rPr>
        <w:t>3</w:t>
      </w:r>
      <w:r w:rsidRPr="00641640">
        <w:rPr>
          <w:rFonts w:ascii="Times New Roman" w:hAnsi="Times New Roman" w:cs="Times New Roman"/>
          <w:noProof/>
          <w:sz w:val="24"/>
          <w:szCs w:val="24"/>
          <w:lang w:val="sq-AL"/>
        </w:rPr>
        <w:t>-202</w:t>
      </w:r>
      <w:r w:rsidR="00CA1EAB" w:rsidRPr="00641640">
        <w:rPr>
          <w:rFonts w:ascii="Times New Roman" w:hAnsi="Times New Roman" w:cs="Times New Roman"/>
          <w:noProof/>
          <w:sz w:val="24"/>
          <w:szCs w:val="24"/>
          <w:lang w:val="sq-AL"/>
        </w:rPr>
        <w:t>5</w:t>
      </w:r>
      <w:r w:rsidR="000F579C"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është </w:t>
      </w:r>
      <w:r w:rsidR="00686771" w:rsidRPr="00641640">
        <w:rPr>
          <w:rFonts w:ascii="Times New Roman" w:hAnsi="Times New Roman" w:cs="Times New Roman"/>
          <w:noProof/>
          <w:sz w:val="24"/>
          <w:szCs w:val="24"/>
          <w:lang w:val="sq-AL"/>
        </w:rPr>
        <w:t>P</w:t>
      </w:r>
      <w:r w:rsidRPr="00641640">
        <w:rPr>
          <w:rFonts w:ascii="Times New Roman" w:hAnsi="Times New Roman" w:cs="Times New Roman"/>
          <w:noProof/>
          <w:sz w:val="24"/>
          <w:szCs w:val="24"/>
          <w:lang w:val="sq-AL"/>
        </w:rPr>
        <w:t xml:space="preserve">lani i </w:t>
      </w:r>
      <w:r w:rsidR="00CA1EAB" w:rsidRPr="00641640">
        <w:rPr>
          <w:rFonts w:ascii="Times New Roman" w:hAnsi="Times New Roman" w:cs="Times New Roman"/>
          <w:noProof/>
          <w:sz w:val="24"/>
          <w:szCs w:val="24"/>
          <w:lang w:val="sq-AL"/>
        </w:rPr>
        <w:t>6-të</w:t>
      </w:r>
      <w:r w:rsidRPr="00641640">
        <w:rPr>
          <w:rFonts w:ascii="Times New Roman" w:hAnsi="Times New Roman" w:cs="Times New Roman"/>
          <w:noProof/>
          <w:sz w:val="24"/>
          <w:szCs w:val="24"/>
          <w:lang w:val="sq-AL"/>
        </w:rPr>
        <w:t xml:space="preserve"> </w:t>
      </w:r>
      <w:r w:rsidR="00686771" w:rsidRPr="00641640">
        <w:rPr>
          <w:rFonts w:ascii="Times New Roman" w:hAnsi="Times New Roman" w:cs="Times New Roman"/>
          <w:noProof/>
          <w:sz w:val="24"/>
          <w:szCs w:val="24"/>
          <w:lang w:val="sq-AL"/>
        </w:rPr>
        <w:t>K</w:t>
      </w:r>
      <w:r w:rsidR="00CA1EAB" w:rsidRPr="00641640">
        <w:rPr>
          <w:rFonts w:ascii="Times New Roman" w:hAnsi="Times New Roman" w:cs="Times New Roman"/>
          <w:noProof/>
          <w:sz w:val="24"/>
          <w:szCs w:val="24"/>
          <w:lang w:val="sq-AL"/>
        </w:rPr>
        <w:t xml:space="preserve">ombëtar </w:t>
      </w:r>
      <w:r w:rsidRPr="00641640">
        <w:rPr>
          <w:rFonts w:ascii="Times New Roman" w:hAnsi="Times New Roman" w:cs="Times New Roman"/>
          <w:noProof/>
          <w:sz w:val="24"/>
          <w:szCs w:val="24"/>
          <w:lang w:val="sq-AL"/>
        </w:rPr>
        <w:t xml:space="preserve">i </w:t>
      </w:r>
      <w:r w:rsidR="00686771" w:rsidRPr="00641640">
        <w:rPr>
          <w:rFonts w:ascii="Times New Roman" w:hAnsi="Times New Roman" w:cs="Times New Roman"/>
          <w:noProof/>
          <w:sz w:val="24"/>
          <w:szCs w:val="24"/>
          <w:lang w:val="sq-AL"/>
        </w:rPr>
        <w:t>V</w:t>
      </w:r>
      <w:r w:rsidRPr="00641640">
        <w:rPr>
          <w:rFonts w:ascii="Times New Roman" w:hAnsi="Times New Roman" w:cs="Times New Roman"/>
          <w:noProof/>
          <w:sz w:val="24"/>
          <w:szCs w:val="24"/>
          <w:lang w:val="sq-AL"/>
        </w:rPr>
        <w:t xml:space="preserve">eprimit </w:t>
      </w:r>
      <w:r w:rsidR="00CA1EAB" w:rsidRPr="00641640">
        <w:rPr>
          <w:rFonts w:ascii="Times New Roman" w:hAnsi="Times New Roman" w:cs="Times New Roman"/>
          <w:noProof/>
          <w:sz w:val="24"/>
          <w:szCs w:val="24"/>
          <w:lang w:val="sq-AL"/>
        </w:rPr>
        <w:t xml:space="preserve">që prej </w:t>
      </w:r>
      <w:r w:rsidR="00686771" w:rsidRPr="00641640">
        <w:rPr>
          <w:rFonts w:ascii="Times New Roman" w:hAnsi="Times New Roman" w:cs="Times New Roman"/>
          <w:noProof/>
          <w:sz w:val="24"/>
          <w:szCs w:val="24"/>
          <w:lang w:val="sq-AL"/>
        </w:rPr>
        <w:t>an</w:t>
      </w:r>
      <w:r w:rsidR="00064AC5" w:rsidRPr="00641640">
        <w:rPr>
          <w:rFonts w:ascii="Times New Roman" w:hAnsi="Times New Roman" w:cs="Times New Roman"/>
          <w:noProof/>
          <w:sz w:val="24"/>
          <w:szCs w:val="24"/>
          <w:lang w:val="sq-AL"/>
        </w:rPr>
        <w:t>ë</w:t>
      </w:r>
      <w:r w:rsidR="00686771" w:rsidRPr="00641640">
        <w:rPr>
          <w:rFonts w:ascii="Times New Roman" w:hAnsi="Times New Roman" w:cs="Times New Roman"/>
          <w:noProof/>
          <w:sz w:val="24"/>
          <w:szCs w:val="24"/>
          <w:lang w:val="sq-AL"/>
        </w:rPr>
        <w:t>tar</w:t>
      </w:r>
      <w:r w:rsidR="00064AC5" w:rsidRPr="00641640">
        <w:rPr>
          <w:rFonts w:ascii="Times New Roman" w:hAnsi="Times New Roman" w:cs="Times New Roman"/>
          <w:noProof/>
          <w:sz w:val="24"/>
          <w:szCs w:val="24"/>
          <w:lang w:val="sq-AL"/>
        </w:rPr>
        <w:t>ë</w:t>
      </w:r>
      <w:r w:rsidR="00686771" w:rsidRPr="00641640">
        <w:rPr>
          <w:rFonts w:ascii="Times New Roman" w:hAnsi="Times New Roman" w:cs="Times New Roman"/>
          <w:noProof/>
          <w:sz w:val="24"/>
          <w:szCs w:val="24"/>
          <w:lang w:val="sq-AL"/>
        </w:rPr>
        <w:t>simit t</w:t>
      </w:r>
      <w:r w:rsidR="00064AC5" w:rsidRPr="00641640">
        <w:rPr>
          <w:rFonts w:ascii="Times New Roman" w:hAnsi="Times New Roman" w:cs="Times New Roman"/>
          <w:noProof/>
          <w:sz w:val="24"/>
          <w:szCs w:val="24"/>
          <w:lang w:val="sq-AL"/>
        </w:rPr>
        <w:t>ë</w:t>
      </w:r>
      <w:r w:rsidR="00686771" w:rsidRPr="00641640">
        <w:rPr>
          <w:rFonts w:ascii="Times New Roman" w:hAnsi="Times New Roman" w:cs="Times New Roman"/>
          <w:noProof/>
          <w:sz w:val="24"/>
          <w:szCs w:val="24"/>
          <w:lang w:val="sq-AL"/>
        </w:rPr>
        <w:t xml:space="preserve"> Shqip</w:t>
      </w:r>
      <w:r w:rsidR="00064AC5" w:rsidRPr="00641640">
        <w:rPr>
          <w:rFonts w:ascii="Times New Roman" w:hAnsi="Times New Roman" w:cs="Times New Roman"/>
          <w:noProof/>
          <w:sz w:val="24"/>
          <w:szCs w:val="24"/>
          <w:lang w:val="sq-AL"/>
        </w:rPr>
        <w:t>ë</w:t>
      </w:r>
      <w:r w:rsidR="00686771" w:rsidRPr="00641640">
        <w:rPr>
          <w:rFonts w:ascii="Times New Roman" w:hAnsi="Times New Roman" w:cs="Times New Roman"/>
          <w:noProof/>
          <w:sz w:val="24"/>
          <w:szCs w:val="24"/>
          <w:lang w:val="sq-AL"/>
        </w:rPr>
        <w:t>ris</w:t>
      </w:r>
      <w:r w:rsidR="00064AC5" w:rsidRPr="00641640">
        <w:rPr>
          <w:rFonts w:ascii="Times New Roman" w:hAnsi="Times New Roman" w:cs="Times New Roman"/>
          <w:noProof/>
          <w:sz w:val="24"/>
          <w:szCs w:val="24"/>
          <w:lang w:val="sq-AL"/>
        </w:rPr>
        <w:t>ë</w:t>
      </w:r>
      <w:r w:rsidR="00686771" w:rsidRPr="00641640">
        <w:rPr>
          <w:rFonts w:ascii="Times New Roman" w:hAnsi="Times New Roman" w:cs="Times New Roman"/>
          <w:noProof/>
          <w:sz w:val="24"/>
          <w:szCs w:val="24"/>
          <w:lang w:val="sq-AL"/>
        </w:rPr>
        <w:t xml:space="preserve"> n</w:t>
      </w:r>
      <w:r w:rsidR="00064AC5" w:rsidRPr="00641640">
        <w:rPr>
          <w:rFonts w:ascii="Times New Roman" w:hAnsi="Times New Roman" w:cs="Times New Roman"/>
          <w:noProof/>
          <w:sz w:val="24"/>
          <w:szCs w:val="24"/>
          <w:lang w:val="sq-AL"/>
        </w:rPr>
        <w:t>ë</w:t>
      </w:r>
      <w:r w:rsidR="00CA1EAB" w:rsidRPr="00641640">
        <w:rPr>
          <w:rFonts w:ascii="Times New Roman" w:hAnsi="Times New Roman" w:cs="Times New Roman"/>
          <w:noProof/>
          <w:sz w:val="24"/>
          <w:szCs w:val="24"/>
          <w:lang w:val="sq-AL"/>
        </w:rPr>
        <w:t xml:space="preserve"> </w:t>
      </w:r>
      <w:r w:rsidR="00A405F9" w:rsidRPr="00641640">
        <w:rPr>
          <w:rFonts w:ascii="Times New Roman" w:hAnsi="Times New Roman" w:cs="Times New Roman"/>
          <w:noProof/>
          <w:sz w:val="24"/>
          <w:szCs w:val="24"/>
          <w:lang w:val="sq-AL"/>
        </w:rPr>
        <w:t>nism</w:t>
      </w:r>
      <w:r w:rsidR="00064AC5" w:rsidRPr="00641640">
        <w:rPr>
          <w:rFonts w:ascii="Times New Roman" w:hAnsi="Times New Roman" w:cs="Times New Roman"/>
          <w:noProof/>
          <w:sz w:val="24"/>
          <w:szCs w:val="24"/>
          <w:lang w:val="sq-AL"/>
        </w:rPr>
        <w:t>ë</w:t>
      </w:r>
      <w:r w:rsidR="00A405F9" w:rsidRPr="00641640">
        <w:rPr>
          <w:rFonts w:ascii="Times New Roman" w:hAnsi="Times New Roman" w:cs="Times New Roman"/>
          <w:noProof/>
          <w:sz w:val="24"/>
          <w:szCs w:val="24"/>
          <w:lang w:val="sq-AL"/>
        </w:rPr>
        <w:t>n</w:t>
      </w:r>
      <w:r w:rsidR="00CA1EAB" w:rsidRPr="00641640">
        <w:rPr>
          <w:rFonts w:ascii="Times New Roman" w:hAnsi="Times New Roman" w:cs="Times New Roman"/>
          <w:noProof/>
          <w:sz w:val="24"/>
          <w:szCs w:val="24"/>
          <w:lang w:val="sq-AL"/>
        </w:rPr>
        <w:t xml:space="preserve"> ndërkombëtare të Partneritetit të Qeverisjes së Hapur (OGP) në 2011. </w:t>
      </w:r>
      <w:r w:rsidR="00686771" w:rsidRPr="00641640">
        <w:rPr>
          <w:rFonts w:ascii="Times New Roman" w:hAnsi="Times New Roman" w:cs="Times New Roman"/>
          <w:noProof/>
          <w:sz w:val="24"/>
          <w:szCs w:val="24"/>
          <w:lang w:val="sq-AL"/>
        </w:rPr>
        <w:t>Ky Plan</w:t>
      </w:r>
      <w:r w:rsidR="001717FF" w:rsidRPr="00641640">
        <w:rPr>
          <w:rFonts w:ascii="Times New Roman" w:hAnsi="Times New Roman" w:cs="Times New Roman"/>
          <w:noProof/>
          <w:sz w:val="24"/>
          <w:szCs w:val="24"/>
          <w:lang w:val="sq-AL"/>
        </w:rPr>
        <w:t xml:space="preserve"> pasqyron</w:t>
      </w:r>
      <w:r w:rsidR="00686771"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vendosmërinë e </w:t>
      </w:r>
      <w:r w:rsidR="00686771" w:rsidRPr="00641640">
        <w:rPr>
          <w:rFonts w:ascii="Times New Roman" w:hAnsi="Times New Roman" w:cs="Times New Roman"/>
          <w:noProof/>
          <w:sz w:val="24"/>
          <w:szCs w:val="24"/>
          <w:lang w:val="sq-AL"/>
        </w:rPr>
        <w:t>Qeveris</w:t>
      </w:r>
      <w:r w:rsidR="00064AC5" w:rsidRPr="00641640">
        <w:rPr>
          <w:rFonts w:ascii="Times New Roman" w:hAnsi="Times New Roman" w:cs="Times New Roman"/>
          <w:noProof/>
          <w:sz w:val="24"/>
          <w:szCs w:val="24"/>
          <w:lang w:val="sq-AL"/>
        </w:rPr>
        <w:t>ë</w:t>
      </w:r>
      <w:r w:rsidR="00686771" w:rsidRPr="00641640">
        <w:rPr>
          <w:rFonts w:ascii="Times New Roman" w:hAnsi="Times New Roman" w:cs="Times New Roman"/>
          <w:noProof/>
          <w:sz w:val="24"/>
          <w:szCs w:val="24"/>
          <w:lang w:val="sq-AL"/>
        </w:rPr>
        <w:t xml:space="preserve"> Shqiptare </w:t>
      </w:r>
      <w:r w:rsidRPr="00641640">
        <w:rPr>
          <w:rFonts w:ascii="Times New Roman" w:hAnsi="Times New Roman" w:cs="Times New Roman"/>
          <w:noProof/>
          <w:sz w:val="24"/>
          <w:szCs w:val="24"/>
          <w:lang w:val="sq-AL"/>
        </w:rPr>
        <w:t xml:space="preserve">për të mbështetur dhe zhvilluar politika </w:t>
      </w:r>
      <w:r w:rsidR="001717FF"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1717FF" w:rsidRPr="00641640">
        <w:rPr>
          <w:rFonts w:ascii="Times New Roman" w:hAnsi="Times New Roman" w:cs="Times New Roman"/>
          <w:noProof/>
          <w:sz w:val="24"/>
          <w:szCs w:val="24"/>
          <w:lang w:val="sq-AL"/>
        </w:rPr>
        <w:t xml:space="preserve"> dedikuara</w:t>
      </w:r>
      <w:r w:rsidRPr="00641640">
        <w:rPr>
          <w:rFonts w:ascii="Times New Roman" w:hAnsi="Times New Roman" w:cs="Times New Roman"/>
          <w:noProof/>
          <w:sz w:val="24"/>
          <w:szCs w:val="24"/>
          <w:lang w:val="sq-AL"/>
        </w:rPr>
        <w:t xml:space="preserve"> për një qeverisje të hapur, në të cilën transparenca, di</w:t>
      </w:r>
      <w:r w:rsidR="00CA1EAB" w:rsidRPr="00641640">
        <w:rPr>
          <w:rFonts w:ascii="Times New Roman" w:hAnsi="Times New Roman" w:cs="Times New Roman"/>
          <w:noProof/>
          <w:sz w:val="24"/>
          <w:szCs w:val="24"/>
          <w:lang w:val="sq-AL"/>
        </w:rPr>
        <w:t>gj</w:t>
      </w:r>
      <w:r w:rsidRPr="00641640">
        <w:rPr>
          <w:rFonts w:ascii="Times New Roman" w:hAnsi="Times New Roman" w:cs="Times New Roman"/>
          <w:noProof/>
          <w:sz w:val="24"/>
          <w:szCs w:val="24"/>
          <w:lang w:val="sq-AL"/>
        </w:rPr>
        <w:t xml:space="preserve">italizimi, lufta kundër korrupsionit, </w:t>
      </w:r>
      <w:r w:rsidR="00686771" w:rsidRPr="00641640">
        <w:rPr>
          <w:rFonts w:ascii="Times New Roman" w:hAnsi="Times New Roman" w:cs="Times New Roman"/>
          <w:noProof/>
          <w:sz w:val="24"/>
          <w:szCs w:val="24"/>
          <w:lang w:val="sq-AL"/>
        </w:rPr>
        <w:t>aksesi n</w:t>
      </w:r>
      <w:r w:rsidR="00064AC5" w:rsidRPr="00641640">
        <w:rPr>
          <w:rFonts w:ascii="Times New Roman" w:hAnsi="Times New Roman" w:cs="Times New Roman"/>
          <w:noProof/>
          <w:sz w:val="24"/>
          <w:szCs w:val="24"/>
          <w:lang w:val="sq-AL"/>
        </w:rPr>
        <w:t>ë</w:t>
      </w:r>
      <w:r w:rsidR="00686771"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drejtësi, </w:t>
      </w:r>
      <w:r w:rsidR="00D41276" w:rsidRPr="00641640">
        <w:rPr>
          <w:rFonts w:ascii="Times New Roman" w:hAnsi="Times New Roman" w:cs="Times New Roman"/>
          <w:noProof/>
          <w:sz w:val="24"/>
          <w:szCs w:val="24"/>
          <w:lang w:val="sq-AL"/>
        </w:rPr>
        <w:t>fuqizimi i qytetarëve dhe përdorimi</w:t>
      </w:r>
      <w:r w:rsidR="001717FF" w:rsidRPr="00641640">
        <w:rPr>
          <w:rFonts w:ascii="Times New Roman" w:hAnsi="Times New Roman" w:cs="Times New Roman"/>
          <w:noProof/>
          <w:sz w:val="24"/>
          <w:szCs w:val="24"/>
          <w:lang w:val="sq-AL"/>
        </w:rPr>
        <w:t xml:space="preserve"> i</w:t>
      </w:r>
      <w:r w:rsidR="00D41276" w:rsidRPr="00641640">
        <w:rPr>
          <w:rFonts w:ascii="Times New Roman" w:hAnsi="Times New Roman" w:cs="Times New Roman"/>
          <w:noProof/>
          <w:sz w:val="24"/>
          <w:szCs w:val="24"/>
          <w:lang w:val="sq-AL"/>
        </w:rPr>
        <w:t xml:space="preserve"> teknologjive të reja </w:t>
      </w:r>
      <w:r w:rsidR="00686771" w:rsidRPr="00641640">
        <w:rPr>
          <w:rFonts w:ascii="Times New Roman" w:hAnsi="Times New Roman" w:cs="Times New Roman"/>
          <w:noProof/>
          <w:sz w:val="24"/>
          <w:szCs w:val="24"/>
          <w:lang w:val="sq-AL"/>
        </w:rPr>
        <w:t>rrisin efikasitetin dhe p</w:t>
      </w:r>
      <w:r w:rsidR="00064AC5" w:rsidRPr="00641640">
        <w:rPr>
          <w:rFonts w:ascii="Times New Roman" w:hAnsi="Times New Roman" w:cs="Times New Roman"/>
          <w:noProof/>
          <w:sz w:val="24"/>
          <w:szCs w:val="24"/>
          <w:lang w:val="sq-AL"/>
        </w:rPr>
        <w:t>ë</w:t>
      </w:r>
      <w:r w:rsidR="00686771" w:rsidRPr="00641640">
        <w:rPr>
          <w:rFonts w:ascii="Times New Roman" w:hAnsi="Times New Roman" w:cs="Times New Roman"/>
          <w:noProof/>
          <w:sz w:val="24"/>
          <w:szCs w:val="24"/>
          <w:lang w:val="sq-AL"/>
        </w:rPr>
        <w:t>rgjegjshm</w:t>
      </w:r>
      <w:r w:rsidR="00064AC5" w:rsidRPr="00641640">
        <w:rPr>
          <w:rFonts w:ascii="Times New Roman" w:hAnsi="Times New Roman" w:cs="Times New Roman"/>
          <w:noProof/>
          <w:sz w:val="24"/>
          <w:szCs w:val="24"/>
          <w:lang w:val="sq-AL"/>
        </w:rPr>
        <w:t>ë</w:t>
      </w:r>
      <w:r w:rsidR="00686771" w:rsidRPr="00641640">
        <w:rPr>
          <w:rFonts w:ascii="Times New Roman" w:hAnsi="Times New Roman" w:cs="Times New Roman"/>
          <w:noProof/>
          <w:sz w:val="24"/>
          <w:szCs w:val="24"/>
          <w:lang w:val="sq-AL"/>
        </w:rPr>
        <w:t>rin</w:t>
      </w:r>
      <w:r w:rsidR="00064AC5" w:rsidRPr="00641640">
        <w:rPr>
          <w:rFonts w:ascii="Times New Roman" w:hAnsi="Times New Roman" w:cs="Times New Roman"/>
          <w:noProof/>
          <w:sz w:val="24"/>
          <w:szCs w:val="24"/>
          <w:lang w:val="sq-AL"/>
        </w:rPr>
        <w:t>ë</w:t>
      </w:r>
      <w:r w:rsidR="00686771" w:rsidRPr="00641640">
        <w:rPr>
          <w:rFonts w:ascii="Times New Roman" w:hAnsi="Times New Roman" w:cs="Times New Roman"/>
          <w:noProof/>
          <w:sz w:val="24"/>
          <w:szCs w:val="24"/>
          <w:lang w:val="sq-AL"/>
        </w:rPr>
        <w:t xml:space="preserve"> e</w:t>
      </w:r>
      <w:r w:rsidR="00D41276" w:rsidRPr="00641640">
        <w:rPr>
          <w:rFonts w:ascii="Times New Roman" w:hAnsi="Times New Roman" w:cs="Times New Roman"/>
          <w:noProof/>
          <w:sz w:val="24"/>
          <w:szCs w:val="24"/>
          <w:lang w:val="sq-AL"/>
        </w:rPr>
        <w:t xml:space="preserve"> administratës publike </w:t>
      </w:r>
      <w:r w:rsidR="001717FF" w:rsidRPr="00641640">
        <w:rPr>
          <w:rFonts w:ascii="Times New Roman" w:hAnsi="Times New Roman" w:cs="Times New Roman"/>
          <w:noProof/>
          <w:sz w:val="24"/>
          <w:szCs w:val="24"/>
          <w:lang w:val="sq-AL"/>
        </w:rPr>
        <w:t>n</w:t>
      </w:r>
      <w:r w:rsidR="00064AC5" w:rsidRPr="00641640">
        <w:rPr>
          <w:rFonts w:ascii="Times New Roman" w:hAnsi="Times New Roman" w:cs="Times New Roman"/>
          <w:noProof/>
          <w:sz w:val="24"/>
          <w:szCs w:val="24"/>
          <w:lang w:val="sq-AL"/>
        </w:rPr>
        <w:t>ë</w:t>
      </w:r>
      <w:r w:rsidR="001717FF"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001717FF" w:rsidRPr="00641640">
        <w:rPr>
          <w:rFonts w:ascii="Times New Roman" w:hAnsi="Times New Roman" w:cs="Times New Roman"/>
          <w:noProof/>
          <w:sz w:val="24"/>
          <w:szCs w:val="24"/>
          <w:lang w:val="sq-AL"/>
        </w:rPr>
        <w:t xml:space="preserve"> gjitha nivelet, duke ofruar sh</w:t>
      </w:r>
      <w:r w:rsidR="00064AC5" w:rsidRPr="00641640">
        <w:rPr>
          <w:rFonts w:ascii="Times New Roman" w:hAnsi="Times New Roman" w:cs="Times New Roman"/>
          <w:noProof/>
          <w:sz w:val="24"/>
          <w:szCs w:val="24"/>
          <w:lang w:val="sq-AL"/>
        </w:rPr>
        <w:t>ë</w:t>
      </w:r>
      <w:r w:rsidR="001717FF" w:rsidRPr="00641640">
        <w:rPr>
          <w:rFonts w:ascii="Times New Roman" w:hAnsi="Times New Roman" w:cs="Times New Roman"/>
          <w:noProof/>
          <w:sz w:val="24"/>
          <w:szCs w:val="24"/>
          <w:lang w:val="sq-AL"/>
        </w:rPr>
        <w:t>rbime publike m</w:t>
      </w:r>
      <w:r w:rsidR="00064AC5" w:rsidRPr="00641640">
        <w:rPr>
          <w:rFonts w:ascii="Times New Roman" w:hAnsi="Times New Roman" w:cs="Times New Roman"/>
          <w:noProof/>
          <w:sz w:val="24"/>
          <w:szCs w:val="24"/>
          <w:lang w:val="sq-AL"/>
        </w:rPr>
        <w:t>ë</w:t>
      </w:r>
      <w:r w:rsidR="001717FF" w:rsidRPr="00641640">
        <w:rPr>
          <w:rFonts w:ascii="Times New Roman" w:hAnsi="Times New Roman" w:cs="Times New Roman"/>
          <w:noProof/>
          <w:sz w:val="24"/>
          <w:szCs w:val="24"/>
          <w:lang w:val="sq-AL"/>
        </w:rPr>
        <w:t xml:space="preserve"> efikase dhe n</w:t>
      </w:r>
      <w:r w:rsidR="00064AC5" w:rsidRPr="00641640">
        <w:rPr>
          <w:rFonts w:ascii="Times New Roman" w:hAnsi="Times New Roman" w:cs="Times New Roman"/>
          <w:noProof/>
          <w:sz w:val="24"/>
          <w:szCs w:val="24"/>
          <w:lang w:val="sq-AL"/>
        </w:rPr>
        <w:t>ë</w:t>
      </w:r>
      <w:r w:rsidR="001717FF" w:rsidRPr="00641640">
        <w:rPr>
          <w:rFonts w:ascii="Times New Roman" w:hAnsi="Times New Roman" w:cs="Times New Roman"/>
          <w:noProof/>
          <w:sz w:val="24"/>
          <w:szCs w:val="24"/>
          <w:lang w:val="sq-AL"/>
        </w:rPr>
        <w:t xml:space="preserve"> m</w:t>
      </w:r>
      <w:r w:rsidR="00064AC5" w:rsidRPr="00641640">
        <w:rPr>
          <w:rFonts w:ascii="Times New Roman" w:hAnsi="Times New Roman" w:cs="Times New Roman"/>
          <w:noProof/>
          <w:sz w:val="24"/>
          <w:szCs w:val="24"/>
          <w:lang w:val="sq-AL"/>
        </w:rPr>
        <w:t>ë</w:t>
      </w:r>
      <w:r w:rsidR="001717FF" w:rsidRPr="00641640">
        <w:rPr>
          <w:rFonts w:ascii="Times New Roman" w:hAnsi="Times New Roman" w:cs="Times New Roman"/>
          <w:noProof/>
          <w:sz w:val="24"/>
          <w:szCs w:val="24"/>
          <w:lang w:val="sq-AL"/>
        </w:rPr>
        <w:t>nyra m</w:t>
      </w:r>
      <w:r w:rsidR="00064AC5" w:rsidRPr="00641640">
        <w:rPr>
          <w:rFonts w:ascii="Times New Roman" w:hAnsi="Times New Roman" w:cs="Times New Roman"/>
          <w:noProof/>
          <w:sz w:val="24"/>
          <w:szCs w:val="24"/>
          <w:lang w:val="sq-AL"/>
        </w:rPr>
        <w:t>ë</w:t>
      </w:r>
      <w:r w:rsidR="001717FF" w:rsidRPr="00641640">
        <w:rPr>
          <w:rFonts w:ascii="Times New Roman" w:hAnsi="Times New Roman" w:cs="Times New Roman"/>
          <w:noProof/>
          <w:sz w:val="24"/>
          <w:szCs w:val="24"/>
          <w:lang w:val="sq-AL"/>
        </w:rPr>
        <w:t xml:space="preserve"> innovative, si dhe duke menaxhuar m</w:t>
      </w:r>
      <w:r w:rsidR="00064AC5" w:rsidRPr="00641640">
        <w:rPr>
          <w:rFonts w:ascii="Times New Roman" w:hAnsi="Times New Roman" w:cs="Times New Roman"/>
          <w:noProof/>
          <w:sz w:val="24"/>
          <w:szCs w:val="24"/>
          <w:lang w:val="sq-AL"/>
        </w:rPr>
        <w:t>ë</w:t>
      </w:r>
      <w:r w:rsidR="001717FF" w:rsidRPr="00641640">
        <w:rPr>
          <w:rFonts w:ascii="Times New Roman" w:hAnsi="Times New Roman" w:cs="Times New Roman"/>
          <w:noProof/>
          <w:sz w:val="24"/>
          <w:szCs w:val="24"/>
          <w:lang w:val="sq-AL"/>
        </w:rPr>
        <w:t xml:space="preserve"> mir</w:t>
      </w:r>
      <w:r w:rsidR="00064AC5" w:rsidRPr="00641640">
        <w:rPr>
          <w:rFonts w:ascii="Times New Roman" w:hAnsi="Times New Roman" w:cs="Times New Roman"/>
          <w:noProof/>
          <w:sz w:val="24"/>
          <w:szCs w:val="24"/>
          <w:lang w:val="sq-AL"/>
        </w:rPr>
        <w:t>ë</w:t>
      </w:r>
      <w:r w:rsidR="00D41276" w:rsidRPr="00641640">
        <w:rPr>
          <w:rFonts w:ascii="Times New Roman" w:hAnsi="Times New Roman" w:cs="Times New Roman"/>
          <w:noProof/>
          <w:sz w:val="24"/>
          <w:szCs w:val="24"/>
          <w:lang w:val="sq-AL"/>
        </w:rPr>
        <w:t xml:space="preserve"> burime</w:t>
      </w:r>
      <w:r w:rsidR="001717FF" w:rsidRPr="00641640">
        <w:rPr>
          <w:rFonts w:ascii="Times New Roman" w:hAnsi="Times New Roman" w:cs="Times New Roman"/>
          <w:noProof/>
          <w:sz w:val="24"/>
          <w:szCs w:val="24"/>
          <w:lang w:val="sq-AL"/>
        </w:rPr>
        <w:t>t</w:t>
      </w:r>
      <w:r w:rsidR="00D41276" w:rsidRPr="00641640">
        <w:rPr>
          <w:rFonts w:ascii="Times New Roman" w:hAnsi="Times New Roman" w:cs="Times New Roman"/>
          <w:noProof/>
          <w:sz w:val="24"/>
          <w:szCs w:val="24"/>
          <w:lang w:val="sq-AL"/>
        </w:rPr>
        <w:t xml:space="preserve"> publike</w:t>
      </w:r>
      <w:r w:rsidRPr="00641640">
        <w:rPr>
          <w:rFonts w:ascii="Times New Roman" w:hAnsi="Times New Roman" w:cs="Times New Roman"/>
          <w:noProof/>
          <w:sz w:val="24"/>
          <w:szCs w:val="24"/>
          <w:lang w:val="sq-AL"/>
        </w:rPr>
        <w:t xml:space="preserve">. </w:t>
      </w:r>
      <w:r w:rsidR="00686771" w:rsidRPr="00641640">
        <w:rPr>
          <w:rFonts w:ascii="Times New Roman" w:hAnsi="Times New Roman" w:cs="Times New Roman"/>
          <w:noProof/>
          <w:sz w:val="24"/>
          <w:szCs w:val="24"/>
          <w:lang w:val="sq-AL"/>
        </w:rPr>
        <w:t>N</w:t>
      </w:r>
      <w:r w:rsidR="00064AC5" w:rsidRPr="00641640">
        <w:rPr>
          <w:rFonts w:ascii="Times New Roman" w:hAnsi="Times New Roman" w:cs="Times New Roman"/>
          <w:noProof/>
          <w:sz w:val="24"/>
          <w:szCs w:val="24"/>
          <w:lang w:val="sq-AL"/>
        </w:rPr>
        <w:t>ë</w:t>
      </w:r>
      <w:r w:rsidR="00686771" w:rsidRPr="00641640">
        <w:rPr>
          <w:rFonts w:ascii="Times New Roman" w:hAnsi="Times New Roman" w:cs="Times New Roman"/>
          <w:noProof/>
          <w:sz w:val="24"/>
          <w:szCs w:val="24"/>
          <w:lang w:val="sq-AL"/>
        </w:rPr>
        <w:t xml:space="preserve"> k</w:t>
      </w:r>
      <w:r w:rsidR="00064AC5" w:rsidRPr="00641640">
        <w:rPr>
          <w:rFonts w:ascii="Times New Roman" w:hAnsi="Times New Roman" w:cs="Times New Roman"/>
          <w:noProof/>
          <w:sz w:val="24"/>
          <w:szCs w:val="24"/>
          <w:lang w:val="sq-AL"/>
        </w:rPr>
        <w:t>ë</w:t>
      </w:r>
      <w:r w:rsidR="00686771"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686771" w:rsidRPr="00641640">
        <w:rPr>
          <w:rFonts w:ascii="Times New Roman" w:hAnsi="Times New Roman" w:cs="Times New Roman"/>
          <w:noProof/>
          <w:sz w:val="24"/>
          <w:szCs w:val="24"/>
          <w:lang w:val="sq-AL"/>
        </w:rPr>
        <w:t xml:space="preserve"> drejtim dhe </w:t>
      </w:r>
      <w:r w:rsidR="00A405F9" w:rsidRPr="00641640">
        <w:rPr>
          <w:rFonts w:ascii="Times New Roman" w:hAnsi="Times New Roman" w:cs="Times New Roman"/>
          <w:noProof/>
          <w:sz w:val="24"/>
          <w:szCs w:val="24"/>
          <w:lang w:val="sq-AL"/>
        </w:rPr>
        <w:t>n</w:t>
      </w:r>
      <w:r w:rsidR="00064AC5" w:rsidRPr="00641640">
        <w:rPr>
          <w:rFonts w:ascii="Times New Roman" w:hAnsi="Times New Roman" w:cs="Times New Roman"/>
          <w:noProof/>
          <w:sz w:val="24"/>
          <w:szCs w:val="24"/>
          <w:lang w:val="sq-AL"/>
        </w:rPr>
        <w:t>ë</w:t>
      </w:r>
      <w:r w:rsidR="00A405F9" w:rsidRPr="00641640">
        <w:rPr>
          <w:rFonts w:ascii="Times New Roman" w:hAnsi="Times New Roman" w:cs="Times New Roman"/>
          <w:noProof/>
          <w:sz w:val="24"/>
          <w:szCs w:val="24"/>
          <w:lang w:val="sq-AL"/>
        </w:rPr>
        <w:t xml:space="preserve"> p</w:t>
      </w:r>
      <w:r w:rsidR="00064AC5" w:rsidRPr="00641640">
        <w:rPr>
          <w:rFonts w:ascii="Times New Roman" w:hAnsi="Times New Roman" w:cs="Times New Roman"/>
          <w:noProof/>
          <w:sz w:val="24"/>
          <w:szCs w:val="24"/>
          <w:lang w:val="sq-AL"/>
        </w:rPr>
        <w:t>ë</w:t>
      </w:r>
      <w:r w:rsidR="00A405F9" w:rsidRPr="00641640">
        <w:rPr>
          <w:rFonts w:ascii="Times New Roman" w:hAnsi="Times New Roman" w:cs="Times New Roman"/>
          <w:noProof/>
          <w:sz w:val="24"/>
          <w:szCs w:val="24"/>
          <w:lang w:val="sq-AL"/>
        </w:rPr>
        <w:t>rputhje</w:t>
      </w:r>
      <w:r w:rsidR="00686771" w:rsidRPr="00641640">
        <w:rPr>
          <w:rFonts w:ascii="Times New Roman" w:hAnsi="Times New Roman" w:cs="Times New Roman"/>
          <w:noProof/>
          <w:sz w:val="24"/>
          <w:szCs w:val="24"/>
          <w:lang w:val="sq-AL"/>
        </w:rPr>
        <w:t xml:space="preserve"> me k</w:t>
      </w:r>
      <w:r w:rsidR="00064AC5" w:rsidRPr="00641640">
        <w:rPr>
          <w:rFonts w:ascii="Times New Roman" w:hAnsi="Times New Roman" w:cs="Times New Roman"/>
          <w:noProof/>
          <w:sz w:val="24"/>
          <w:szCs w:val="24"/>
          <w:lang w:val="sq-AL"/>
        </w:rPr>
        <w:t>ë</w:t>
      </w:r>
      <w:r w:rsidR="00686771"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686771" w:rsidRPr="00641640">
        <w:rPr>
          <w:rFonts w:ascii="Times New Roman" w:hAnsi="Times New Roman" w:cs="Times New Roman"/>
          <w:noProof/>
          <w:sz w:val="24"/>
          <w:szCs w:val="24"/>
          <w:lang w:val="sq-AL"/>
        </w:rPr>
        <w:t xml:space="preserve"> q</w:t>
      </w:r>
      <w:r w:rsidR="00064AC5" w:rsidRPr="00641640">
        <w:rPr>
          <w:rFonts w:ascii="Times New Roman" w:hAnsi="Times New Roman" w:cs="Times New Roman"/>
          <w:noProof/>
          <w:sz w:val="24"/>
          <w:szCs w:val="24"/>
          <w:lang w:val="sq-AL"/>
        </w:rPr>
        <w:t>ë</w:t>
      </w:r>
      <w:r w:rsidR="00686771" w:rsidRPr="00641640">
        <w:rPr>
          <w:rFonts w:ascii="Times New Roman" w:hAnsi="Times New Roman" w:cs="Times New Roman"/>
          <w:noProof/>
          <w:sz w:val="24"/>
          <w:szCs w:val="24"/>
          <w:lang w:val="sq-AL"/>
        </w:rPr>
        <w:t>llim, masat e parashikuara n</w:t>
      </w:r>
      <w:r w:rsidR="00064AC5" w:rsidRPr="00641640">
        <w:rPr>
          <w:rFonts w:ascii="Times New Roman" w:hAnsi="Times New Roman" w:cs="Times New Roman"/>
          <w:noProof/>
          <w:sz w:val="24"/>
          <w:szCs w:val="24"/>
          <w:lang w:val="sq-AL"/>
        </w:rPr>
        <w:t>ë</w:t>
      </w:r>
      <w:r w:rsidR="00686771" w:rsidRPr="00641640">
        <w:rPr>
          <w:rFonts w:ascii="Times New Roman" w:hAnsi="Times New Roman" w:cs="Times New Roman"/>
          <w:noProof/>
          <w:sz w:val="24"/>
          <w:szCs w:val="24"/>
          <w:lang w:val="sq-AL"/>
        </w:rPr>
        <w:t xml:space="preserve"> SNRAP</w:t>
      </w:r>
      <w:r w:rsidRPr="00641640">
        <w:rPr>
          <w:rFonts w:ascii="Times New Roman" w:hAnsi="Times New Roman" w:cs="Times New Roman"/>
          <w:noProof/>
          <w:sz w:val="24"/>
          <w:szCs w:val="24"/>
          <w:lang w:val="sq-AL"/>
        </w:rPr>
        <w:t xml:space="preserve"> </w:t>
      </w:r>
      <w:r w:rsidR="00686771" w:rsidRPr="00641640">
        <w:rPr>
          <w:rFonts w:ascii="Times New Roman" w:hAnsi="Times New Roman" w:cs="Times New Roman"/>
          <w:noProof/>
          <w:sz w:val="24"/>
          <w:szCs w:val="24"/>
          <w:lang w:val="sq-AL"/>
        </w:rPr>
        <w:t>synojn</w:t>
      </w:r>
      <w:r w:rsidR="00064AC5" w:rsidRPr="00641640">
        <w:rPr>
          <w:rFonts w:ascii="Times New Roman" w:hAnsi="Times New Roman" w:cs="Times New Roman"/>
          <w:noProof/>
          <w:sz w:val="24"/>
          <w:szCs w:val="24"/>
          <w:lang w:val="sq-AL"/>
        </w:rPr>
        <w:t>ë</w:t>
      </w:r>
      <w:r w:rsidR="00A405F9"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00A405F9" w:rsidRPr="00641640">
        <w:rPr>
          <w:rFonts w:ascii="Times New Roman" w:hAnsi="Times New Roman" w:cs="Times New Roman"/>
          <w:noProof/>
          <w:sz w:val="24"/>
          <w:szCs w:val="24"/>
          <w:lang w:val="sq-AL"/>
        </w:rPr>
        <w:t xml:space="preserve"> rrisin</w:t>
      </w:r>
      <w:r w:rsidRPr="00641640">
        <w:rPr>
          <w:rFonts w:ascii="Times New Roman" w:hAnsi="Times New Roman" w:cs="Times New Roman"/>
          <w:noProof/>
          <w:sz w:val="24"/>
          <w:szCs w:val="24"/>
          <w:lang w:val="sq-AL"/>
        </w:rPr>
        <w:t xml:space="preserve"> efikasiteti</w:t>
      </w:r>
      <w:r w:rsidR="00A405F9" w:rsidRPr="00641640">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 xml:space="preserve"> </w:t>
      </w:r>
      <w:r w:rsidR="00A405F9"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 administratës publike </w:t>
      </w:r>
      <w:r w:rsidR="00A405F9"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A405F9" w:rsidRPr="00641640">
        <w:rPr>
          <w:rFonts w:ascii="Times New Roman" w:hAnsi="Times New Roman" w:cs="Times New Roman"/>
          <w:noProof/>
          <w:sz w:val="24"/>
          <w:szCs w:val="24"/>
          <w:lang w:val="sq-AL"/>
        </w:rPr>
        <w:t>r t</w:t>
      </w:r>
      <w:r w:rsidR="00064AC5" w:rsidRPr="00641640">
        <w:rPr>
          <w:rFonts w:ascii="Times New Roman" w:hAnsi="Times New Roman" w:cs="Times New Roman"/>
          <w:noProof/>
          <w:sz w:val="24"/>
          <w:szCs w:val="24"/>
          <w:lang w:val="sq-AL"/>
        </w:rPr>
        <w:t>ë</w:t>
      </w:r>
      <w:r w:rsidR="00A405F9" w:rsidRPr="00641640">
        <w:rPr>
          <w:rFonts w:ascii="Times New Roman" w:hAnsi="Times New Roman" w:cs="Times New Roman"/>
          <w:noProof/>
          <w:sz w:val="24"/>
          <w:szCs w:val="24"/>
          <w:lang w:val="sq-AL"/>
        </w:rPr>
        <w:t xml:space="preserve"> p</w:t>
      </w:r>
      <w:r w:rsidR="00064AC5" w:rsidRPr="00641640">
        <w:rPr>
          <w:rFonts w:ascii="Times New Roman" w:hAnsi="Times New Roman" w:cs="Times New Roman"/>
          <w:noProof/>
          <w:sz w:val="24"/>
          <w:szCs w:val="24"/>
          <w:lang w:val="sq-AL"/>
        </w:rPr>
        <w:t>ë</w:t>
      </w:r>
      <w:r w:rsidR="00A405F9" w:rsidRPr="00641640">
        <w:rPr>
          <w:rFonts w:ascii="Times New Roman" w:hAnsi="Times New Roman" w:cs="Times New Roman"/>
          <w:noProof/>
          <w:sz w:val="24"/>
          <w:szCs w:val="24"/>
          <w:lang w:val="sq-AL"/>
        </w:rPr>
        <w:t>rmbushur</w:t>
      </w:r>
      <w:r w:rsidRPr="00641640">
        <w:rPr>
          <w:rFonts w:ascii="Times New Roman" w:hAnsi="Times New Roman" w:cs="Times New Roman"/>
          <w:noProof/>
          <w:sz w:val="24"/>
          <w:szCs w:val="24"/>
          <w:lang w:val="sq-AL"/>
        </w:rPr>
        <w:t xml:space="preserve"> nevoja</w:t>
      </w:r>
      <w:r w:rsidR="00A405F9" w:rsidRPr="00641640">
        <w:rPr>
          <w:rFonts w:ascii="Times New Roman" w:hAnsi="Times New Roman" w:cs="Times New Roman"/>
          <w:noProof/>
          <w:sz w:val="24"/>
          <w:szCs w:val="24"/>
          <w:lang w:val="sq-AL"/>
        </w:rPr>
        <w:t>t e</w:t>
      </w:r>
      <w:r w:rsidRPr="00641640">
        <w:rPr>
          <w:rFonts w:ascii="Times New Roman" w:hAnsi="Times New Roman" w:cs="Times New Roman"/>
          <w:noProof/>
          <w:sz w:val="24"/>
          <w:szCs w:val="24"/>
          <w:lang w:val="sq-AL"/>
        </w:rPr>
        <w:t xml:space="preserve"> qytetarëve dhe </w:t>
      </w:r>
      <w:r w:rsidR="00A405F9"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A405F9"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ekonomisë</w:t>
      </w:r>
      <w:r w:rsidR="001717FF"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si dhe </w:t>
      </w:r>
      <w:r w:rsidR="00A405F9"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A405F9" w:rsidRPr="00641640">
        <w:rPr>
          <w:rFonts w:ascii="Times New Roman" w:hAnsi="Times New Roman" w:cs="Times New Roman"/>
          <w:noProof/>
          <w:sz w:val="24"/>
          <w:szCs w:val="24"/>
          <w:lang w:val="sq-AL"/>
        </w:rPr>
        <w:t xml:space="preserve"> forcojn</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transparencë</w:t>
      </w:r>
      <w:r w:rsidR="00A405F9" w:rsidRPr="00641640">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w:t>
      </w:r>
      <w:r w:rsidR="00686771" w:rsidRPr="00641640">
        <w:rPr>
          <w:rFonts w:ascii="Times New Roman" w:hAnsi="Times New Roman" w:cs="Times New Roman"/>
          <w:noProof/>
          <w:sz w:val="24"/>
          <w:szCs w:val="24"/>
          <w:lang w:val="sq-AL"/>
        </w:rPr>
        <w:t xml:space="preserve"> llogaridh</w:t>
      </w:r>
      <w:r w:rsidR="00064AC5" w:rsidRPr="00641640">
        <w:rPr>
          <w:rFonts w:ascii="Times New Roman" w:hAnsi="Times New Roman" w:cs="Times New Roman"/>
          <w:noProof/>
          <w:sz w:val="24"/>
          <w:szCs w:val="24"/>
          <w:lang w:val="sq-AL"/>
        </w:rPr>
        <w:t>ë</w:t>
      </w:r>
      <w:r w:rsidR="00686771" w:rsidRPr="00641640">
        <w:rPr>
          <w:rFonts w:ascii="Times New Roman" w:hAnsi="Times New Roman" w:cs="Times New Roman"/>
          <w:noProof/>
          <w:sz w:val="24"/>
          <w:szCs w:val="24"/>
          <w:lang w:val="sq-AL"/>
        </w:rPr>
        <w:t>nie</w:t>
      </w:r>
      <w:r w:rsidR="00A405F9" w:rsidRPr="00641640">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 xml:space="preserve"> dhe integritet</w:t>
      </w:r>
      <w:r w:rsidR="00A405F9" w:rsidRPr="00641640">
        <w:rPr>
          <w:rFonts w:ascii="Times New Roman" w:hAnsi="Times New Roman" w:cs="Times New Roman"/>
          <w:noProof/>
          <w:sz w:val="24"/>
          <w:szCs w:val="24"/>
          <w:lang w:val="sq-AL"/>
        </w:rPr>
        <w:t>in e</w:t>
      </w:r>
      <w:r w:rsidR="00686771" w:rsidRPr="00641640">
        <w:rPr>
          <w:rFonts w:ascii="Times New Roman" w:hAnsi="Times New Roman" w:cs="Times New Roman"/>
          <w:noProof/>
          <w:sz w:val="24"/>
          <w:szCs w:val="24"/>
          <w:lang w:val="sq-AL"/>
        </w:rPr>
        <w:t xml:space="preserve"> administrat</w:t>
      </w:r>
      <w:r w:rsidR="00064AC5" w:rsidRPr="00641640">
        <w:rPr>
          <w:rFonts w:ascii="Times New Roman" w:hAnsi="Times New Roman" w:cs="Times New Roman"/>
          <w:noProof/>
          <w:sz w:val="24"/>
          <w:szCs w:val="24"/>
          <w:lang w:val="sq-AL"/>
        </w:rPr>
        <w:t>ë</w:t>
      </w:r>
      <w:r w:rsidR="00686771" w:rsidRPr="00641640">
        <w:rPr>
          <w:rFonts w:ascii="Times New Roman" w:hAnsi="Times New Roman" w:cs="Times New Roman"/>
          <w:noProof/>
          <w:sz w:val="24"/>
          <w:szCs w:val="24"/>
          <w:lang w:val="sq-AL"/>
        </w:rPr>
        <w:t>s publike</w:t>
      </w:r>
      <w:r w:rsidR="00A405F9" w:rsidRPr="00641640">
        <w:rPr>
          <w:rFonts w:ascii="Times New Roman" w:hAnsi="Times New Roman" w:cs="Times New Roman"/>
          <w:noProof/>
          <w:sz w:val="24"/>
          <w:szCs w:val="24"/>
          <w:lang w:val="sq-AL"/>
        </w:rPr>
        <w:t>, duke qen</w:t>
      </w:r>
      <w:r w:rsidR="00064AC5" w:rsidRPr="00641640">
        <w:rPr>
          <w:rFonts w:ascii="Times New Roman" w:hAnsi="Times New Roman" w:cs="Times New Roman"/>
          <w:noProof/>
          <w:sz w:val="24"/>
          <w:szCs w:val="24"/>
          <w:lang w:val="sq-AL"/>
        </w:rPr>
        <w:t>ë</w:t>
      </w:r>
      <w:r w:rsidR="00A405F9" w:rsidRPr="00641640">
        <w:rPr>
          <w:rFonts w:ascii="Times New Roman" w:hAnsi="Times New Roman" w:cs="Times New Roman"/>
          <w:noProof/>
          <w:sz w:val="24"/>
          <w:szCs w:val="24"/>
          <w:lang w:val="sq-AL"/>
        </w:rPr>
        <w:t xml:space="preserve"> k</w:t>
      </w:r>
      <w:r w:rsidR="00064AC5" w:rsidRPr="00641640">
        <w:rPr>
          <w:rFonts w:ascii="Times New Roman" w:hAnsi="Times New Roman" w:cs="Times New Roman"/>
          <w:noProof/>
          <w:sz w:val="24"/>
          <w:szCs w:val="24"/>
          <w:lang w:val="sq-AL"/>
        </w:rPr>
        <w:t>ë</w:t>
      </w:r>
      <w:r w:rsidR="00A405F9" w:rsidRPr="00641640">
        <w:rPr>
          <w:rFonts w:ascii="Times New Roman" w:hAnsi="Times New Roman" w:cs="Times New Roman"/>
          <w:noProof/>
          <w:sz w:val="24"/>
          <w:szCs w:val="24"/>
          <w:lang w:val="sq-AL"/>
        </w:rPr>
        <w:t>shtu plot</w:t>
      </w:r>
      <w:r w:rsidR="00064AC5" w:rsidRPr="00641640">
        <w:rPr>
          <w:rFonts w:ascii="Times New Roman" w:hAnsi="Times New Roman" w:cs="Times New Roman"/>
          <w:noProof/>
          <w:sz w:val="24"/>
          <w:szCs w:val="24"/>
          <w:lang w:val="sq-AL"/>
        </w:rPr>
        <w:t>ë</w:t>
      </w:r>
      <w:r w:rsidR="00A405F9" w:rsidRPr="00641640">
        <w:rPr>
          <w:rFonts w:ascii="Times New Roman" w:hAnsi="Times New Roman" w:cs="Times New Roman"/>
          <w:noProof/>
          <w:sz w:val="24"/>
          <w:szCs w:val="24"/>
          <w:lang w:val="sq-AL"/>
        </w:rPr>
        <w:t>sisht n</w:t>
      </w:r>
      <w:r w:rsidR="00064AC5" w:rsidRPr="00641640">
        <w:rPr>
          <w:rFonts w:ascii="Times New Roman" w:hAnsi="Times New Roman" w:cs="Times New Roman"/>
          <w:noProof/>
          <w:sz w:val="24"/>
          <w:szCs w:val="24"/>
          <w:lang w:val="sq-AL"/>
        </w:rPr>
        <w:t>ë</w:t>
      </w:r>
      <w:r w:rsidR="00A405F9" w:rsidRPr="00641640">
        <w:rPr>
          <w:rFonts w:ascii="Times New Roman" w:hAnsi="Times New Roman" w:cs="Times New Roman"/>
          <w:noProof/>
          <w:sz w:val="24"/>
          <w:szCs w:val="24"/>
          <w:lang w:val="sq-AL"/>
        </w:rPr>
        <w:t xml:space="preserve"> p</w:t>
      </w:r>
      <w:r w:rsidR="00064AC5" w:rsidRPr="00641640">
        <w:rPr>
          <w:rFonts w:ascii="Times New Roman" w:hAnsi="Times New Roman" w:cs="Times New Roman"/>
          <w:noProof/>
          <w:sz w:val="24"/>
          <w:szCs w:val="24"/>
          <w:lang w:val="sq-AL"/>
        </w:rPr>
        <w:t>ë</w:t>
      </w:r>
      <w:r w:rsidR="00A405F9" w:rsidRPr="00641640">
        <w:rPr>
          <w:rFonts w:ascii="Times New Roman" w:hAnsi="Times New Roman" w:cs="Times New Roman"/>
          <w:noProof/>
          <w:sz w:val="24"/>
          <w:szCs w:val="24"/>
          <w:lang w:val="sq-AL"/>
        </w:rPr>
        <w:t>rputhje me</w:t>
      </w:r>
      <w:r w:rsidR="00D41276"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Planin Kombëtar të Veprimi</w:t>
      </w:r>
      <w:r w:rsidR="00A405F9" w:rsidRPr="00641640">
        <w:rPr>
          <w:rFonts w:ascii="Times New Roman" w:hAnsi="Times New Roman" w:cs="Times New Roman"/>
          <w:noProof/>
          <w:sz w:val="24"/>
          <w:szCs w:val="24"/>
          <w:lang w:val="sq-AL"/>
        </w:rPr>
        <w:t xml:space="preserve">t </w:t>
      </w:r>
      <w:r w:rsidR="000F579C" w:rsidRPr="00641640">
        <w:rPr>
          <w:rFonts w:ascii="Times New Roman" w:hAnsi="Times New Roman" w:cs="Times New Roman"/>
          <w:noProof/>
          <w:sz w:val="24"/>
          <w:szCs w:val="24"/>
          <w:lang w:val="sq-AL"/>
        </w:rPr>
        <w:t>“Partneriteti për Qeverisjen e Hapur 2023-202</w:t>
      </w:r>
      <w:r w:rsidR="006C726C" w:rsidRPr="00641640">
        <w:rPr>
          <w:rFonts w:ascii="Times New Roman" w:hAnsi="Times New Roman" w:cs="Times New Roman"/>
          <w:noProof/>
          <w:sz w:val="24"/>
          <w:szCs w:val="24"/>
          <w:lang w:val="sq-AL"/>
        </w:rPr>
        <w:t>5”</w:t>
      </w:r>
      <w:r w:rsidRPr="00641640">
        <w:rPr>
          <w:rFonts w:ascii="Times New Roman" w:hAnsi="Times New Roman" w:cs="Times New Roman"/>
          <w:noProof/>
          <w:sz w:val="24"/>
          <w:szCs w:val="24"/>
          <w:lang w:val="sq-AL"/>
        </w:rPr>
        <w:t>.</w:t>
      </w:r>
    </w:p>
    <w:p w14:paraId="0F301817" w14:textId="73633CF5" w:rsidR="00785DAD" w:rsidRDefault="00785DAD" w:rsidP="003A395D">
      <w:pPr>
        <w:spacing w:after="0" w:line="276" w:lineRule="auto"/>
        <w:jc w:val="both"/>
        <w:rPr>
          <w:rFonts w:ascii="Times New Roman" w:hAnsi="Times New Roman" w:cs="Times New Roman"/>
          <w:noProof/>
          <w:sz w:val="20"/>
          <w:szCs w:val="20"/>
          <w:lang w:val="sq-AL"/>
        </w:rPr>
      </w:pPr>
    </w:p>
    <w:p w14:paraId="41268AA0" w14:textId="77777777" w:rsidR="00B222B9" w:rsidRPr="0007033C" w:rsidRDefault="00B222B9" w:rsidP="003A395D">
      <w:pPr>
        <w:spacing w:after="0" w:line="276" w:lineRule="auto"/>
        <w:jc w:val="both"/>
        <w:rPr>
          <w:rFonts w:ascii="Times New Roman" w:hAnsi="Times New Roman" w:cs="Times New Roman"/>
          <w:noProof/>
          <w:sz w:val="20"/>
          <w:szCs w:val="20"/>
          <w:lang w:val="sq-AL"/>
        </w:rPr>
      </w:pPr>
    </w:p>
    <w:p w14:paraId="2FF95C2B" w14:textId="46571ACB" w:rsidR="00FD1BAC" w:rsidRPr="00641640" w:rsidRDefault="000F579C"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b/>
          <w:bCs/>
          <w:noProof/>
          <w:sz w:val="24"/>
          <w:szCs w:val="24"/>
          <w:lang w:val="sq-AL"/>
        </w:rPr>
        <w:t>Ndërl</w:t>
      </w:r>
      <w:r w:rsidR="00A405F9" w:rsidRPr="00641640">
        <w:rPr>
          <w:rFonts w:ascii="Times New Roman" w:hAnsi="Times New Roman" w:cs="Times New Roman"/>
          <w:b/>
          <w:bCs/>
          <w:noProof/>
          <w:sz w:val="24"/>
          <w:szCs w:val="24"/>
          <w:lang w:val="sq-AL"/>
        </w:rPr>
        <w:t>idhja e SNRAP</w:t>
      </w:r>
      <w:r w:rsidR="00C85D7C">
        <w:rPr>
          <w:rFonts w:ascii="Times New Roman" w:hAnsi="Times New Roman" w:cs="Times New Roman"/>
          <w:b/>
          <w:bCs/>
          <w:noProof/>
          <w:sz w:val="24"/>
          <w:szCs w:val="24"/>
          <w:lang w:val="sq-AL"/>
        </w:rPr>
        <w:t xml:space="preserve"> 2025-2030</w:t>
      </w:r>
      <w:r w:rsidR="00A405F9" w:rsidRPr="00641640">
        <w:rPr>
          <w:rFonts w:ascii="Times New Roman" w:hAnsi="Times New Roman" w:cs="Times New Roman"/>
          <w:b/>
          <w:bCs/>
          <w:noProof/>
          <w:sz w:val="24"/>
          <w:szCs w:val="24"/>
          <w:lang w:val="sq-AL"/>
        </w:rPr>
        <w:t xml:space="preserve"> me </w:t>
      </w:r>
      <w:r w:rsidR="00FD1BAC" w:rsidRPr="00641640">
        <w:rPr>
          <w:rFonts w:ascii="Times New Roman" w:hAnsi="Times New Roman" w:cs="Times New Roman"/>
          <w:b/>
          <w:bCs/>
          <w:noProof/>
          <w:sz w:val="24"/>
          <w:szCs w:val="24"/>
          <w:lang w:val="sq-AL"/>
        </w:rPr>
        <w:t>A</w:t>
      </w:r>
      <w:r w:rsidR="0000324A" w:rsidRPr="00641640">
        <w:rPr>
          <w:rFonts w:ascii="Times New Roman" w:hAnsi="Times New Roman" w:cs="Times New Roman"/>
          <w:b/>
          <w:bCs/>
          <w:noProof/>
          <w:sz w:val="24"/>
          <w:szCs w:val="24"/>
          <w:lang w:val="sq-AL"/>
        </w:rPr>
        <w:t>gj</w:t>
      </w:r>
      <w:r w:rsidR="00FD1BAC" w:rsidRPr="00641640">
        <w:rPr>
          <w:rFonts w:ascii="Times New Roman" w:hAnsi="Times New Roman" w:cs="Times New Roman"/>
          <w:b/>
          <w:bCs/>
          <w:noProof/>
          <w:sz w:val="24"/>
          <w:szCs w:val="24"/>
          <w:lang w:val="sq-AL"/>
        </w:rPr>
        <w:t>end</w:t>
      </w:r>
      <w:r w:rsidR="00064AC5" w:rsidRPr="00641640">
        <w:rPr>
          <w:rFonts w:ascii="Times New Roman" w:hAnsi="Times New Roman" w:cs="Times New Roman"/>
          <w:b/>
          <w:bCs/>
          <w:noProof/>
          <w:sz w:val="24"/>
          <w:szCs w:val="24"/>
          <w:lang w:val="sq-AL"/>
        </w:rPr>
        <w:t>ë</w:t>
      </w:r>
      <w:r w:rsidR="00A405F9" w:rsidRPr="00641640">
        <w:rPr>
          <w:rFonts w:ascii="Times New Roman" w:hAnsi="Times New Roman" w:cs="Times New Roman"/>
          <w:b/>
          <w:bCs/>
          <w:noProof/>
          <w:sz w:val="24"/>
          <w:szCs w:val="24"/>
          <w:lang w:val="sq-AL"/>
        </w:rPr>
        <w:t xml:space="preserve">n </w:t>
      </w:r>
      <w:r w:rsidR="00FD1BAC" w:rsidRPr="00641640">
        <w:rPr>
          <w:rFonts w:ascii="Times New Roman" w:hAnsi="Times New Roman" w:cs="Times New Roman"/>
          <w:b/>
          <w:bCs/>
          <w:noProof/>
          <w:sz w:val="24"/>
          <w:szCs w:val="24"/>
          <w:lang w:val="sq-AL"/>
        </w:rPr>
        <w:t>e Kombeve të Bashkuara për Zhvillim të Q</w:t>
      </w:r>
      <w:r w:rsidR="00C773AB" w:rsidRPr="00641640">
        <w:rPr>
          <w:rFonts w:ascii="Times New Roman" w:hAnsi="Times New Roman" w:cs="Times New Roman"/>
          <w:b/>
          <w:bCs/>
          <w:noProof/>
          <w:sz w:val="24"/>
          <w:szCs w:val="24"/>
          <w:lang w:val="sq-AL"/>
        </w:rPr>
        <w:t>e</w:t>
      </w:r>
      <w:r w:rsidR="00FD1BAC" w:rsidRPr="00641640">
        <w:rPr>
          <w:rFonts w:ascii="Times New Roman" w:hAnsi="Times New Roman" w:cs="Times New Roman"/>
          <w:b/>
          <w:bCs/>
          <w:noProof/>
          <w:sz w:val="24"/>
          <w:szCs w:val="24"/>
          <w:lang w:val="sq-AL"/>
        </w:rPr>
        <w:t>ndrueshëm 2030</w:t>
      </w:r>
    </w:p>
    <w:p w14:paraId="67E92062" w14:textId="50BB3025" w:rsidR="00CA15E2" w:rsidRPr="00641640" w:rsidRDefault="00B815A5"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lastRenderedPageBreak/>
        <w:t>A</w:t>
      </w:r>
      <w:r w:rsidR="0000324A" w:rsidRPr="00641640">
        <w:rPr>
          <w:rFonts w:ascii="Times New Roman" w:hAnsi="Times New Roman" w:cs="Times New Roman"/>
          <w:noProof/>
          <w:sz w:val="24"/>
          <w:szCs w:val="24"/>
          <w:lang w:val="sq-AL"/>
        </w:rPr>
        <w:t>gj</w:t>
      </w:r>
      <w:r w:rsidR="00FD1BAC" w:rsidRPr="00641640">
        <w:rPr>
          <w:rFonts w:ascii="Times New Roman" w:hAnsi="Times New Roman" w:cs="Times New Roman"/>
          <w:noProof/>
          <w:sz w:val="24"/>
          <w:szCs w:val="24"/>
          <w:lang w:val="sq-AL"/>
        </w:rPr>
        <w:t>end</w:t>
      </w:r>
      <w:r w:rsidRPr="00641640">
        <w:rPr>
          <w:rFonts w:ascii="Times New Roman" w:hAnsi="Times New Roman" w:cs="Times New Roman"/>
          <w:noProof/>
          <w:sz w:val="24"/>
          <w:szCs w:val="24"/>
          <w:lang w:val="sq-AL"/>
        </w:rPr>
        <w:t>a</w:t>
      </w:r>
      <w:r w:rsidR="00FD1BAC" w:rsidRPr="00641640">
        <w:rPr>
          <w:rFonts w:ascii="Times New Roman" w:hAnsi="Times New Roman" w:cs="Times New Roman"/>
          <w:noProof/>
          <w:sz w:val="24"/>
          <w:szCs w:val="24"/>
          <w:lang w:val="sq-AL"/>
        </w:rPr>
        <w:t xml:space="preserve"> e Kombeve të Bashkuara 2030 për Zhvillimin e Q</w:t>
      </w:r>
      <w:r w:rsidR="00C773AB" w:rsidRPr="00641640">
        <w:rPr>
          <w:rFonts w:ascii="Times New Roman" w:hAnsi="Times New Roman" w:cs="Times New Roman"/>
          <w:noProof/>
          <w:sz w:val="24"/>
          <w:szCs w:val="24"/>
          <w:lang w:val="sq-AL"/>
        </w:rPr>
        <w:t>e</w:t>
      </w:r>
      <w:r w:rsidR="00FD1BAC" w:rsidRPr="00641640">
        <w:rPr>
          <w:rFonts w:ascii="Times New Roman" w:hAnsi="Times New Roman" w:cs="Times New Roman"/>
          <w:noProof/>
          <w:sz w:val="24"/>
          <w:szCs w:val="24"/>
          <w:lang w:val="sq-AL"/>
        </w:rPr>
        <w:t>ndrueshëm</w:t>
      </w:r>
      <w:r w:rsidRPr="00641640">
        <w:rPr>
          <w:rFonts w:ascii="Times New Roman" w:hAnsi="Times New Roman" w:cs="Times New Roman"/>
          <w:noProof/>
          <w:sz w:val="24"/>
          <w:szCs w:val="24"/>
          <w:lang w:val="sq-AL"/>
        </w:rPr>
        <w:t xml:space="preserve"> dhe Objektivat e Zhvillimit të Q</w:t>
      </w:r>
      <w:r w:rsidR="00834F21"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ndrueshëm</w:t>
      </w:r>
      <w:r w:rsidR="006C0454" w:rsidRPr="00641640">
        <w:rPr>
          <w:rFonts w:ascii="Times New Roman" w:hAnsi="Times New Roman" w:cs="Times New Roman"/>
          <w:noProof/>
          <w:sz w:val="24"/>
          <w:szCs w:val="24"/>
          <w:lang w:val="sq-AL"/>
        </w:rPr>
        <w:t xml:space="preserve"> (</w:t>
      </w:r>
      <w:r w:rsidR="000F579C" w:rsidRPr="00641640">
        <w:rPr>
          <w:rFonts w:ascii="Times New Roman" w:hAnsi="Times New Roman" w:cs="Times New Roman"/>
          <w:noProof/>
          <w:sz w:val="24"/>
          <w:szCs w:val="24"/>
          <w:lang w:val="sq-AL"/>
        </w:rPr>
        <w:t>OZHQ</w:t>
      </w:r>
      <w:r w:rsidR="006C0454"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w:t>
      </w:r>
      <w:r w:rsidR="008E784D" w:rsidRPr="00641640">
        <w:rPr>
          <w:rFonts w:ascii="Times New Roman" w:hAnsi="Times New Roman" w:cs="Times New Roman"/>
          <w:noProof/>
          <w:sz w:val="24"/>
          <w:szCs w:val="24"/>
          <w:lang w:val="sq-AL"/>
        </w:rPr>
        <w:t>ofrojn</w:t>
      </w:r>
      <w:r w:rsidR="00064AC5" w:rsidRPr="00641640">
        <w:rPr>
          <w:rFonts w:ascii="Times New Roman" w:hAnsi="Times New Roman" w:cs="Times New Roman"/>
          <w:noProof/>
          <w:sz w:val="24"/>
          <w:szCs w:val="24"/>
          <w:lang w:val="sq-AL"/>
        </w:rPr>
        <w:t>ë</w:t>
      </w:r>
      <w:r w:rsidR="005D68A7" w:rsidRPr="00641640">
        <w:rPr>
          <w:rFonts w:ascii="Times New Roman" w:hAnsi="Times New Roman" w:cs="Times New Roman"/>
          <w:noProof/>
          <w:sz w:val="24"/>
          <w:szCs w:val="24"/>
          <w:lang w:val="sq-AL"/>
        </w:rPr>
        <w:t xml:space="preserve"> një qasje </w:t>
      </w:r>
      <w:r w:rsidR="008E784D" w:rsidRPr="00641640">
        <w:rPr>
          <w:rFonts w:ascii="Times New Roman" w:hAnsi="Times New Roman" w:cs="Times New Roman"/>
          <w:noProof/>
          <w:sz w:val="24"/>
          <w:szCs w:val="24"/>
          <w:lang w:val="sq-AL"/>
        </w:rPr>
        <w:t>gjith</w:t>
      </w:r>
      <w:r w:rsidR="00064AC5" w:rsidRPr="00641640">
        <w:rPr>
          <w:rFonts w:ascii="Times New Roman" w:hAnsi="Times New Roman" w:cs="Times New Roman"/>
          <w:noProof/>
          <w:sz w:val="24"/>
          <w:szCs w:val="24"/>
          <w:lang w:val="sq-AL"/>
        </w:rPr>
        <w:t>ë</w:t>
      </w:r>
      <w:r w:rsidR="008E784D"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8E784D" w:rsidRPr="00641640">
        <w:rPr>
          <w:rFonts w:ascii="Times New Roman" w:hAnsi="Times New Roman" w:cs="Times New Roman"/>
          <w:noProof/>
          <w:sz w:val="24"/>
          <w:szCs w:val="24"/>
          <w:lang w:val="sq-AL"/>
        </w:rPr>
        <w:t>rfshir</w:t>
      </w:r>
      <w:r w:rsidR="00064AC5" w:rsidRPr="00641640">
        <w:rPr>
          <w:rFonts w:ascii="Times New Roman" w:hAnsi="Times New Roman" w:cs="Times New Roman"/>
          <w:noProof/>
          <w:sz w:val="24"/>
          <w:szCs w:val="24"/>
          <w:lang w:val="sq-AL"/>
        </w:rPr>
        <w:t>ë</w:t>
      </w:r>
      <w:r w:rsidR="008E784D" w:rsidRPr="00641640">
        <w:rPr>
          <w:rFonts w:ascii="Times New Roman" w:hAnsi="Times New Roman" w:cs="Times New Roman"/>
          <w:noProof/>
          <w:sz w:val="24"/>
          <w:szCs w:val="24"/>
          <w:lang w:val="sq-AL"/>
        </w:rPr>
        <w:t>se t</w:t>
      </w:r>
      <w:r w:rsidR="00064AC5" w:rsidRPr="00641640">
        <w:rPr>
          <w:rFonts w:ascii="Times New Roman" w:hAnsi="Times New Roman" w:cs="Times New Roman"/>
          <w:noProof/>
          <w:sz w:val="24"/>
          <w:szCs w:val="24"/>
          <w:lang w:val="sq-AL"/>
        </w:rPr>
        <w:t>ë</w:t>
      </w:r>
      <w:r w:rsidR="008E784D" w:rsidRPr="00641640">
        <w:rPr>
          <w:rFonts w:ascii="Times New Roman" w:hAnsi="Times New Roman" w:cs="Times New Roman"/>
          <w:noProof/>
          <w:sz w:val="24"/>
          <w:szCs w:val="24"/>
          <w:lang w:val="sq-AL"/>
        </w:rPr>
        <w:t xml:space="preserve"> veprimit t</w:t>
      </w:r>
      <w:r w:rsidR="00064AC5" w:rsidRPr="00641640">
        <w:rPr>
          <w:rFonts w:ascii="Times New Roman" w:hAnsi="Times New Roman" w:cs="Times New Roman"/>
          <w:noProof/>
          <w:sz w:val="24"/>
          <w:szCs w:val="24"/>
          <w:lang w:val="sq-AL"/>
        </w:rPr>
        <w:t>ë</w:t>
      </w:r>
      <w:r w:rsidR="008E784D" w:rsidRPr="00641640">
        <w:rPr>
          <w:rFonts w:ascii="Times New Roman" w:hAnsi="Times New Roman" w:cs="Times New Roman"/>
          <w:noProof/>
          <w:sz w:val="24"/>
          <w:szCs w:val="24"/>
          <w:lang w:val="sq-AL"/>
        </w:rPr>
        <w:t xml:space="preserve"> nevojsh</w:t>
      </w:r>
      <w:r w:rsidR="00064AC5" w:rsidRPr="00641640">
        <w:rPr>
          <w:rFonts w:ascii="Times New Roman" w:hAnsi="Times New Roman" w:cs="Times New Roman"/>
          <w:noProof/>
          <w:sz w:val="24"/>
          <w:szCs w:val="24"/>
          <w:lang w:val="sq-AL"/>
        </w:rPr>
        <w:t>ë</w:t>
      </w:r>
      <w:r w:rsidR="008E784D" w:rsidRPr="00641640">
        <w:rPr>
          <w:rFonts w:ascii="Times New Roman" w:hAnsi="Times New Roman" w:cs="Times New Roman"/>
          <w:noProof/>
          <w:sz w:val="24"/>
          <w:szCs w:val="24"/>
          <w:lang w:val="sq-AL"/>
        </w:rPr>
        <w:t xml:space="preserve">m global </w:t>
      </w:r>
      <w:r w:rsidR="005D68A7" w:rsidRPr="00641640">
        <w:rPr>
          <w:rFonts w:ascii="Times New Roman" w:hAnsi="Times New Roman" w:cs="Times New Roman"/>
          <w:noProof/>
          <w:sz w:val="24"/>
          <w:szCs w:val="24"/>
          <w:lang w:val="sq-AL"/>
        </w:rPr>
        <w:t>për</w:t>
      </w:r>
      <w:r w:rsidR="008E784D" w:rsidRPr="00641640">
        <w:rPr>
          <w:rFonts w:ascii="Times New Roman" w:hAnsi="Times New Roman" w:cs="Times New Roman"/>
          <w:noProof/>
          <w:sz w:val="24"/>
          <w:szCs w:val="24"/>
          <w:lang w:val="sq-AL"/>
        </w:rPr>
        <w:t xml:space="preserve"> </w:t>
      </w:r>
      <w:r w:rsidR="005D68A7" w:rsidRPr="00641640">
        <w:rPr>
          <w:rFonts w:ascii="Times New Roman" w:hAnsi="Times New Roman" w:cs="Times New Roman"/>
          <w:noProof/>
          <w:sz w:val="24"/>
          <w:szCs w:val="24"/>
          <w:lang w:val="sq-AL"/>
        </w:rPr>
        <w:t>çrrënjos</w:t>
      </w:r>
      <w:r w:rsidR="008E784D" w:rsidRPr="00641640">
        <w:rPr>
          <w:rFonts w:ascii="Times New Roman" w:hAnsi="Times New Roman" w:cs="Times New Roman"/>
          <w:noProof/>
          <w:sz w:val="24"/>
          <w:szCs w:val="24"/>
          <w:lang w:val="sq-AL"/>
        </w:rPr>
        <w:t>jen e</w:t>
      </w:r>
      <w:r w:rsidR="005D68A7" w:rsidRPr="00641640">
        <w:rPr>
          <w:rFonts w:ascii="Times New Roman" w:hAnsi="Times New Roman" w:cs="Times New Roman"/>
          <w:noProof/>
          <w:sz w:val="24"/>
          <w:szCs w:val="24"/>
          <w:lang w:val="sq-AL"/>
        </w:rPr>
        <w:t xml:space="preserve"> varfëri</w:t>
      </w:r>
      <w:r w:rsidR="008E784D" w:rsidRPr="00641640">
        <w:rPr>
          <w:rFonts w:ascii="Times New Roman" w:hAnsi="Times New Roman" w:cs="Times New Roman"/>
          <w:noProof/>
          <w:sz w:val="24"/>
          <w:szCs w:val="24"/>
          <w:lang w:val="sq-AL"/>
        </w:rPr>
        <w:t>s</w:t>
      </w:r>
      <w:r w:rsidR="005D68A7" w:rsidRPr="00641640">
        <w:rPr>
          <w:rFonts w:ascii="Times New Roman" w:hAnsi="Times New Roman" w:cs="Times New Roman"/>
          <w:noProof/>
          <w:sz w:val="24"/>
          <w:szCs w:val="24"/>
          <w:lang w:val="sq-AL"/>
        </w:rPr>
        <w:t>ë, mbrojt</w:t>
      </w:r>
      <w:r w:rsidR="008E784D" w:rsidRPr="00641640">
        <w:rPr>
          <w:rFonts w:ascii="Times New Roman" w:hAnsi="Times New Roman" w:cs="Times New Roman"/>
          <w:noProof/>
          <w:sz w:val="24"/>
          <w:szCs w:val="24"/>
          <w:lang w:val="sq-AL"/>
        </w:rPr>
        <w:t>jen e</w:t>
      </w:r>
      <w:r w:rsidR="005D68A7" w:rsidRPr="00641640">
        <w:rPr>
          <w:rFonts w:ascii="Times New Roman" w:hAnsi="Times New Roman" w:cs="Times New Roman"/>
          <w:noProof/>
          <w:sz w:val="24"/>
          <w:szCs w:val="24"/>
          <w:lang w:val="sq-AL"/>
        </w:rPr>
        <w:t xml:space="preserve"> mjedisi</w:t>
      </w:r>
      <w:r w:rsidR="008E784D" w:rsidRPr="00641640">
        <w:rPr>
          <w:rFonts w:ascii="Times New Roman" w:hAnsi="Times New Roman" w:cs="Times New Roman"/>
          <w:noProof/>
          <w:sz w:val="24"/>
          <w:szCs w:val="24"/>
          <w:lang w:val="sq-AL"/>
        </w:rPr>
        <w:t>t</w:t>
      </w:r>
      <w:r w:rsidR="005D68A7" w:rsidRPr="00641640">
        <w:rPr>
          <w:rFonts w:ascii="Times New Roman" w:hAnsi="Times New Roman" w:cs="Times New Roman"/>
          <w:noProof/>
          <w:sz w:val="24"/>
          <w:szCs w:val="24"/>
          <w:lang w:val="sq-AL"/>
        </w:rPr>
        <w:t xml:space="preserve"> dhe sigur</w:t>
      </w:r>
      <w:r w:rsidR="008E784D" w:rsidRPr="00641640">
        <w:rPr>
          <w:rFonts w:ascii="Times New Roman" w:hAnsi="Times New Roman" w:cs="Times New Roman"/>
          <w:noProof/>
          <w:sz w:val="24"/>
          <w:szCs w:val="24"/>
          <w:lang w:val="sq-AL"/>
        </w:rPr>
        <w:t>imin e</w:t>
      </w:r>
      <w:r w:rsidR="005D68A7" w:rsidRPr="00641640">
        <w:rPr>
          <w:rFonts w:ascii="Times New Roman" w:hAnsi="Times New Roman" w:cs="Times New Roman"/>
          <w:noProof/>
          <w:sz w:val="24"/>
          <w:szCs w:val="24"/>
          <w:lang w:val="sq-AL"/>
        </w:rPr>
        <w:t xml:space="preserve"> paqe</w:t>
      </w:r>
      <w:r w:rsidR="008E784D" w:rsidRPr="00641640">
        <w:rPr>
          <w:rFonts w:ascii="Times New Roman" w:hAnsi="Times New Roman" w:cs="Times New Roman"/>
          <w:noProof/>
          <w:sz w:val="24"/>
          <w:szCs w:val="24"/>
          <w:lang w:val="sq-AL"/>
        </w:rPr>
        <w:t>s</w:t>
      </w:r>
      <w:r w:rsidR="005D68A7" w:rsidRPr="00641640">
        <w:rPr>
          <w:rFonts w:ascii="Times New Roman" w:hAnsi="Times New Roman" w:cs="Times New Roman"/>
          <w:noProof/>
          <w:sz w:val="24"/>
          <w:szCs w:val="24"/>
          <w:lang w:val="sq-AL"/>
        </w:rPr>
        <w:t xml:space="preserve"> </w:t>
      </w:r>
      <w:r w:rsidR="008E784D" w:rsidRPr="00641640">
        <w:rPr>
          <w:rFonts w:ascii="Times New Roman" w:hAnsi="Times New Roman" w:cs="Times New Roman"/>
          <w:noProof/>
          <w:sz w:val="24"/>
          <w:szCs w:val="24"/>
          <w:lang w:val="sq-AL"/>
        </w:rPr>
        <w:t>e</w:t>
      </w:r>
      <w:r w:rsidR="005D68A7" w:rsidRPr="00641640">
        <w:rPr>
          <w:rFonts w:ascii="Times New Roman" w:hAnsi="Times New Roman" w:cs="Times New Roman"/>
          <w:noProof/>
          <w:sz w:val="24"/>
          <w:szCs w:val="24"/>
          <w:lang w:val="sq-AL"/>
        </w:rPr>
        <w:t xml:space="preserve"> prosperitet</w:t>
      </w:r>
      <w:r w:rsidR="008E784D" w:rsidRPr="00641640">
        <w:rPr>
          <w:rFonts w:ascii="Times New Roman" w:hAnsi="Times New Roman" w:cs="Times New Roman"/>
          <w:noProof/>
          <w:sz w:val="24"/>
          <w:szCs w:val="24"/>
          <w:lang w:val="sq-AL"/>
        </w:rPr>
        <w:t>it</w:t>
      </w:r>
      <w:r w:rsidR="005D68A7" w:rsidRPr="00641640">
        <w:rPr>
          <w:rFonts w:ascii="Times New Roman" w:hAnsi="Times New Roman" w:cs="Times New Roman"/>
          <w:noProof/>
          <w:sz w:val="24"/>
          <w:szCs w:val="24"/>
          <w:lang w:val="sq-AL"/>
        </w:rPr>
        <w:t xml:space="preserve"> për të gjithë.</w:t>
      </w:r>
      <w:r w:rsidR="008E784D" w:rsidRPr="00641640">
        <w:rPr>
          <w:rFonts w:ascii="Times New Roman" w:hAnsi="Times New Roman" w:cs="Times New Roman"/>
          <w:noProof/>
          <w:sz w:val="24"/>
          <w:szCs w:val="24"/>
          <w:lang w:val="sq-AL"/>
        </w:rPr>
        <w:t xml:space="preserve"> Paqja dhe drejt</w:t>
      </w:r>
      <w:r w:rsidR="00064AC5" w:rsidRPr="00641640">
        <w:rPr>
          <w:rFonts w:ascii="Times New Roman" w:hAnsi="Times New Roman" w:cs="Times New Roman"/>
          <w:noProof/>
          <w:sz w:val="24"/>
          <w:szCs w:val="24"/>
          <w:lang w:val="sq-AL"/>
        </w:rPr>
        <w:t>ë</w:t>
      </w:r>
      <w:r w:rsidR="008E784D" w:rsidRPr="00641640">
        <w:rPr>
          <w:rFonts w:ascii="Times New Roman" w:hAnsi="Times New Roman" w:cs="Times New Roman"/>
          <w:noProof/>
          <w:sz w:val="24"/>
          <w:szCs w:val="24"/>
          <w:lang w:val="sq-AL"/>
        </w:rPr>
        <w:t xml:space="preserve">sia </w:t>
      </w:r>
      <w:r w:rsidR="004E668F" w:rsidRPr="00641640">
        <w:rPr>
          <w:rFonts w:ascii="Times New Roman" w:hAnsi="Times New Roman" w:cs="Times New Roman"/>
          <w:noProof/>
          <w:sz w:val="24"/>
          <w:szCs w:val="24"/>
          <w:lang w:val="sq-AL"/>
        </w:rPr>
        <w:t>jan</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 xml:space="preserve"> dy fusha prioritare t</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 xml:space="preserve"> Agjend</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s 2030. N</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 xml:space="preserve"> k</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 xml:space="preserve"> drejtim, </w:t>
      </w:r>
      <w:r w:rsidR="005D68A7" w:rsidRPr="00641640">
        <w:rPr>
          <w:rFonts w:ascii="Times New Roman" w:hAnsi="Times New Roman" w:cs="Times New Roman"/>
          <w:noProof/>
          <w:sz w:val="24"/>
          <w:szCs w:val="24"/>
          <w:lang w:val="sq-AL"/>
        </w:rPr>
        <w:t xml:space="preserve">Strategjia Ndërsektoriale e Reformës në Administratën Publike </w:t>
      </w:r>
      <w:r w:rsidR="000F579C" w:rsidRPr="00641640">
        <w:rPr>
          <w:rFonts w:ascii="Times New Roman" w:hAnsi="Times New Roman" w:cs="Times New Roman"/>
          <w:noProof/>
          <w:sz w:val="24"/>
          <w:szCs w:val="24"/>
          <w:lang w:val="sq-AL"/>
        </w:rPr>
        <w:t>202</w:t>
      </w:r>
      <w:r w:rsidR="00834F21" w:rsidRPr="00641640">
        <w:rPr>
          <w:rFonts w:ascii="Times New Roman" w:hAnsi="Times New Roman" w:cs="Times New Roman"/>
          <w:noProof/>
          <w:sz w:val="24"/>
          <w:szCs w:val="24"/>
          <w:lang w:val="sq-AL"/>
        </w:rPr>
        <w:t>5</w:t>
      </w:r>
      <w:r w:rsidR="000F579C" w:rsidRPr="00641640">
        <w:rPr>
          <w:rFonts w:ascii="Times New Roman" w:hAnsi="Times New Roman" w:cs="Times New Roman"/>
          <w:noProof/>
          <w:sz w:val="24"/>
          <w:szCs w:val="24"/>
          <w:lang w:val="sq-AL"/>
        </w:rPr>
        <w:t>-</w:t>
      </w:r>
      <w:r w:rsidR="005D68A7" w:rsidRPr="00641640">
        <w:rPr>
          <w:rFonts w:ascii="Times New Roman" w:hAnsi="Times New Roman" w:cs="Times New Roman"/>
          <w:noProof/>
          <w:sz w:val="24"/>
          <w:szCs w:val="24"/>
          <w:lang w:val="sq-AL"/>
        </w:rPr>
        <w:t>2030 është plotësisht e harmonizuar me Agjendën 2030 dhe Objektivat e Zhvillimit të Q</w:t>
      </w:r>
      <w:r w:rsidR="00834F21" w:rsidRPr="00641640">
        <w:rPr>
          <w:rFonts w:ascii="Times New Roman" w:hAnsi="Times New Roman" w:cs="Times New Roman"/>
          <w:noProof/>
          <w:sz w:val="24"/>
          <w:szCs w:val="24"/>
          <w:lang w:val="sq-AL"/>
        </w:rPr>
        <w:t>e</w:t>
      </w:r>
      <w:r w:rsidR="005D68A7" w:rsidRPr="00641640">
        <w:rPr>
          <w:rFonts w:ascii="Times New Roman" w:hAnsi="Times New Roman" w:cs="Times New Roman"/>
          <w:noProof/>
          <w:sz w:val="24"/>
          <w:szCs w:val="24"/>
          <w:lang w:val="sq-AL"/>
        </w:rPr>
        <w:t>ndrueshëm</w:t>
      </w:r>
      <w:r w:rsidR="004E668F" w:rsidRPr="00641640">
        <w:rPr>
          <w:rFonts w:ascii="Times New Roman" w:hAnsi="Times New Roman" w:cs="Times New Roman"/>
          <w:noProof/>
          <w:sz w:val="24"/>
          <w:szCs w:val="24"/>
          <w:lang w:val="sq-AL"/>
        </w:rPr>
        <w:t>, duke kontribuar drejtp</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rdrejt</w:t>
      </w:r>
      <w:r w:rsidR="00834F21"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 xml:space="preserve"> n</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 xml:space="preserve"> arritjen e q</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llimeve t</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 xml:space="preserve"> saj, si </w:t>
      </w:r>
      <w:r w:rsidR="005D68A7" w:rsidRPr="00641640">
        <w:rPr>
          <w:rFonts w:ascii="Times New Roman" w:hAnsi="Times New Roman" w:cs="Times New Roman"/>
          <w:noProof/>
          <w:sz w:val="24"/>
          <w:szCs w:val="24"/>
          <w:lang w:val="sq-AL"/>
        </w:rPr>
        <w:t>forcimi</w:t>
      </w:r>
      <w:r w:rsidR="004E668F" w:rsidRPr="00641640">
        <w:rPr>
          <w:rFonts w:ascii="Times New Roman" w:hAnsi="Times New Roman" w:cs="Times New Roman"/>
          <w:noProof/>
          <w:sz w:val="24"/>
          <w:szCs w:val="24"/>
          <w:lang w:val="sq-AL"/>
        </w:rPr>
        <w:t xml:space="preserve"> i</w:t>
      </w:r>
      <w:r w:rsidR="005D68A7" w:rsidRPr="00641640">
        <w:rPr>
          <w:rFonts w:ascii="Times New Roman" w:hAnsi="Times New Roman" w:cs="Times New Roman"/>
          <w:noProof/>
          <w:sz w:val="24"/>
          <w:szCs w:val="24"/>
          <w:lang w:val="sq-AL"/>
        </w:rPr>
        <w:t xml:space="preserve"> besimit të publikut në sistemin demokratik, </w:t>
      </w:r>
      <w:r w:rsidR="004E668F"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rmir</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simin n</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 xml:space="preserve"> m</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nyr</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 xml:space="preserve"> matshme t</w:t>
      </w:r>
      <w:r w:rsidR="005D68A7" w:rsidRPr="00641640">
        <w:rPr>
          <w:rFonts w:ascii="Times New Roman" w:hAnsi="Times New Roman" w:cs="Times New Roman"/>
          <w:noProof/>
          <w:sz w:val="24"/>
          <w:szCs w:val="24"/>
          <w:lang w:val="sq-AL"/>
        </w:rPr>
        <w:t>ë performancës së administratës publike dhe</w:t>
      </w:r>
      <w:r w:rsidR="004E668F" w:rsidRPr="00641640">
        <w:rPr>
          <w:rFonts w:ascii="Times New Roman" w:hAnsi="Times New Roman" w:cs="Times New Roman"/>
          <w:noProof/>
          <w:sz w:val="24"/>
          <w:szCs w:val="24"/>
          <w:lang w:val="sq-AL"/>
        </w:rPr>
        <w:t xml:space="preserve"> rritjen e </w:t>
      </w:r>
      <w:r w:rsidR="005D68A7" w:rsidRPr="00641640">
        <w:rPr>
          <w:rFonts w:ascii="Times New Roman" w:hAnsi="Times New Roman" w:cs="Times New Roman"/>
          <w:noProof/>
          <w:sz w:val="24"/>
          <w:szCs w:val="24"/>
          <w:lang w:val="sq-AL"/>
        </w:rPr>
        <w:t>pjesëmarrje</w:t>
      </w:r>
      <w:r w:rsidR="004E668F" w:rsidRPr="00641640">
        <w:rPr>
          <w:rFonts w:ascii="Times New Roman" w:hAnsi="Times New Roman" w:cs="Times New Roman"/>
          <w:noProof/>
          <w:sz w:val="24"/>
          <w:szCs w:val="24"/>
          <w:lang w:val="sq-AL"/>
        </w:rPr>
        <w:t>s</w:t>
      </w:r>
      <w:r w:rsidR="005D68A7" w:rsidRPr="00641640">
        <w:rPr>
          <w:rFonts w:ascii="Times New Roman" w:hAnsi="Times New Roman" w:cs="Times New Roman"/>
          <w:noProof/>
          <w:sz w:val="24"/>
          <w:szCs w:val="24"/>
          <w:lang w:val="sq-AL"/>
        </w:rPr>
        <w:t xml:space="preserve"> </w:t>
      </w:r>
      <w:r w:rsidR="004E668F" w:rsidRPr="00641640">
        <w:rPr>
          <w:rFonts w:ascii="Times New Roman" w:hAnsi="Times New Roman" w:cs="Times New Roman"/>
          <w:noProof/>
          <w:sz w:val="24"/>
          <w:szCs w:val="24"/>
          <w:lang w:val="sq-AL"/>
        </w:rPr>
        <w:t>s</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 xml:space="preserve"> qytetar</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ve dhe grupeve t</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 xml:space="preserve"> interesit </w:t>
      </w:r>
      <w:r w:rsidR="005D68A7" w:rsidRPr="00641640">
        <w:rPr>
          <w:rFonts w:ascii="Times New Roman" w:hAnsi="Times New Roman" w:cs="Times New Roman"/>
          <w:noProof/>
          <w:sz w:val="24"/>
          <w:szCs w:val="24"/>
          <w:lang w:val="sq-AL"/>
        </w:rPr>
        <w:t>në vendimmarrje</w:t>
      </w:r>
      <w:r w:rsidR="004E668F" w:rsidRPr="00641640">
        <w:rPr>
          <w:rFonts w:ascii="Times New Roman" w:hAnsi="Times New Roman" w:cs="Times New Roman"/>
          <w:noProof/>
          <w:sz w:val="24"/>
          <w:szCs w:val="24"/>
          <w:lang w:val="sq-AL"/>
        </w:rPr>
        <w:t>.</w:t>
      </w:r>
      <w:r w:rsidR="006C726C" w:rsidRPr="00641640">
        <w:rPr>
          <w:rFonts w:ascii="Times New Roman" w:hAnsi="Times New Roman" w:cs="Times New Roman"/>
          <w:noProof/>
          <w:sz w:val="24"/>
          <w:szCs w:val="24"/>
          <w:lang w:val="sq-AL"/>
        </w:rPr>
        <w:t xml:space="preserve"> </w:t>
      </w:r>
      <w:r w:rsidR="004E668F" w:rsidRPr="00641640">
        <w:rPr>
          <w:rFonts w:ascii="Times New Roman" w:hAnsi="Times New Roman" w:cs="Times New Roman"/>
          <w:noProof/>
          <w:sz w:val="24"/>
          <w:szCs w:val="24"/>
          <w:lang w:val="sq-AL"/>
        </w:rPr>
        <w:t xml:space="preserve">Specifikisht, </w:t>
      </w:r>
      <w:r w:rsidR="005D68A7" w:rsidRPr="00641640">
        <w:rPr>
          <w:rFonts w:ascii="Times New Roman" w:hAnsi="Times New Roman" w:cs="Times New Roman"/>
          <w:noProof/>
          <w:sz w:val="24"/>
          <w:szCs w:val="24"/>
          <w:lang w:val="sq-AL"/>
        </w:rPr>
        <w:t xml:space="preserve">Strategjia </w:t>
      </w:r>
      <w:r w:rsidR="000F579C" w:rsidRPr="00641640">
        <w:rPr>
          <w:rFonts w:ascii="Times New Roman" w:hAnsi="Times New Roman" w:cs="Times New Roman"/>
          <w:noProof/>
          <w:sz w:val="24"/>
          <w:szCs w:val="24"/>
          <w:lang w:val="sq-AL"/>
        </w:rPr>
        <w:t xml:space="preserve">Ndërsektoriale </w:t>
      </w:r>
      <w:r w:rsidR="005D68A7" w:rsidRPr="00641640">
        <w:rPr>
          <w:rFonts w:ascii="Times New Roman" w:hAnsi="Times New Roman" w:cs="Times New Roman"/>
          <w:noProof/>
          <w:sz w:val="24"/>
          <w:szCs w:val="24"/>
          <w:lang w:val="sq-AL"/>
        </w:rPr>
        <w:t xml:space="preserve">e RAP </w:t>
      </w:r>
      <w:r w:rsidR="004E668F" w:rsidRPr="00641640">
        <w:rPr>
          <w:rFonts w:ascii="Times New Roman" w:hAnsi="Times New Roman" w:cs="Times New Roman"/>
          <w:noProof/>
          <w:sz w:val="24"/>
          <w:szCs w:val="24"/>
          <w:lang w:val="sq-AL"/>
        </w:rPr>
        <w:t>mb</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 xml:space="preserve">shtet </w:t>
      </w:r>
      <w:r w:rsidR="005D68A7" w:rsidRPr="00641640">
        <w:rPr>
          <w:rFonts w:ascii="Times New Roman" w:hAnsi="Times New Roman" w:cs="Times New Roman"/>
          <w:noProof/>
          <w:sz w:val="24"/>
          <w:szCs w:val="24"/>
          <w:lang w:val="sq-AL"/>
        </w:rPr>
        <w:t xml:space="preserve">arritjen e </w:t>
      </w:r>
      <w:r w:rsidR="004E668F" w:rsidRPr="00641640">
        <w:rPr>
          <w:rFonts w:ascii="Times New Roman" w:hAnsi="Times New Roman" w:cs="Times New Roman"/>
          <w:noProof/>
          <w:sz w:val="24"/>
          <w:szCs w:val="24"/>
          <w:lang w:val="sq-AL"/>
        </w:rPr>
        <w:t>O</w:t>
      </w:r>
      <w:r w:rsidR="005D68A7" w:rsidRPr="00641640">
        <w:rPr>
          <w:rFonts w:ascii="Times New Roman" w:hAnsi="Times New Roman" w:cs="Times New Roman"/>
          <w:noProof/>
          <w:sz w:val="24"/>
          <w:szCs w:val="24"/>
          <w:lang w:val="sq-AL"/>
        </w:rPr>
        <w:t>bjektiv</w:t>
      </w:r>
      <w:r w:rsidR="004E668F" w:rsidRPr="00641640">
        <w:rPr>
          <w:rFonts w:ascii="Times New Roman" w:hAnsi="Times New Roman" w:cs="Times New Roman"/>
          <w:noProof/>
          <w:sz w:val="24"/>
          <w:szCs w:val="24"/>
          <w:lang w:val="sq-AL"/>
        </w:rPr>
        <w:t>it</w:t>
      </w:r>
      <w:r w:rsidR="005D68A7" w:rsidRPr="00641640">
        <w:rPr>
          <w:rFonts w:ascii="Times New Roman" w:hAnsi="Times New Roman" w:cs="Times New Roman"/>
          <w:noProof/>
          <w:sz w:val="24"/>
          <w:szCs w:val="24"/>
          <w:lang w:val="sq-AL"/>
        </w:rPr>
        <w:t xml:space="preserve"> 8 – </w:t>
      </w:r>
      <w:r w:rsidR="005D68A7" w:rsidRPr="00641640">
        <w:rPr>
          <w:rFonts w:ascii="Times New Roman" w:hAnsi="Times New Roman" w:cs="Times New Roman"/>
          <w:i/>
          <w:noProof/>
          <w:sz w:val="24"/>
          <w:szCs w:val="24"/>
          <w:lang w:val="sq-AL"/>
        </w:rPr>
        <w:t>Punë e denjë dhe rritje ekonomike</w:t>
      </w:r>
      <w:r w:rsidR="001C52DF">
        <w:rPr>
          <w:rFonts w:ascii="Times New Roman" w:hAnsi="Times New Roman" w:cs="Times New Roman"/>
          <w:noProof/>
          <w:sz w:val="24"/>
          <w:szCs w:val="24"/>
          <w:lang w:val="sq-AL"/>
        </w:rPr>
        <w:t>,</w:t>
      </w:r>
      <w:r w:rsidR="005D68A7" w:rsidRPr="00641640">
        <w:rPr>
          <w:rFonts w:ascii="Times New Roman" w:hAnsi="Times New Roman" w:cs="Times New Roman"/>
          <w:noProof/>
          <w:sz w:val="24"/>
          <w:szCs w:val="24"/>
          <w:lang w:val="sq-AL"/>
        </w:rPr>
        <w:t xml:space="preserve"> </w:t>
      </w:r>
      <w:r w:rsidR="000F579C" w:rsidRPr="00641640">
        <w:rPr>
          <w:rFonts w:ascii="Times New Roman" w:hAnsi="Times New Roman" w:cs="Times New Roman"/>
          <w:noProof/>
          <w:sz w:val="24"/>
          <w:szCs w:val="24"/>
          <w:lang w:val="sq-AL"/>
        </w:rPr>
        <w:t xml:space="preserve">Objektivit </w:t>
      </w:r>
      <w:r w:rsidR="005D68A7" w:rsidRPr="00641640">
        <w:rPr>
          <w:rFonts w:ascii="Times New Roman" w:hAnsi="Times New Roman" w:cs="Times New Roman"/>
          <w:noProof/>
          <w:sz w:val="24"/>
          <w:szCs w:val="24"/>
          <w:lang w:val="sq-AL"/>
        </w:rPr>
        <w:t xml:space="preserve">11 – </w:t>
      </w:r>
      <w:r w:rsidR="005D68A7" w:rsidRPr="00641640">
        <w:rPr>
          <w:rFonts w:ascii="Times New Roman" w:hAnsi="Times New Roman" w:cs="Times New Roman"/>
          <w:i/>
          <w:noProof/>
          <w:sz w:val="24"/>
          <w:szCs w:val="24"/>
          <w:lang w:val="sq-AL"/>
        </w:rPr>
        <w:t>Qytete dhe komunitete të q</w:t>
      </w:r>
      <w:r w:rsidR="00F86C49" w:rsidRPr="00641640">
        <w:rPr>
          <w:rFonts w:ascii="Times New Roman" w:hAnsi="Times New Roman" w:cs="Times New Roman"/>
          <w:i/>
          <w:noProof/>
          <w:sz w:val="24"/>
          <w:szCs w:val="24"/>
          <w:lang w:val="sq-AL"/>
        </w:rPr>
        <w:t>e</w:t>
      </w:r>
      <w:r w:rsidR="005D68A7" w:rsidRPr="00641640">
        <w:rPr>
          <w:rFonts w:ascii="Times New Roman" w:hAnsi="Times New Roman" w:cs="Times New Roman"/>
          <w:i/>
          <w:noProof/>
          <w:sz w:val="24"/>
          <w:szCs w:val="24"/>
          <w:lang w:val="sq-AL"/>
        </w:rPr>
        <w:t>ndrueshme</w:t>
      </w:r>
      <w:r w:rsidR="001C52DF">
        <w:rPr>
          <w:rFonts w:ascii="Times New Roman" w:hAnsi="Times New Roman" w:cs="Times New Roman"/>
          <w:noProof/>
          <w:sz w:val="24"/>
          <w:szCs w:val="24"/>
          <w:lang w:val="sq-AL"/>
        </w:rPr>
        <w:t>,</w:t>
      </w:r>
      <w:r w:rsidR="00EF3A57">
        <w:rPr>
          <w:rFonts w:ascii="Times New Roman" w:hAnsi="Times New Roman" w:cs="Times New Roman"/>
          <w:noProof/>
          <w:sz w:val="24"/>
          <w:szCs w:val="24"/>
          <w:lang w:val="sq-AL"/>
        </w:rPr>
        <w:t xml:space="preserve"> Objektivit 12 - </w:t>
      </w:r>
      <w:r w:rsidR="001C52DF" w:rsidRPr="001C52DF">
        <w:rPr>
          <w:rFonts w:ascii="Times New Roman" w:hAnsi="Times New Roman" w:cs="Times New Roman"/>
          <w:i/>
          <w:iCs/>
          <w:noProof/>
          <w:sz w:val="24"/>
          <w:szCs w:val="24"/>
          <w:lang w:val="sq-AL"/>
        </w:rPr>
        <w:t>Konsum dhe prodhim i përgjegjshëm</w:t>
      </w:r>
      <w:r w:rsidR="001C52DF">
        <w:rPr>
          <w:rFonts w:ascii="Times New Roman" w:hAnsi="Times New Roman" w:cs="Times New Roman"/>
          <w:noProof/>
          <w:sz w:val="24"/>
          <w:szCs w:val="24"/>
          <w:lang w:val="sq-AL"/>
        </w:rPr>
        <w:t>,</w:t>
      </w:r>
      <w:r w:rsidR="005D68A7" w:rsidRPr="00641640">
        <w:rPr>
          <w:rFonts w:ascii="Times New Roman" w:hAnsi="Times New Roman" w:cs="Times New Roman"/>
          <w:noProof/>
          <w:sz w:val="24"/>
          <w:szCs w:val="24"/>
          <w:lang w:val="sq-AL"/>
        </w:rPr>
        <w:t xml:space="preserve"> </w:t>
      </w:r>
      <w:r w:rsidR="000F579C" w:rsidRPr="00641640">
        <w:rPr>
          <w:rFonts w:ascii="Times New Roman" w:hAnsi="Times New Roman" w:cs="Times New Roman"/>
          <w:noProof/>
          <w:sz w:val="24"/>
          <w:szCs w:val="24"/>
          <w:lang w:val="sq-AL"/>
        </w:rPr>
        <w:t xml:space="preserve">Objektivit </w:t>
      </w:r>
      <w:r w:rsidR="005D68A7" w:rsidRPr="00641640">
        <w:rPr>
          <w:rFonts w:ascii="Times New Roman" w:hAnsi="Times New Roman" w:cs="Times New Roman"/>
          <w:noProof/>
          <w:sz w:val="24"/>
          <w:szCs w:val="24"/>
          <w:lang w:val="sq-AL"/>
        </w:rPr>
        <w:t xml:space="preserve">16 – </w:t>
      </w:r>
      <w:r w:rsidR="005D68A7" w:rsidRPr="00641640">
        <w:rPr>
          <w:rFonts w:ascii="Times New Roman" w:hAnsi="Times New Roman" w:cs="Times New Roman"/>
          <w:i/>
          <w:noProof/>
          <w:sz w:val="24"/>
          <w:szCs w:val="24"/>
          <w:lang w:val="sq-AL"/>
        </w:rPr>
        <w:t>Paqe, drejtësi dhe institucione të forta</w:t>
      </w:r>
      <w:r w:rsidR="00EB7DDD" w:rsidRPr="00641640">
        <w:rPr>
          <w:rFonts w:ascii="Times New Roman" w:hAnsi="Times New Roman" w:cs="Times New Roman"/>
          <w:i/>
          <w:noProof/>
          <w:sz w:val="24"/>
          <w:szCs w:val="24"/>
          <w:lang w:val="sq-AL"/>
        </w:rPr>
        <w:t xml:space="preserve"> (</w:t>
      </w:r>
      <w:r w:rsidR="00EB7DDD" w:rsidRPr="00641640">
        <w:rPr>
          <w:rFonts w:ascii="Times New Roman" w:hAnsi="Times New Roman" w:cs="Times New Roman"/>
          <w:noProof/>
          <w:sz w:val="24"/>
          <w:szCs w:val="24"/>
          <w:lang w:val="sq-AL"/>
        </w:rPr>
        <w:t>veçan</w:t>
      </w:r>
      <w:r w:rsidR="00064AC5" w:rsidRPr="00641640">
        <w:rPr>
          <w:rFonts w:ascii="Times New Roman" w:hAnsi="Times New Roman" w:cs="Times New Roman"/>
          <w:noProof/>
          <w:sz w:val="24"/>
          <w:szCs w:val="24"/>
          <w:lang w:val="sq-AL"/>
        </w:rPr>
        <w:t>ë</w:t>
      </w:r>
      <w:r w:rsidR="00EB7DDD" w:rsidRPr="00641640">
        <w:rPr>
          <w:rFonts w:ascii="Times New Roman" w:hAnsi="Times New Roman" w:cs="Times New Roman"/>
          <w:noProof/>
          <w:sz w:val="24"/>
          <w:szCs w:val="24"/>
          <w:lang w:val="sq-AL"/>
        </w:rPr>
        <w:t xml:space="preserve">risht Treguesit 16.6 </w:t>
      </w:r>
      <w:r w:rsidR="00EB7DDD" w:rsidRPr="00641640">
        <w:rPr>
          <w:rFonts w:ascii="Times New Roman" w:hAnsi="Times New Roman" w:cs="Times New Roman"/>
          <w:i/>
          <w:noProof/>
          <w:sz w:val="24"/>
          <w:szCs w:val="24"/>
          <w:lang w:val="sq-AL"/>
        </w:rPr>
        <w:t>“Nd</w:t>
      </w:r>
      <w:r w:rsidR="00064AC5" w:rsidRPr="00641640">
        <w:rPr>
          <w:rFonts w:ascii="Times New Roman" w:hAnsi="Times New Roman" w:cs="Times New Roman"/>
          <w:i/>
          <w:noProof/>
          <w:sz w:val="24"/>
          <w:szCs w:val="24"/>
          <w:lang w:val="sq-AL"/>
        </w:rPr>
        <w:t>ë</w:t>
      </w:r>
      <w:r w:rsidR="00EB7DDD" w:rsidRPr="00641640">
        <w:rPr>
          <w:rFonts w:ascii="Times New Roman" w:hAnsi="Times New Roman" w:cs="Times New Roman"/>
          <w:i/>
          <w:noProof/>
          <w:sz w:val="24"/>
          <w:szCs w:val="24"/>
          <w:lang w:val="sq-AL"/>
        </w:rPr>
        <w:t>rtimi i institucioneve efikase, llogaridh</w:t>
      </w:r>
      <w:r w:rsidR="00064AC5" w:rsidRPr="00641640">
        <w:rPr>
          <w:rFonts w:ascii="Times New Roman" w:hAnsi="Times New Roman" w:cs="Times New Roman"/>
          <w:i/>
          <w:noProof/>
          <w:sz w:val="24"/>
          <w:szCs w:val="24"/>
          <w:lang w:val="sq-AL"/>
        </w:rPr>
        <w:t>ë</w:t>
      </w:r>
      <w:r w:rsidR="00EB7DDD" w:rsidRPr="00641640">
        <w:rPr>
          <w:rFonts w:ascii="Times New Roman" w:hAnsi="Times New Roman" w:cs="Times New Roman"/>
          <w:i/>
          <w:noProof/>
          <w:sz w:val="24"/>
          <w:szCs w:val="24"/>
          <w:lang w:val="sq-AL"/>
        </w:rPr>
        <w:t>n</w:t>
      </w:r>
      <w:r w:rsidR="00064AC5" w:rsidRPr="00641640">
        <w:rPr>
          <w:rFonts w:ascii="Times New Roman" w:hAnsi="Times New Roman" w:cs="Times New Roman"/>
          <w:i/>
          <w:noProof/>
          <w:sz w:val="24"/>
          <w:szCs w:val="24"/>
          <w:lang w:val="sq-AL"/>
        </w:rPr>
        <w:t>ë</w:t>
      </w:r>
      <w:r w:rsidR="00EB7DDD" w:rsidRPr="00641640">
        <w:rPr>
          <w:rFonts w:ascii="Times New Roman" w:hAnsi="Times New Roman" w:cs="Times New Roman"/>
          <w:i/>
          <w:noProof/>
          <w:sz w:val="24"/>
          <w:szCs w:val="24"/>
          <w:lang w:val="sq-AL"/>
        </w:rPr>
        <w:t>se dhe transparente n</w:t>
      </w:r>
      <w:r w:rsidR="00064AC5" w:rsidRPr="00641640">
        <w:rPr>
          <w:rFonts w:ascii="Times New Roman" w:hAnsi="Times New Roman" w:cs="Times New Roman"/>
          <w:i/>
          <w:noProof/>
          <w:sz w:val="24"/>
          <w:szCs w:val="24"/>
          <w:lang w:val="sq-AL"/>
        </w:rPr>
        <w:t>ë</w:t>
      </w:r>
      <w:r w:rsidR="00EB7DDD" w:rsidRPr="00641640">
        <w:rPr>
          <w:rFonts w:ascii="Times New Roman" w:hAnsi="Times New Roman" w:cs="Times New Roman"/>
          <w:i/>
          <w:noProof/>
          <w:sz w:val="24"/>
          <w:szCs w:val="24"/>
          <w:lang w:val="sq-AL"/>
        </w:rPr>
        <w:t xml:space="preserve"> t</w:t>
      </w:r>
      <w:r w:rsidR="00064AC5" w:rsidRPr="00641640">
        <w:rPr>
          <w:rFonts w:ascii="Times New Roman" w:hAnsi="Times New Roman" w:cs="Times New Roman"/>
          <w:i/>
          <w:noProof/>
          <w:sz w:val="24"/>
          <w:szCs w:val="24"/>
          <w:lang w:val="sq-AL"/>
        </w:rPr>
        <w:t>ë</w:t>
      </w:r>
      <w:r w:rsidR="00EB7DDD" w:rsidRPr="00641640">
        <w:rPr>
          <w:rFonts w:ascii="Times New Roman" w:hAnsi="Times New Roman" w:cs="Times New Roman"/>
          <w:i/>
          <w:noProof/>
          <w:sz w:val="24"/>
          <w:szCs w:val="24"/>
          <w:lang w:val="sq-AL"/>
        </w:rPr>
        <w:t xml:space="preserve"> gjitha nivelet e qeverisjes</w:t>
      </w:r>
      <w:r w:rsidR="00EB7DDD" w:rsidRPr="00641640">
        <w:rPr>
          <w:rFonts w:ascii="Times New Roman" w:hAnsi="Times New Roman" w:cs="Times New Roman"/>
          <w:noProof/>
          <w:sz w:val="24"/>
          <w:szCs w:val="24"/>
          <w:lang w:val="sq-AL"/>
        </w:rPr>
        <w:t xml:space="preserve">) </w:t>
      </w:r>
      <w:r w:rsidR="005D68A7" w:rsidRPr="00641640">
        <w:rPr>
          <w:rFonts w:ascii="Times New Roman" w:hAnsi="Times New Roman" w:cs="Times New Roman"/>
          <w:noProof/>
          <w:sz w:val="24"/>
          <w:szCs w:val="24"/>
          <w:lang w:val="sq-AL"/>
        </w:rPr>
        <w:t xml:space="preserve">dhe </w:t>
      </w:r>
      <w:r w:rsidR="000F579C" w:rsidRPr="00641640">
        <w:rPr>
          <w:rFonts w:ascii="Times New Roman" w:hAnsi="Times New Roman" w:cs="Times New Roman"/>
          <w:noProof/>
          <w:sz w:val="24"/>
          <w:szCs w:val="24"/>
          <w:lang w:val="sq-AL"/>
        </w:rPr>
        <w:t xml:space="preserve">Objektivit </w:t>
      </w:r>
      <w:r w:rsidR="005D68A7" w:rsidRPr="00641640">
        <w:rPr>
          <w:rFonts w:ascii="Times New Roman" w:hAnsi="Times New Roman" w:cs="Times New Roman"/>
          <w:noProof/>
          <w:sz w:val="24"/>
          <w:szCs w:val="24"/>
          <w:lang w:val="sq-AL"/>
        </w:rPr>
        <w:t xml:space="preserve">17 </w:t>
      </w:r>
      <w:r w:rsidR="005D68A7" w:rsidRPr="00641640">
        <w:rPr>
          <w:rFonts w:ascii="Times New Roman" w:hAnsi="Times New Roman" w:cs="Times New Roman"/>
          <w:i/>
          <w:noProof/>
          <w:sz w:val="24"/>
          <w:szCs w:val="24"/>
          <w:lang w:val="sq-AL"/>
        </w:rPr>
        <w:t>– Partneritet për OZhQ</w:t>
      </w:r>
      <w:r w:rsidR="004E668F"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w:t>
      </w:r>
      <w:r w:rsidR="00EB7DDD" w:rsidRPr="00641640">
        <w:rPr>
          <w:rFonts w:ascii="Times New Roman" w:hAnsi="Times New Roman" w:cs="Times New Roman"/>
          <w:noProof/>
          <w:sz w:val="24"/>
          <w:szCs w:val="24"/>
          <w:lang w:val="sq-AL"/>
        </w:rPr>
        <w:t xml:space="preserve"> </w:t>
      </w:r>
    </w:p>
    <w:p w14:paraId="43412B69" w14:textId="0540B1B9" w:rsidR="00EB7DDD" w:rsidRPr="00641640" w:rsidRDefault="00FD1BAC"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Strategjia </w:t>
      </w:r>
      <w:r w:rsidR="006C0454" w:rsidRPr="00641640">
        <w:rPr>
          <w:rFonts w:ascii="Times New Roman" w:hAnsi="Times New Roman" w:cs="Times New Roman"/>
          <w:noProof/>
          <w:sz w:val="24"/>
          <w:szCs w:val="24"/>
          <w:lang w:val="sq-AL"/>
        </w:rPr>
        <w:t>Ndërsektoriale e RAP</w:t>
      </w:r>
      <w:r w:rsidRPr="00641640">
        <w:rPr>
          <w:rFonts w:ascii="Times New Roman" w:hAnsi="Times New Roman" w:cs="Times New Roman"/>
          <w:noProof/>
          <w:sz w:val="24"/>
          <w:szCs w:val="24"/>
          <w:lang w:val="sq-AL"/>
        </w:rPr>
        <w:t xml:space="preserve"> kontribuon </w:t>
      </w:r>
      <w:r w:rsidR="004E668F" w:rsidRPr="00641640">
        <w:rPr>
          <w:rFonts w:ascii="Times New Roman" w:hAnsi="Times New Roman" w:cs="Times New Roman"/>
          <w:noProof/>
          <w:sz w:val="24"/>
          <w:szCs w:val="24"/>
          <w:lang w:val="sq-AL"/>
        </w:rPr>
        <w:t>veçan</w:t>
      </w:r>
      <w:r w:rsidR="00064AC5" w:rsidRPr="00641640">
        <w:rPr>
          <w:rFonts w:ascii="Times New Roman" w:hAnsi="Times New Roman" w:cs="Times New Roman"/>
          <w:noProof/>
          <w:sz w:val="24"/>
          <w:szCs w:val="24"/>
          <w:lang w:val="sq-AL"/>
        </w:rPr>
        <w:t>ë</w:t>
      </w:r>
      <w:r w:rsidR="004E668F" w:rsidRPr="00641640">
        <w:rPr>
          <w:rFonts w:ascii="Times New Roman" w:hAnsi="Times New Roman" w:cs="Times New Roman"/>
          <w:noProof/>
          <w:sz w:val="24"/>
          <w:szCs w:val="24"/>
          <w:lang w:val="sq-AL"/>
        </w:rPr>
        <w:t>risht n</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000610FB" w:rsidRPr="00641640">
        <w:rPr>
          <w:rFonts w:ascii="Times New Roman" w:hAnsi="Times New Roman" w:cs="Times New Roman"/>
          <w:noProof/>
          <w:sz w:val="24"/>
          <w:szCs w:val="24"/>
          <w:lang w:val="sq-AL"/>
        </w:rPr>
        <w:t xml:space="preserve">arritjen e </w:t>
      </w:r>
      <w:r w:rsidRPr="00641640">
        <w:rPr>
          <w:rFonts w:ascii="Times New Roman" w:hAnsi="Times New Roman" w:cs="Times New Roman"/>
          <w:noProof/>
          <w:sz w:val="24"/>
          <w:szCs w:val="24"/>
          <w:lang w:val="sq-AL"/>
        </w:rPr>
        <w:t>OZhQ 1</w:t>
      </w:r>
      <w:r w:rsidR="006C0454" w:rsidRPr="00641640">
        <w:rPr>
          <w:rFonts w:ascii="Times New Roman" w:hAnsi="Times New Roman" w:cs="Times New Roman"/>
          <w:noProof/>
          <w:sz w:val="24"/>
          <w:szCs w:val="24"/>
          <w:lang w:val="sq-AL"/>
        </w:rPr>
        <w:t xml:space="preserve">6 – </w:t>
      </w:r>
      <w:r w:rsidR="006C0454" w:rsidRPr="00641640">
        <w:rPr>
          <w:rFonts w:ascii="Times New Roman" w:hAnsi="Times New Roman" w:cs="Times New Roman"/>
          <w:i/>
          <w:noProof/>
          <w:sz w:val="24"/>
          <w:szCs w:val="24"/>
          <w:lang w:val="sq-AL"/>
        </w:rPr>
        <w:t>Paqe</w:t>
      </w:r>
      <w:r w:rsidR="004E668F" w:rsidRPr="00641640">
        <w:rPr>
          <w:rFonts w:ascii="Times New Roman" w:hAnsi="Times New Roman" w:cs="Times New Roman"/>
          <w:i/>
          <w:noProof/>
          <w:sz w:val="24"/>
          <w:szCs w:val="24"/>
          <w:lang w:val="sq-AL"/>
        </w:rPr>
        <w:t>,</w:t>
      </w:r>
      <w:r w:rsidR="006C0454" w:rsidRPr="00641640">
        <w:rPr>
          <w:rFonts w:ascii="Times New Roman" w:hAnsi="Times New Roman" w:cs="Times New Roman"/>
          <w:i/>
          <w:noProof/>
          <w:sz w:val="24"/>
          <w:szCs w:val="24"/>
          <w:lang w:val="sq-AL"/>
        </w:rPr>
        <w:t xml:space="preserve"> drejtësi</w:t>
      </w:r>
      <w:r w:rsidR="004E668F" w:rsidRPr="00641640">
        <w:rPr>
          <w:rFonts w:ascii="Times New Roman" w:hAnsi="Times New Roman" w:cs="Times New Roman"/>
          <w:i/>
          <w:noProof/>
          <w:sz w:val="24"/>
          <w:szCs w:val="24"/>
          <w:lang w:val="sq-AL"/>
        </w:rPr>
        <w:t xml:space="preserve"> dhe</w:t>
      </w:r>
      <w:r w:rsidR="006C0454" w:rsidRPr="00641640">
        <w:rPr>
          <w:rFonts w:ascii="Times New Roman" w:hAnsi="Times New Roman" w:cs="Times New Roman"/>
          <w:i/>
          <w:noProof/>
          <w:sz w:val="24"/>
          <w:szCs w:val="24"/>
          <w:lang w:val="sq-AL"/>
        </w:rPr>
        <w:t xml:space="preserve"> institucione të forta</w:t>
      </w:r>
      <w:r w:rsidR="00EB7DDD" w:rsidRPr="00641640">
        <w:rPr>
          <w:rFonts w:ascii="Times New Roman" w:hAnsi="Times New Roman" w:cs="Times New Roman"/>
          <w:noProof/>
          <w:sz w:val="24"/>
          <w:szCs w:val="24"/>
          <w:lang w:val="sq-AL"/>
        </w:rPr>
        <w:t>, i cili targeton p</w:t>
      </w:r>
      <w:r w:rsidR="006C0454" w:rsidRPr="00641640">
        <w:rPr>
          <w:rFonts w:ascii="Times New Roman" w:hAnsi="Times New Roman" w:cs="Times New Roman"/>
          <w:noProof/>
          <w:sz w:val="24"/>
          <w:szCs w:val="24"/>
          <w:lang w:val="sq-AL"/>
        </w:rPr>
        <w:t>romovimi</w:t>
      </w:r>
      <w:r w:rsidR="00EB7DDD" w:rsidRPr="00641640">
        <w:rPr>
          <w:rFonts w:ascii="Times New Roman" w:hAnsi="Times New Roman" w:cs="Times New Roman"/>
          <w:noProof/>
          <w:sz w:val="24"/>
          <w:szCs w:val="24"/>
          <w:lang w:val="sq-AL"/>
        </w:rPr>
        <w:t>n e</w:t>
      </w:r>
      <w:r w:rsidR="006C0454" w:rsidRPr="00641640">
        <w:rPr>
          <w:rFonts w:ascii="Times New Roman" w:hAnsi="Times New Roman" w:cs="Times New Roman"/>
          <w:noProof/>
          <w:sz w:val="24"/>
          <w:szCs w:val="24"/>
          <w:lang w:val="sq-AL"/>
        </w:rPr>
        <w:t xml:space="preserve"> shoqërive paqësore dhe përfshirëse për zhvillim të q</w:t>
      </w:r>
      <w:r w:rsidR="00F86C49" w:rsidRPr="00641640">
        <w:rPr>
          <w:rFonts w:ascii="Times New Roman" w:hAnsi="Times New Roman" w:cs="Times New Roman"/>
          <w:noProof/>
          <w:sz w:val="24"/>
          <w:szCs w:val="24"/>
          <w:lang w:val="sq-AL"/>
        </w:rPr>
        <w:t>e</w:t>
      </w:r>
      <w:r w:rsidR="006C0454" w:rsidRPr="00641640">
        <w:rPr>
          <w:rFonts w:ascii="Times New Roman" w:hAnsi="Times New Roman" w:cs="Times New Roman"/>
          <w:noProof/>
          <w:sz w:val="24"/>
          <w:szCs w:val="24"/>
          <w:lang w:val="sq-AL"/>
        </w:rPr>
        <w:t>ndrueshëm, ofrim</w:t>
      </w:r>
      <w:r w:rsidR="009C7AF5" w:rsidRPr="00641640">
        <w:rPr>
          <w:rFonts w:ascii="Times New Roman" w:hAnsi="Times New Roman" w:cs="Times New Roman"/>
          <w:noProof/>
          <w:sz w:val="24"/>
          <w:szCs w:val="24"/>
          <w:lang w:val="sq-AL"/>
        </w:rPr>
        <w:t>i</w:t>
      </w:r>
      <w:r w:rsidR="00EB7DDD" w:rsidRPr="00641640">
        <w:rPr>
          <w:rFonts w:ascii="Times New Roman" w:hAnsi="Times New Roman" w:cs="Times New Roman"/>
          <w:noProof/>
          <w:sz w:val="24"/>
          <w:szCs w:val="24"/>
          <w:lang w:val="sq-AL"/>
        </w:rPr>
        <w:t>n</w:t>
      </w:r>
      <w:r w:rsidR="006C0454" w:rsidRPr="00641640">
        <w:rPr>
          <w:rFonts w:ascii="Times New Roman" w:hAnsi="Times New Roman" w:cs="Times New Roman"/>
          <w:noProof/>
          <w:sz w:val="24"/>
          <w:szCs w:val="24"/>
          <w:lang w:val="sq-AL"/>
        </w:rPr>
        <w:t xml:space="preserve"> </w:t>
      </w:r>
      <w:r w:rsidR="00EB7DDD" w:rsidRPr="00641640">
        <w:rPr>
          <w:rFonts w:ascii="Times New Roman" w:hAnsi="Times New Roman" w:cs="Times New Roman"/>
          <w:noProof/>
          <w:sz w:val="24"/>
          <w:szCs w:val="24"/>
          <w:lang w:val="sq-AL"/>
        </w:rPr>
        <w:t>e</w:t>
      </w:r>
      <w:r w:rsidR="006C0454" w:rsidRPr="00641640">
        <w:rPr>
          <w:rFonts w:ascii="Times New Roman" w:hAnsi="Times New Roman" w:cs="Times New Roman"/>
          <w:noProof/>
          <w:sz w:val="24"/>
          <w:szCs w:val="24"/>
          <w:lang w:val="sq-AL"/>
        </w:rPr>
        <w:t xml:space="preserve"> aksesit në drejtësi për të gjithë dhe ndërtimi</w:t>
      </w:r>
      <w:r w:rsidR="00EB7DDD" w:rsidRPr="00641640">
        <w:rPr>
          <w:rFonts w:ascii="Times New Roman" w:hAnsi="Times New Roman" w:cs="Times New Roman"/>
          <w:noProof/>
          <w:sz w:val="24"/>
          <w:szCs w:val="24"/>
          <w:lang w:val="sq-AL"/>
        </w:rPr>
        <w:t>n</w:t>
      </w:r>
      <w:r w:rsidR="006C0454" w:rsidRPr="00641640">
        <w:rPr>
          <w:rFonts w:ascii="Times New Roman" w:hAnsi="Times New Roman" w:cs="Times New Roman"/>
          <w:noProof/>
          <w:sz w:val="24"/>
          <w:szCs w:val="24"/>
          <w:lang w:val="sq-AL"/>
        </w:rPr>
        <w:t xml:space="preserve"> </w:t>
      </w:r>
      <w:r w:rsidR="00EB7DDD" w:rsidRPr="00641640">
        <w:rPr>
          <w:rFonts w:ascii="Times New Roman" w:hAnsi="Times New Roman" w:cs="Times New Roman"/>
          <w:noProof/>
          <w:sz w:val="24"/>
          <w:szCs w:val="24"/>
          <w:lang w:val="sq-AL"/>
        </w:rPr>
        <w:t>e</w:t>
      </w:r>
      <w:r w:rsidR="006C0454" w:rsidRPr="00641640">
        <w:rPr>
          <w:rFonts w:ascii="Times New Roman" w:hAnsi="Times New Roman" w:cs="Times New Roman"/>
          <w:noProof/>
          <w:sz w:val="24"/>
          <w:szCs w:val="24"/>
          <w:lang w:val="sq-AL"/>
        </w:rPr>
        <w:t xml:space="preserve"> institucioneve efektive, llogaridhënëse dhe gjithëpërfshirëse në të gjitha nivelet. Në ve</w:t>
      </w:r>
      <w:r w:rsidR="000610FB" w:rsidRPr="00641640">
        <w:rPr>
          <w:rFonts w:ascii="Times New Roman" w:hAnsi="Times New Roman" w:cs="Times New Roman"/>
          <w:noProof/>
          <w:sz w:val="24"/>
          <w:szCs w:val="24"/>
          <w:lang w:val="sq-AL"/>
        </w:rPr>
        <w:t>ç</w:t>
      </w:r>
      <w:r w:rsidR="006C0454" w:rsidRPr="00641640">
        <w:rPr>
          <w:rFonts w:ascii="Times New Roman" w:hAnsi="Times New Roman" w:cs="Times New Roman"/>
          <w:noProof/>
          <w:sz w:val="24"/>
          <w:szCs w:val="24"/>
          <w:lang w:val="sq-AL"/>
        </w:rPr>
        <w:t xml:space="preserve">anti, Strategjia Ndërsektoriale e RAP </w:t>
      </w:r>
      <w:r w:rsidR="00EB7DDD" w:rsidRPr="00641640">
        <w:rPr>
          <w:rFonts w:ascii="Times New Roman" w:hAnsi="Times New Roman" w:cs="Times New Roman"/>
          <w:noProof/>
          <w:sz w:val="24"/>
          <w:szCs w:val="24"/>
          <w:lang w:val="sq-AL"/>
        </w:rPr>
        <w:t>i adreson k</w:t>
      </w:r>
      <w:r w:rsidR="00064AC5" w:rsidRPr="00641640">
        <w:rPr>
          <w:rFonts w:ascii="Times New Roman" w:hAnsi="Times New Roman" w:cs="Times New Roman"/>
          <w:noProof/>
          <w:sz w:val="24"/>
          <w:szCs w:val="24"/>
          <w:lang w:val="sq-AL"/>
        </w:rPr>
        <w:t>ë</w:t>
      </w:r>
      <w:r w:rsidR="00EB7DDD" w:rsidRPr="00641640">
        <w:rPr>
          <w:rFonts w:ascii="Times New Roman" w:hAnsi="Times New Roman" w:cs="Times New Roman"/>
          <w:noProof/>
          <w:sz w:val="24"/>
          <w:szCs w:val="24"/>
          <w:lang w:val="sq-AL"/>
        </w:rPr>
        <w:t xml:space="preserve">to synime </w:t>
      </w:r>
      <w:r w:rsidR="00CA15E2"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CA15E2" w:rsidRPr="00641640">
        <w:rPr>
          <w:rFonts w:ascii="Times New Roman" w:hAnsi="Times New Roman" w:cs="Times New Roman"/>
          <w:noProof/>
          <w:sz w:val="24"/>
          <w:szCs w:val="24"/>
          <w:lang w:val="sq-AL"/>
        </w:rPr>
        <w:t xml:space="preserve"> Objektivit 16 </w:t>
      </w:r>
      <w:r w:rsidR="00EB7DDD" w:rsidRPr="00641640">
        <w:rPr>
          <w:rFonts w:ascii="Times New Roman" w:hAnsi="Times New Roman" w:cs="Times New Roman"/>
          <w:noProof/>
          <w:sz w:val="24"/>
          <w:szCs w:val="24"/>
          <w:lang w:val="sq-AL"/>
        </w:rPr>
        <w:t>duke mbështetur zhvillimin e institucioneve efektive, llogaridhënëse dhe transparente; sigurimin e vendimmarrjes reagues</w:t>
      </w:r>
      <w:r w:rsidR="00CA15E2" w:rsidRPr="00641640">
        <w:rPr>
          <w:rFonts w:ascii="Times New Roman" w:hAnsi="Times New Roman" w:cs="Times New Roman"/>
          <w:noProof/>
          <w:sz w:val="24"/>
          <w:szCs w:val="24"/>
          <w:lang w:val="sq-AL"/>
        </w:rPr>
        <w:t>e, përfshirëse dhe përfaqësuese</w:t>
      </w:r>
      <w:r w:rsidR="00EB7DDD" w:rsidRPr="00641640">
        <w:rPr>
          <w:rFonts w:ascii="Times New Roman" w:hAnsi="Times New Roman" w:cs="Times New Roman"/>
          <w:noProof/>
          <w:sz w:val="24"/>
          <w:szCs w:val="24"/>
          <w:lang w:val="sq-AL"/>
        </w:rPr>
        <w:t>; garantimin e aksesit të publikut në informacion dhe mbrojtjen e lirive themelore; forcimin e kapaciteteve të institucioneve kombëtare për parandalimin e dhunës dhe luftimin e terrorizmit e krimit; dhe promovimin e ligjeve dhe politikave jodiskriminuese për një zhvillim të q</w:t>
      </w:r>
      <w:r w:rsidR="00AB5C66" w:rsidRPr="00641640">
        <w:rPr>
          <w:rFonts w:ascii="Times New Roman" w:hAnsi="Times New Roman" w:cs="Times New Roman"/>
          <w:noProof/>
          <w:sz w:val="24"/>
          <w:szCs w:val="24"/>
          <w:lang w:val="sq-AL"/>
        </w:rPr>
        <w:t>e</w:t>
      </w:r>
      <w:r w:rsidR="00EB7DDD" w:rsidRPr="00641640">
        <w:rPr>
          <w:rFonts w:ascii="Times New Roman" w:hAnsi="Times New Roman" w:cs="Times New Roman"/>
          <w:noProof/>
          <w:sz w:val="24"/>
          <w:szCs w:val="24"/>
          <w:lang w:val="sq-AL"/>
        </w:rPr>
        <w:t>ndrueshëm.</w:t>
      </w:r>
      <w:r w:rsidR="00EB7DDD" w:rsidRPr="00641640">
        <w:rPr>
          <w:rStyle w:val="FootnoteReference"/>
          <w:rFonts w:ascii="Times New Roman" w:hAnsi="Times New Roman" w:cs="Times New Roman"/>
          <w:noProof/>
          <w:sz w:val="24"/>
          <w:szCs w:val="24"/>
          <w:lang w:val="sq-AL"/>
        </w:rPr>
        <w:footnoteReference w:id="24"/>
      </w:r>
    </w:p>
    <w:p w14:paraId="525399E6" w14:textId="6B6FF392" w:rsidR="0038118E" w:rsidRPr="00641640" w:rsidRDefault="00CA15E2" w:rsidP="003A395D">
      <w:pPr>
        <w:spacing w:line="276" w:lineRule="auto"/>
        <w:jc w:val="both"/>
        <w:rPr>
          <w:rFonts w:ascii="Times New Roman" w:hAnsi="Times New Roman" w:cs="Times New Roman"/>
          <w:noProof/>
          <w:sz w:val="24"/>
          <w:szCs w:val="24"/>
          <w:lang w:val="sq-AL"/>
        </w:rPr>
        <w:sectPr w:rsidR="0038118E" w:rsidRPr="00641640" w:rsidSect="00DB3F48">
          <w:pgSz w:w="12240" w:h="15840"/>
          <w:pgMar w:top="1440" w:right="1440" w:bottom="1440" w:left="1440" w:header="720" w:footer="720" w:gutter="0"/>
          <w:cols w:space="720"/>
          <w:docGrid w:linePitch="360"/>
        </w:sectPr>
      </w:pPr>
      <w:r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rputhja kohore e Strategjisë </w:t>
      </w:r>
      <w:r w:rsidR="000F579C" w:rsidRPr="00641640">
        <w:rPr>
          <w:rFonts w:ascii="Times New Roman" w:hAnsi="Times New Roman" w:cs="Times New Roman"/>
          <w:noProof/>
          <w:sz w:val="24"/>
          <w:szCs w:val="24"/>
          <w:lang w:val="sq-AL"/>
        </w:rPr>
        <w:t>s</w:t>
      </w:r>
      <w:r w:rsidRPr="00641640">
        <w:rPr>
          <w:rFonts w:ascii="Times New Roman" w:hAnsi="Times New Roman" w:cs="Times New Roman"/>
          <w:noProof/>
          <w:sz w:val="24"/>
          <w:szCs w:val="24"/>
          <w:lang w:val="sq-AL"/>
        </w:rPr>
        <w:t>ë RAP 202</w:t>
      </w:r>
      <w:r w:rsidR="00AB5C66" w:rsidRPr="00641640">
        <w:rPr>
          <w:rFonts w:ascii="Times New Roman" w:hAnsi="Times New Roman" w:cs="Times New Roman"/>
          <w:noProof/>
          <w:sz w:val="24"/>
          <w:szCs w:val="24"/>
          <w:lang w:val="sq-AL"/>
        </w:rPr>
        <w:t>5</w:t>
      </w:r>
      <w:r w:rsidRPr="00641640">
        <w:rPr>
          <w:rFonts w:ascii="Times New Roman" w:hAnsi="Times New Roman" w:cs="Times New Roman"/>
          <w:noProof/>
          <w:sz w:val="24"/>
          <w:szCs w:val="24"/>
          <w:lang w:val="sq-AL"/>
        </w:rPr>
        <w:t>-2030 dhe afatit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Agjendës 2030 leht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son bashkërendimin e veprimeve për arritjen e rezultateve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synuara dhe monitorimin e progresit n</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zbatimin e tyre.</w:t>
      </w:r>
    </w:p>
    <w:p w14:paraId="6F7A34CD" w14:textId="1E5FC494" w:rsidR="000576A2" w:rsidRPr="00641640" w:rsidRDefault="00EF4036" w:rsidP="003A395D">
      <w:pPr>
        <w:pStyle w:val="Heading1"/>
        <w:spacing w:line="276" w:lineRule="auto"/>
        <w:rPr>
          <w:rFonts w:ascii="Times New Roman" w:hAnsi="Times New Roman" w:cs="Times New Roman"/>
          <w:b/>
          <w:bCs/>
          <w:noProof/>
          <w:color w:val="auto"/>
          <w:sz w:val="28"/>
          <w:szCs w:val="28"/>
          <w:lang w:val="sq-AL"/>
        </w:rPr>
      </w:pPr>
      <w:bookmarkStart w:id="17" w:name="_Toc189510617"/>
      <w:r w:rsidRPr="00641640">
        <w:rPr>
          <w:rFonts w:ascii="Times New Roman" w:hAnsi="Times New Roman" w:cs="Times New Roman"/>
          <w:b/>
          <w:bCs/>
          <w:noProof/>
          <w:color w:val="auto"/>
          <w:sz w:val="28"/>
          <w:szCs w:val="28"/>
          <w:lang w:val="sq-AL"/>
        </w:rPr>
        <w:lastRenderedPageBreak/>
        <w:t>2</w:t>
      </w:r>
      <w:r w:rsidR="00B37B2E" w:rsidRPr="00641640">
        <w:rPr>
          <w:rFonts w:ascii="Times New Roman" w:hAnsi="Times New Roman" w:cs="Times New Roman"/>
          <w:b/>
          <w:bCs/>
          <w:noProof/>
          <w:color w:val="auto"/>
          <w:sz w:val="28"/>
          <w:szCs w:val="28"/>
          <w:lang w:val="sq-AL"/>
        </w:rPr>
        <w:t>.</w:t>
      </w:r>
      <w:r w:rsidR="005E34EA" w:rsidRPr="00641640">
        <w:rPr>
          <w:rFonts w:ascii="Times New Roman" w:hAnsi="Times New Roman" w:cs="Times New Roman"/>
          <w:b/>
          <w:bCs/>
          <w:noProof/>
          <w:color w:val="auto"/>
          <w:sz w:val="28"/>
          <w:szCs w:val="28"/>
          <w:lang w:val="sq-AL"/>
        </w:rPr>
        <w:t xml:space="preserve"> </w:t>
      </w:r>
      <w:r w:rsidR="00B37B2E" w:rsidRPr="00641640">
        <w:rPr>
          <w:rFonts w:ascii="Times New Roman" w:hAnsi="Times New Roman" w:cs="Times New Roman"/>
          <w:b/>
          <w:bCs/>
          <w:noProof/>
          <w:color w:val="auto"/>
          <w:sz w:val="28"/>
          <w:szCs w:val="28"/>
          <w:lang w:val="sq-AL"/>
        </w:rPr>
        <w:t>KONTEKSTI POLITIK DHE STRATEGJIK: ARRITJET DHE SFIDAT</w:t>
      </w:r>
      <w:bookmarkEnd w:id="17"/>
    </w:p>
    <w:p w14:paraId="24EED016" w14:textId="77777777" w:rsidR="00FC2B20" w:rsidRPr="00641640" w:rsidRDefault="00FC2B20" w:rsidP="003A395D">
      <w:pPr>
        <w:spacing w:after="0" w:line="276" w:lineRule="auto"/>
        <w:jc w:val="both"/>
        <w:rPr>
          <w:rFonts w:ascii="Times New Roman" w:hAnsi="Times New Roman" w:cs="Times New Roman"/>
          <w:noProof/>
          <w:sz w:val="24"/>
          <w:szCs w:val="24"/>
          <w:lang w:val="sq-AL"/>
        </w:rPr>
      </w:pPr>
    </w:p>
    <w:p w14:paraId="7055057F" w14:textId="17D4F692" w:rsidR="00D34359" w:rsidRPr="00641640" w:rsidRDefault="005E225C"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Konferenca e Par</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Nd</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rqeveritare e mbajtur midis Shqip</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ris</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dhe BE-s</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n</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19 korrik 2022 shenjoi nisjen zyrtare t</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nj</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rrug</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timi tejet sfidues, </w:t>
      </w:r>
      <w:r w:rsidR="00653240" w:rsidRPr="00641640">
        <w:rPr>
          <w:rFonts w:ascii="Times New Roman" w:hAnsi="Times New Roman" w:cs="Times New Roman"/>
          <w:noProof/>
          <w:sz w:val="24"/>
          <w:szCs w:val="24"/>
          <w:lang w:val="sq-AL"/>
        </w:rPr>
        <w:t>që</w:t>
      </w:r>
      <w:r w:rsidRPr="00641640">
        <w:rPr>
          <w:rFonts w:ascii="Times New Roman" w:hAnsi="Times New Roman" w:cs="Times New Roman"/>
          <w:noProof/>
          <w:sz w:val="24"/>
          <w:szCs w:val="24"/>
          <w:lang w:val="sq-AL"/>
        </w:rPr>
        <w:t xml:space="preserve"> vijoi menj</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her</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me procesin e shqyrtimit analit</w:t>
      </w:r>
      <w:r w:rsidR="00653240" w:rsidRPr="00641640">
        <w:rPr>
          <w:rFonts w:ascii="Times New Roman" w:hAnsi="Times New Roman" w:cs="Times New Roman"/>
          <w:noProof/>
          <w:sz w:val="24"/>
          <w:szCs w:val="24"/>
          <w:lang w:val="sq-AL"/>
        </w:rPr>
        <w:t>ik</w:t>
      </w:r>
      <w:r w:rsidRPr="00641640">
        <w:rPr>
          <w:rFonts w:ascii="Times New Roman" w:hAnsi="Times New Roman" w:cs="Times New Roman"/>
          <w:noProof/>
          <w:sz w:val="24"/>
          <w:szCs w:val="24"/>
          <w:lang w:val="sq-AL"/>
        </w:rPr>
        <w:t xml:space="preserve"> t</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legjislacionit</w:t>
      </w:r>
      <w:r w:rsidR="00653240" w:rsidRPr="00641640">
        <w:rPr>
          <w:rFonts w:ascii="Times New Roman" w:hAnsi="Times New Roman" w:cs="Times New Roman"/>
          <w:noProof/>
          <w:sz w:val="24"/>
          <w:szCs w:val="24"/>
          <w:lang w:val="sq-AL"/>
        </w:rPr>
        <w:t xml:space="preserve"> dhe gjendjes aktuale</w:t>
      </w:r>
      <w:r w:rsidRPr="00641640">
        <w:rPr>
          <w:rFonts w:ascii="Times New Roman" w:hAnsi="Times New Roman" w:cs="Times New Roman"/>
          <w:noProof/>
          <w:sz w:val="24"/>
          <w:szCs w:val="24"/>
          <w:lang w:val="sq-AL"/>
        </w:rPr>
        <w:t xml:space="preserve"> </w:t>
      </w:r>
      <w:r w:rsidR="00653240" w:rsidRPr="00641640">
        <w:rPr>
          <w:rFonts w:ascii="Times New Roman" w:hAnsi="Times New Roman" w:cs="Times New Roman"/>
          <w:noProof/>
          <w:sz w:val="24"/>
          <w:szCs w:val="24"/>
          <w:lang w:val="sq-AL"/>
        </w:rPr>
        <w:t>(</w:t>
      </w:r>
      <w:r w:rsidR="00CA15E2" w:rsidRPr="00641640">
        <w:rPr>
          <w:rFonts w:ascii="Times New Roman" w:hAnsi="Times New Roman" w:cs="Times New Roman"/>
          <w:i/>
          <w:noProof/>
          <w:sz w:val="24"/>
          <w:szCs w:val="24"/>
          <w:lang w:val="sq-AL"/>
        </w:rPr>
        <w:t>S</w:t>
      </w:r>
      <w:r w:rsidRPr="00641640">
        <w:rPr>
          <w:rFonts w:ascii="Times New Roman" w:hAnsi="Times New Roman" w:cs="Times New Roman"/>
          <w:i/>
          <w:noProof/>
          <w:sz w:val="24"/>
          <w:szCs w:val="24"/>
          <w:lang w:val="sq-AL"/>
        </w:rPr>
        <w:t>creening</w:t>
      </w:r>
      <w:r w:rsidR="00653240" w:rsidRPr="00641640">
        <w:rPr>
          <w:rFonts w:ascii="Times New Roman" w:hAnsi="Times New Roman" w:cs="Times New Roman"/>
          <w:noProof/>
          <w:sz w:val="24"/>
          <w:szCs w:val="24"/>
          <w:lang w:val="sq-AL"/>
        </w:rPr>
        <w:t>)</w:t>
      </w:r>
      <w:r w:rsidR="00CA15E2" w:rsidRPr="00641640">
        <w:rPr>
          <w:rFonts w:ascii="Times New Roman" w:hAnsi="Times New Roman" w:cs="Times New Roman"/>
          <w:noProof/>
          <w:sz w:val="24"/>
          <w:szCs w:val="24"/>
          <w:lang w:val="sq-AL"/>
        </w:rPr>
        <w:t>. P</w:t>
      </w:r>
      <w:r w:rsidR="00064AC5" w:rsidRPr="00641640">
        <w:rPr>
          <w:rFonts w:ascii="Times New Roman" w:hAnsi="Times New Roman" w:cs="Times New Roman"/>
          <w:noProof/>
          <w:sz w:val="24"/>
          <w:szCs w:val="24"/>
          <w:lang w:val="sq-AL"/>
        </w:rPr>
        <w:t>ë</w:t>
      </w:r>
      <w:r w:rsidR="00CA15E2" w:rsidRPr="00641640">
        <w:rPr>
          <w:rFonts w:ascii="Times New Roman" w:hAnsi="Times New Roman" w:cs="Times New Roman"/>
          <w:noProof/>
          <w:sz w:val="24"/>
          <w:szCs w:val="24"/>
          <w:lang w:val="sq-AL"/>
        </w:rPr>
        <w:t>r</w:t>
      </w:r>
      <w:r w:rsidR="00D34359" w:rsidRPr="00641640">
        <w:rPr>
          <w:rFonts w:ascii="Times New Roman" w:hAnsi="Times New Roman" w:cs="Times New Roman"/>
          <w:noProof/>
          <w:sz w:val="24"/>
          <w:szCs w:val="24"/>
          <w:lang w:val="sq-AL"/>
        </w:rPr>
        <w:t xml:space="preserve">gjatë </w:t>
      </w:r>
      <w:r w:rsidR="00CA15E2" w:rsidRPr="00641640">
        <w:rPr>
          <w:rFonts w:ascii="Times New Roman" w:hAnsi="Times New Roman" w:cs="Times New Roman"/>
          <w:noProof/>
          <w:sz w:val="24"/>
          <w:szCs w:val="24"/>
          <w:lang w:val="sq-AL"/>
        </w:rPr>
        <w:t>k</w:t>
      </w:r>
      <w:r w:rsidR="00064AC5" w:rsidRPr="00641640">
        <w:rPr>
          <w:rFonts w:ascii="Times New Roman" w:hAnsi="Times New Roman" w:cs="Times New Roman"/>
          <w:noProof/>
          <w:sz w:val="24"/>
          <w:szCs w:val="24"/>
          <w:lang w:val="sq-AL"/>
        </w:rPr>
        <w:t>ë</w:t>
      </w:r>
      <w:r w:rsidR="00CA15E2" w:rsidRPr="00641640">
        <w:rPr>
          <w:rFonts w:ascii="Times New Roman" w:hAnsi="Times New Roman" w:cs="Times New Roman"/>
          <w:noProof/>
          <w:sz w:val="24"/>
          <w:szCs w:val="24"/>
          <w:lang w:val="sq-AL"/>
        </w:rPr>
        <w:t>tij procesi intesiv</w:t>
      </w:r>
      <w:r w:rsidR="006E0767" w:rsidRPr="00641640">
        <w:rPr>
          <w:rFonts w:ascii="Times New Roman" w:hAnsi="Times New Roman" w:cs="Times New Roman"/>
          <w:noProof/>
          <w:sz w:val="24"/>
          <w:szCs w:val="24"/>
          <w:lang w:val="sq-AL"/>
        </w:rPr>
        <w:t xml:space="preserve"> 1</w:t>
      </w:r>
      <w:r w:rsidR="006E38C9">
        <w:rPr>
          <w:rFonts w:ascii="Times New Roman" w:hAnsi="Times New Roman" w:cs="Times New Roman"/>
          <w:noProof/>
          <w:sz w:val="24"/>
          <w:szCs w:val="24"/>
          <w:lang w:val="sq-AL"/>
        </w:rPr>
        <w:t>-</w:t>
      </w:r>
      <w:r w:rsidR="00CA15E2" w:rsidRPr="00641640">
        <w:rPr>
          <w:rFonts w:ascii="Times New Roman" w:hAnsi="Times New Roman" w:cs="Times New Roman"/>
          <w:noProof/>
          <w:sz w:val="24"/>
          <w:szCs w:val="24"/>
          <w:lang w:val="sq-AL"/>
        </w:rPr>
        <w:t xml:space="preserve">vjeçar </w:t>
      </w:r>
      <w:r w:rsidRPr="00641640">
        <w:rPr>
          <w:rFonts w:ascii="Times New Roman" w:hAnsi="Times New Roman" w:cs="Times New Roman"/>
          <w:noProof/>
          <w:sz w:val="24"/>
          <w:szCs w:val="24"/>
          <w:lang w:val="sq-AL"/>
        </w:rPr>
        <w:t>t</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gjith</w:t>
      </w:r>
      <w:r w:rsidR="00CA15E2" w:rsidRPr="00641640">
        <w:rPr>
          <w:rFonts w:ascii="Times New Roman" w:hAnsi="Times New Roman" w:cs="Times New Roman"/>
          <w:noProof/>
          <w:sz w:val="24"/>
          <w:szCs w:val="24"/>
          <w:lang w:val="sq-AL"/>
        </w:rPr>
        <w:t>a</w:t>
      </w:r>
      <w:r w:rsidRPr="00641640">
        <w:rPr>
          <w:rFonts w:ascii="Times New Roman" w:hAnsi="Times New Roman" w:cs="Times New Roman"/>
          <w:noProof/>
          <w:sz w:val="24"/>
          <w:szCs w:val="24"/>
          <w:lang w:val="sq-AL"/>
        </w:rPr>
        <w:t xml:space="preserve"> institucionet e administrat</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 publike u angazhuan n</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raportimin mbi</w:t>
      </w:r>
      <w:r w:rsidR="00D34359" w:rsidRPr="00641640">
        <w:rPr>
          <w:rFonts w:ascii="Times New Roman" w:hAnsi="Times New Roman" w:cs="Times New Roman"/>
          <w:noProof/>
          <w:sz w:val="24"/>
          <w:szCs w:val="24"/>
          <w:lang w:val="sq-AL"/>
        </w:rPr>
        <w:t xml:space="preserve"> hapat e ndërmarr</w:t>
      </w:r>
      <w:r w:rsidRPr="00641640">
        <w:rPr>
          <w:rFonts w:ascii="Times New Roman" w:hAnsi="Times New Roman" w:cs="Times New Roman"/>
          <w:noProof/>
          <w:sz w:val="24"/>
          <w:szCs w:val="24"/>
          <w:lang w:val="sq-AL"/>
        </w:rPr>
        <w:t>a</w:t>
      </w:r>
      <w:r w:rsidR="00D34359"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n</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drejtim t</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rafrimit t</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legjislacionit shqiptar me </w:t>
      </w:r>
      <w:r w:rsidR="00CA15E2" w:rsidRPr="00641640">
        <w:rPr>
          <w:rFonts w:ascii="Times New Roman" w:hAnsi="Times New Roman" w:cs="Times New Roman"/>
          <w:i/>
          <w:noProof/>
          <w:sz w:val="24"/>
          <w:szCs w:val="24"/>
          <w:lang w:val="sq-AL"/>
        </w:rPr>
        <w:t>a</w:t>
      </w:r>
      <w:r w:rsidRPr="00641640">
        <w:rPr>
          <w:rFonts w:ascii="Times New Roman" w:hAnsi="Times New Roman" w:cs="Times New Roman"/>
          <w:i/>
          <w:noProof/>
          <w:sz w:val="24"/>
          <w:szCs w:val="24"/>
          <w:lang w:val="sq-AL"/>
        </w:rPr>
        <w:t>cquis</w:t>
      </w:r>
      <w:r w:rsidR="00CA15E2" w:rsidRPr="00641640">
        <w:rPr>
          <w:rFonts w:ascii="Times New Roman" w:hAnsi="Times New Roman" w:cs="Times New Roman"/>
          <w:noProof/>
          <w:sz w:val="24"/>
          <w:szCs w:val="24"/>
          <w:lang w:val="sq-AL"/>
        </w:rPr>
        <w:t>-n</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e BE-s</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dhe </w:t>
      </w:r>
      <w:r w:rsidR="00653240" w:rsidRPr="00641640">
        <w:rPr>
          <w:rFonts w:ascii="Times New Roman" w:hAnsi="Times New Roman" w:cs="Times New Roman"/>
          <w:noProof/>
          <w:sz w:val="24"/>
          <w:szCs w:val="24"/>
          <w:lang w:val="sq-AL"/>
        </w:rPr>
        <w:t xml:space="preserve">plotësimit të </w:t>
      </w:r>
      <w:r w:rsidRPr="00641640">
        <w:rPr>
          <w:rFonts w:ascii="Times New Roman" w:hAnsi="Times New Roman" w:cs="Times New Roman"/>
          <w:noProof/>
          <w:sz w:val="24"/>
          <w:szCs w:val="24"/>
          <w:lang w:val="sq-AL"/>
        </w:rPr>
        <w:t>kushteve t</w:t>
      </w:r>
      <w:r w:rsidR="00413762"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aderimit</w:t>
      </w:r>
      <w:r w:rsidR="00CA15E2"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w:t>
      </w:r>
      <w:r w:rsidR="00D34359" w:rsidRPr="00641640">
        <w:rPr>
          <w:rFonts w:ascii="Times New Roman" w:hAnsi="Times New Roman" w:cs="Times New Roman"/>
          <w:noProof/>
          <w:sz w:val="24"/>
          <w:szCs w:val="24"/>
          <w:lang w:val="sq-AL"/>
        </w:rPr>
        <w:t>duke ritheksuar</w:t>
      </w:r>
      <w:r w:rsidR="00E41157" w:rsidRPr="00641640">
        <w:rPr>
          <w:rFonts w:ascii="Times New Roman" w:hAnsi="Times New Roman" w:cs="Times New Roman"/>
          <w:noProof/>
          <w:sz w:val="24"/>
          <w:szCs w:val="24"/>
          <w:lang w:val="sq-AL"/>
        </w:rPr>
        <w:t xml:space="preserve"> arritjet </w:t>
      </w:r>
      <w:r w:rsidR="00D34359" w:rsidRPr="00641640">
        <w:rPr>
          <w:rFonts w:ascii="Times New Roman" w:hAnsi="Times New Roman" w:cs="Times New Roman"/>
          <w:noProof/>
          <w:sz w:val="24"/>
          <w:szCs w:val="24"/>
          <w:lang w:val="sq-AL"/>
        </w:rPr>
        <w:t>në zbatimin e Marrëveshjes së Stabilizim</w:t>
      </w:r>
      <w:r w:rsidR="00CA15E2" w:rsidRPr="00641640">
        <w:rPr>
          <w:rFonts w:ascii="Times New Roman" w:hAnsi="Times New Roman" w:cs="Times New Roman"/>
          <w:noProof/>
          <w:sz w:val="24"/>
          <w:szCs w:val="24"/>
          <w:lang w:val="sq-AL"/>
        </w:rPr>
        <w:t>-</w:t>
      </w:r>
      <w:r w:rsidR="00D34359" w:rsidRPr="00641640">
        <w:rPr>
          <w:rFonts w:ascii="Times New Roman" w:hAnsi="Times New Roman" w:cs="Times New Roman"/>
          <w:noProof/>
          <w:sz w:val="24"/>
          <w:szCs w:val="24"/>
          <w:lang w:val="sq-AL"/>
        </w:rPr>
        <w:t>Asociimit</w:t>
      </w:r>
      <w:r w:rsidR="00E41157" w:rsidRPr="00641640">
        <w:rPr>
          <w:rFonts w:ascii="Times New Roman" w:hAnsi="Times New Roman" w:cs="Times New Roman"/>
          <w:noProof/>
          <w:sz w:val="24"/>
          <w:szCs w:val="24"/>
          <w:lang w:val="sq-AL"/>
        </w:rPr>
        <w:t xml:space="preserve"> (MSA)</w:t>
      </w:r>
      <w:r w:rsidR="00741725" w:rsidRPr="00641640">
        <w:rPr>
          <w:rFonts w:ascii="Times New Roman" w:hAnsi="Times New Roman" w:cs="Times New Roman"/>
          <w:noProof/>
          <w:sz w:val="24"/>
          <w:szCs w:val="24"/>
          <w:lang w:val="sq-AL"/>
        </w:rPr>
        <w:t xml:space="preserve">, </w:t>
      </w:r>
      <w:r w:rsidR="00CA15E2" w:rsidRPr="00641640">
        <w:rPr>
          <w:rFonts w:ascii="Times New Roman" w:hAnsi="Times New Roman" w:cs="Times New Roman"/>
          <w:noProof/>
          <w:sz w:val="24"/>
          <w:szCs w:val="24"/>
          <w:lang w:val="sq-AL"/>
        </w:rPr>
        <w:t>si</w:t>
      </w:r>
      <w:r w:rsidR="00741725" w:rsidRPr="00641640">
        <w:rPr>
          <w:rFonts w:ascii="Times New Roman" w:hAnsi="Times New Roman" w:cs="Times New Roman"/>
          <w:noProof/>
          <w:sz w:val="24"/>
          <w:szCs w:val="24"/>
          <w:lang w:val="sq-AL"/>
        </w:rPr>
        <w:t xml:space="preserve"> dhe duke shprehur qart</w:t>
      </w:r>
      <w:r w:rsidR="00413762" w:rsidRPr="00641640">
        <w:rPr>
          <w:rFonts w:ascii="Times New Roman" w:hAnsi="Times New Roman" w:cs="Times New Roman"/>
          <w:noProof/>
          <w:sz w:val="24"/>
          <w:szCs w:val="24"/>
          <w:lang w:val="sq-AL"/>
        </w:rPr>
        <w:t>ë</w:t>
      </w:r>
      <w:r w:rsidR="00741725" w:rsidRPr="00641640">
        <w:rPr>
          <w:rFonts w:ascii="Times New Roman" w:hAnsi="Times New Roman" w:cs="Times New Roman"/>
          <w:noProof/>
          <w:sz w:val="24"/>
          <w:szCs w:val="24"/>
          <w:lang w:val="sq-AL"/>
        </w:rPr>
        <w:t xml:space="preserve">sisht </w:t>
      </w:r>
      <w:r w:rsidR="00653240" w:rsidRPr="00641640">
        <w:rPr>
          <w:rFonts w:ascii="Times New Roman" w:hAnsi="Times New Roman" w:cs="Times New Roman"/>
          <w:noProof/>
          <w:sz w:val="24"/>
          <w:szCs w:val="24"/>
          <w:lang w:val="sq-AL"/>
        </w:rPr>
        <w:t xml:space="preserve">seriozitetin dhe </w:t>
      </w:r>
      <w:r w:rsidR="00741725" w:rsidRPr="00641640">
        <w:rPr>
          <w:rFonts w:ascii="Times New Roman" w:hAnsi="Times New Roman" w:cs="Times New Roman"/>
          <w:noProof/>
          <w:sz w:val="24"/>
          <w:szCs w:val="24"/>
          <w:lang w:val="sq-AL"/>
        </w:rPr>
        <w:t>angazhimin p</w:t>
      </w:r>
      <w:r w:rsidR="00413762" w:rsidRPr="00641640">
        <w:rPr>
          <w:rFonts w:ascii="Times New Roman" w:hAnsi="Times New Roman" w:cs="Times New Roman"/>
          <w:noProof/>
          <w:sz w:val="24"/>
          <w:szCs w:val="24"/>
          <w:lang w:val="sq-AL"/>
        </w:rPr>
        <w:t>ë</w:t>
      </w:r>
      <w:r w:rsidR="00741725" w:rsidRPr="00641640">
        <w:rPr>
          <w:rFonts w:ascii="Times New Roman" w:hAnsi="Times New Roman" w:cs="Times New Roman"/>
          <w:noProof/>
          <w:sz w:val="24"/>
          <w:szCs w:val="24"/>
          <w:lang w:val="sq-AL"/>
        </w:rPr>
        <w:t>r t</w:t>
      </w:r>
      <w:r w:rsidR="00413762" w:rsidRPr="00641640">
        <w:rPr>
          <w:rFonts w:ascii="Times New Roman" w:hAnsi="Times New Roman" w:cs="Times New Roman"/>
          <w:noProof/>
          <w:sz w:val="24"/>
          <w:szCs w:val="24"/>
          <w:lang w:val="sq-AL"/>
        </w:rPr>
        <w:t>ë</w:t>
      </w:r>
      <w:r w:rsidR="00741725" w:rsidRPr="00641640">
        <w:rPr>
          <w:rFonts w:ascii="Times New Roman" w:hAnsi="Times New Roman" w:cs="Times New Roman"/>
          <w:noProof/>
          <w:sz w:val="24"/>
          <w:szCs w:val="24"/>
          <w:lang w:val="sq-AL"/>
        </w:rPr>
        <w:t xml:space="preserve"> thelluar reformat n</w:t>
      </w:r>
      <w:r w:rsidR="00413762" w:rsidRPr="00641640">
        <w:rPr>
          <w:rFonts w:ascii="Times New Roman" w:hAnsi="Times New Roman" w:cs="Times New Roman"/>
          <w:noProof/>
          <w:sz w:val="24"/>
          <w:szCs w:val="24"/>
          <w:lang w:val="sq-AL"/>
        </w:rPr>
        <w:t>ë</w:t>
      </w:r>
      <w:r w:rsidR="00741725" w:rsidRPr="00641640">
        <w:rPr>
          <w:rFonts w:ascii="Times New Roman" w:hAnsi="Times New Roman" w:cs="Times New Roman"/>
          <w:noProof/>
          <w:sz w:val="24"/>
          <w:szCs w:val="24"/>
          <w:lang w:val="sq-AL"/>
        </w:rPr>
        <w:t xml:space="preserve"> t</w:t>
      </w:r>
      <w:r w:rsidR="00413762" w:rsidRPr="00641640">
        <w:rPr>
          <w:rFonts w:ascii="Times New Roman" w:hAnsi="Times New Roman" w:cs="Times New Roman"/>
          <w:noProof/>
          <w:sz w:val="24"/>
          <w:szCs w:val="24"/>
          <w:lang w:val="sq-AL"/>
        </w:rPr>
        <w:t>ë</w:t>
      </w:r>
      <w:r w:rsidR="00741725" w:rsidRPr="00641640">
        <w:rPr>
          <w:rFonts w:ascii="Times New Roman" w:hAnsi="Times New Roman" w:cs="Times New Roman"/>
          <w:noProof/>
          <w:sz w:val="24"/>
          <w:szCs w:val="24"/>
          <w:lang w:val="sq-AL"/>
        </w:rPr>
        <w:t xml:space="preserve"> gjitha fushat</w:t>
      </w:r>
      <w:r w:rsidR="00653240" w:rsidRPr="00641640">
        <w:rPr>
          <w:rFonts w:ascii="Times New Roman" w:hAnsi="Times New Roman" w:cs="Times New Roman"/>
          <w:noProof/>
          <w:sz w:val="24"/>
          <w:szCs w:val="24"/>
          <w:lang w:val="sq-AL"/>
        </w:rPr>
        <w:t>.</w:t>
      </w:r>
    </w:p>
    <w:p w14:paraId="167C2E8F" w14:textId="4BB646D3" w:rsidR="00F57D10" w:rsidRPr="00641640" w:rsidRDefault="00964F44"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Sipas Raportit m</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fundit t</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Komisionit Evropian p</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Shqip</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rin</w:t>
      </w:r>
      <w:r w:rsidR="00AF28F8" w:rsidRPr="00641640">
        <w:rPr>
          <w:rFonts w:ascii="Times New Roman" w:hAnsi="Times New Roman" w:cs="Times New Roman"/>
          <w:noProof/>
          <w:sz w:val="24"/>
          <w:szCs w:val="24"/>
          <w:lang w:val="sq-AL"/>
        </w:rPr>
        <w:t>ë</w:t>
      </w:r>
      <w:r w:rsidR="00AF599A" w:rsidRPr="00641640">
        <w:rPr>
          <w:rStyle w:val="FootnoteReference"/>
          <w:rFonts w:ascii="Times New Roman" w:hAnsi="Times New Roman" w:cs="Times New Roman"/>
          <w:noProof/>
          <w:sz w:val="24"/>
          <w:szCs w:val="24"/>
          <w:lang w:val="sq-AL"/>
        </w:rPr>
        <w:footnoteReference w:id="25"/>
      </w:r>
      <w:r w:rsidR="00906A62" w:rsidRPr="00641640">
        <w:rPr>
          <w:rFonts w:ascii="Times New Roman" w:hAnsi="Times New Roman" w:cs="Times New Roman"/>
          <w:noProof/>
          <w:sz w:val="24"/>
          <w:szCs w:val="24"/>
          <w:lang w:val="sq-AL"/>
        </w:rPr>
        <w:t xml:space="preserve"> dhe </w:t>
      </w:r>
      <w:r w:rsidR="006E0767" w:rsidRPr="00641640">
        <w:rPr>
          <w:rFonts w:ascii="Times New Roman" w:hAnsi="Times New Roman" w:cs="Times New Roman"/>
          <w:noProof/>
          <w:sz w:val="24"/>
          <w:szCs w:val="24"/>
          <w:lang w:val="sq-AL"/>
        </w:rPr>
        <w:t>R</w:t>
      </w:r>
      <w:r w:rsidR="00906A62" w:rsidRPr="00641640">
        <w:rPr>
          <w:rFonts w:ascii="Times New Roman" w:hAnsi="Times New Roman" w:cs="Times New Roman"/>
          <w:noProof/>
          <w:sz w:val="24"/>
          <w:szCs w:val="24"/>
          <w:lang w:val="sq-AL"/>
        </w:rPr>
        <w:t>aportit të hartuar në p</w:t>
      </w:r>
      <w:r w:rsidR="00064AC5" w:rsidRPr="00641640">
        <w:rPr>
          <w:rFonts w:ascii="Times New Roman" w:hAnsi="Times New Roman" w:cs="Times New Roman"/>
          <w:noProof/>
          <w:sz w:val="24"/>
          <w:szCs w:val="24"/>
          <w:lang w:val="sq-AL"/>
        </w:rPr>
        <w:t>ë</w:t>
      </w:r>
      <w:r w:rsidR="00906A62" w:rsidRPr="00641640">
        <w:rPr>
          <w:rFonts w:ascii="Times New Roman" w:hAnsi="Times New Roman" w:cs="Times New Roman"/>
          <w:noProof/>
          <w:sz w:val="24"/>
          <w:szCs w:val="24"/>
          <w:lang w:val="sq-AL"/>
        </w:rPr>
        <w:t xml:space="preserve">rfundim të procesit </w:t>
      </w:r>
      <w:r w:rsidR="00CA15E2"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CA15E2" w:rsidRPr="00641640">
        <w:rPr>
          <w:rFonts w:ascii="Times New Roman" w:hAnsi="Times New Roman" w:cs="Times New Roman"/>
          <w:noProof/>
          <w:sz w:val="24"/>
          <w:szCs w:val="24"/>
          <w:lang w:val="sq-AL"/>
        </w:rPr>
        <w:t xml:space="preserve"> shqyrtimit analitik </w:t>
      </w:r>
      <w:r w:rsidR="00906A62" w:rsidRPr="00641640">
        <w:rPr>
          <w:rFonts w:ascii="Times New Roman" w:hAnsi="Times New Roman" w:cs="Times New Roman"/>
          <w:noProof/>
          <w:sz w:val="24"/>
          <w:szCs w:val="24"/>
          <w:lang w:val="sq-AL"/>
        </w:rPr>
        <w:t xml:space="preserve">për </w:t>
      </w:r>
      <w:r w:rsidR="00CA15E2" w:rsidRPr="00641640">
        <w:rPr>
          <w:rFonts w:ascii="Times New Roman" w:hAnsi="Times New Roman" w:cs="Times New Roman"/>
          <w:noProof/>
          <w:sz w:val="24"/>
          <w:szCs w:val="24"/>
          <w:lang w:val="sq-AL"/>
        </w:rPr>
        <w:t>G</w:t>
      </w:r>
      <w:r w:rsidR="00906A62" w:rsidRPr="00641640">
        <w:rPr>
          <w:rFonts w:ascii="Times New Roman" w:hAnsi="Times New Roman" w:cs="Times New Roman"/>
          <w:noProof/>
          <w:sz w:val="24"/>
          <w:szCs w:val="24"/>
          <w:lang w:val="sq-AL"/>
        </w:rPr>
        <w:t>rupkapitu</w:t>
      </w:r>
      <w:r w:rsidR="00CA15E2" w:rsidRPr="00641640">
        <w:rPr>
          <w:rFonts w:ascii="Times New Roman" w:hAnsi="Times New Roman" w:cs="Times New Roman"/>
          <w:noProof/>
          <w:sz w:val="24"/>
          <w:szCs w:val="24"/>
          <w:lang w:val="sq-AL"/>
        </w:rPr>
        <w:t>jt I</w:t>
      </w:r>
      <w:r w:rsidR="00906A62" w:rsidRPr="00641640">
        <w:rPr>
          <w:rFonts w:ascii="Times New Roman" w:hAnsi="Times New Roman" w:cs="Times New Roman"/>
          <w:noProof/>
          <w:sz w:val="24"/>
          <w:szCs w:val="24"/>
          <w:lang w:val="sq-AL"/>
        </w:rPr>
        <w:t xml:space="preserve"> “Themeloret”</w:t>
      </w:r>
      <w:r w:rsidR="00CA15E2" w:rsidRPr="00641640">
        <w:rPr>
          <w:rFonts w:ascii="Times New Roman" w:hAnsi="Times New Roman" w:cs="Times New Roman"/>
          <w:noProof/>
          <w:sz w:val="24"/>
          <w:szCs w:val="24"/>
          <w:lang w:val="sq-AL"/>
        </w:rPr>
        <w:t>,</w:t>
      </w:r>
      <w:r w:rsidR="00906A62" w:rsidRPr="00641640">
        <w:rPr>
          <w:rStyle w:val="FootnoteReference"/>
          <w:rFonts w:ascii="Times New Roman" w:hAnsi="Times New Roman" w:cs="Times New Roman"/>
          <w:noProof/>
          <w:sz w:val="24"/>
          <w:szCs w:val="24"/>
          <w:lang w:val="sq-AL"/>
        </w:rPr>
        <w:footnoteReference w:id="26"/>
      </w:r>
      <w:r w:rsidRPr="00641640">
        <w:rPr>
          <w:rFonts w:ascii="Times New Roman" w:hAnsi="Times New Roman" w:cs="Times New Roman"/>
          <w:noProof/>
          <w:sz w:val="24"/>
          <w:szCs w:val="24"/>
          <w:lang w:val="sq-AL"/>
        </w:rPr>
        <w:t xml:space="preserve"> vendi yn</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sht</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mesatarisht i p</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rgatitur n</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fush</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n e administrat</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s publike. </w:t>
      </w:r>
      <w:r w:rsidR="00707495" w:rsidRPr="00641640">
        <w:rPr>
          <w:rFonts w:ascii="Times New Roman" w:hAnsi="Times New Roman" w:cs="Times New Roman"/>
          <w:noProof/>
          <w:sz w:val="24"/>
          <w:szCs w:val="24"/>
          <w:lang w:val="sq-AL"/>
        </w:rPr>
        <w:t xml:space="preserve">Komisioni Evropian </w:t>
      </w:r>
      <w:r w:rsidRPr="00641640">
        <w:rPr>
          <w:rFonts w:ascii="Times New Roman" w:hAnsi="Times New Roman" w:cs="Times New Roman"/>
          <w:noProof/>
          <w:sz w:val="24"/>
          <w:szCs w:val="24"/>
          <w:lang w:val="sq-AL"/>
        </w:rPr>
        <w:t>thekso</w:t>
      </w:r>
      <w:r w:rsidR="00707495" w:rsidRPr="00641640">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 xml:space="preserve"> nevoj</w:t>
      </w:r>
      <w:r w:rsidR="00FD5094" w:rsidRPr="00641640">
        <w:rPr>
          <w:rFonts w:ascii="Times New Roman" w:hAnsi="Times New Roman" w:cs="Times New Roman"/>
          <w:noProof/>
          <w:sz w:val="24"/>
          <w:szCs w:val="24"/>
          <w:lang w:val="sq-AL"/>
        </w:rPr>
        <w:t>ë</w:t>
      </w:r>
      <w:r w:rsidR="00707495" w:rsidRPr="00641640">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 xml:space="preserve"> p</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t</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rfunduar procesin e riorganizimit t</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roleve dhe p</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rgjegj</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sive brenda aparatit t</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Kryeministris</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w:t>
      </w:r>
      <w:r w:rsidR="006E0767" w:rsidRPr="00641640">
        <w:rPr>
          <w:rFonts w:ascii="Times New Roman" w:hAnsi="Times New Roman" w:cs="Times New Roman"/>
          <w:noProof/>
          <w:sz w:val="24"/>
          <w:szCs w:val="24"/>
          <w:lang w:val="sq-AL"/>
        </w:rPr>
        <w:t xml:space="preserve"> krijimin e një kuadri ligjor që rregullon n</w:t>
      </w:r>
      <w:r w:rsidR="00064AC5" w:rsidRPr="00641640">
        <w:rPr>
          <w:rFonts w:ascii="Times New Roman" w:hAnsi="Times New Roman" w:cs="Times New Roman"/>
          <w:noProof/>
          <w:sz w:val="24"/>
          <w:szCs w:val="24"/>
          <w:lang w:val="sq-AL"/>
        </w:rPr>
        <w:t>ë</w:t>
      </w:r>
      <w:r w:rsidR="006E0767" w:rsidRPr="00641640">
        <w:rPr>
          <w:rFonts w:ascii="Times New Roman" w:hAnsi="Times New Roman" w:cs="Times New Roman"/>
          <w:noProof/>
          <w:sz w:val="24"/>
          <w:szCs w:val="24"/>
          <w:lang w:val="sq-AL"/>
        </w:rPr>
        <w:t xml:space="preserve"> m</w:t>
      </w:r>
      <w:r w:rsidR="00064AC5" w:rsidRPr="00641640">
        <w:rPr>
          <w:rFonts w:ascii="Times New Roman" w:hAnsi="Times New Roman" w:cs="Times New Roman"/>
          <w:noProof/>
          <w:sz w:val="24"/>
          <w:szCs w:val="24"/>
          <w:lang w:val="sq-AL"/>
        </w:rPr>
        <w:t>ë</w:t>
      </w:r>
      <w:r w:rsidR="006E0767" w:rsidRPr="00641640">
        <w:rPr>
          <w:rFonts w:ascii="Times New Roman" w:hAnsi="Times New Roman" w:cs="Times New Roman"/>
          <w:noProof/>
          <w:sz w:val="24"/>
          <w:szCs w:val="24"/>
          <w:lang w:val="sq-AL"/>
        </w:rPr>
        <w:t>nyr</w:t>
      </w:r>
      <w:r w:rsidR="00064AC5" w:rsidRPr="00641640">
        <w:rPr>
          <w:rFonts w:ascii="Times New Roman" w:hAnsi="Times New Roman" w:cs="Times New Roman"/>
          <w:noProof/>
          <w:sz w:val="24"/>
          <w:szCs w:val="24"/>
          <w:lang w:val="sq-AL"/>
        </w:rPr>
        <w:t>ë</w:t>
      </w:r>
      <w:r w:rsidR="006E0767" w:rsidRPr="00641640">
        <w:rPr>
          <w:rFonts w:ascii="Times New Roman" w:hAnsi="Times New Roman" w:cs="Times New Roman"/>
          <w:noProof/>
          <w:sz w:val="24"/>
          <w:szCs w:val="24"/>
          <w:lang w:val="sq-AL"/>
        </w:rPr>
        <w:t xml:space="preserve"> ezauruese tipologjinë dhe kriteret për krijimin e organeve vartëse dhe linjat e qarta të llogaridhënies, </w:t>
      </w:r>
      <w:r w:rsidRPr="00641640">
        <w:rPr>
          <w:rFonts w:ascii="Times New Roman" w:hAnsi="Times New Roman" w:cs="Times New Roman"/>
          <w:noProof/>
          <w:sz w:val="24"/>
          <w:szCs w:val="24"/>
          <w:lang w:val="sq-AL"/>
        </w:rPr>
        <w:t>zbatimi</w:t>
      </w:r>
      <w:r w:rsidR="006E0767" w:rsidRPr="00641640">
        <w:rPr>
          <w:rFonts w:ascii="Times New Roman" w:hAnsi="Times New Roman" w:cs="Times New Roman"/>
          <w:noProof/>
          <w:sz w:val="24"/>
          <w:szCs w:val="24"/>
          <w:lang w:val="sq-AL"/>
        </w:rPr>
        <w:t xml:space="preserve">n e </w:t>
      </w:r>
      <w:r w:rsidRPr="00641640">
        <w:rPr>
          <w:rFonts w:ascii="Times New Roman" w:hAnsi="Times New Roman" w:cs="Times New Roman"/>
          <w:noProof/>
          <w:sz w:val="24"/>
          <w:szCs w:val="24"/>
          <w:lang w:val="sq-AL"/>
        </w:rPr>
        <w:t>plot</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006E0767"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006E0767" w:rsidRPr="00641640">
        <w:rPr>
          <w:rFonts w:ascii="Times New Roman" w:hAnsi="Times New Roman" w:cs="Times New Roman"/>
          <w:noProof/>
          <w:sz w:val="24"/>
          <w:szCs w:val="24"/>
          <w:lang w:val="sq-AL"/>
        </w:rPr>
        <w:t>korniz</w:t>
      </w:r>
      <w:r w:rsidR="00064AC5" w:rsidRPr="00641640">
        <w:rPr>
          <w:rFonts w:ascii="Times New Roman" w:hAnsi="Times New Roman" w:cs="Times New Roman"/>
          <w:noProof/>
          <w:sz w:val="24"/>
          <w:szCs w:val="24"/>
          <w:lang w:val="sq-AL"/>
        </w:rPr>
        <w:t>ë</w:t>
      </w:r>
      <w:r w:rsidR="006E0767" w:rsidRPr="00641640">
        <w:rPr>
          <w:rFonts w:ascii="Times New Roman" w:hAnsi="Times New Roman" w:cs="Times New Roman"/>
          <w:noProof/>
          <w:sz w:val="24"/>
          <w:szCs w:val="24"/>
          <w:lang w:val="sq-AL"/>
        </w:rPr>
        <w:t>s ligjore</w:t>
      </w:r>
      <w:r w:rsidRPr="00641640">
        <w:rPr>
          <w:rFonts w:ascii="Times New Roman" w:hAnsi="Times New Roman" w:cs="Times New Roman"/>
          <w:noProof/>
          <w:sz w:val="24"/>
          <w:szCs w:val="24"/>
          <w:lang w:val="sq-AL"/>
        </w:rPr>
        <w:t xml:space="preserve"> t</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sh</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rbimit civil p</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pozicionet e nivelit t</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lart</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drejtues, </w:t>
      </w:r>
      <w:r w:rsidR="007335C0" w:rsidRPr="00641640">
        <w:rPr>
          <w:rFonts w:ascii="Times New Roman" w:hAnsi="Times New Roman" w:cs="Times New Roman"/>
          <w:noProof/>
          <w:sz w:val="24"/>
          <w:szCs w:val="24"/>
          <w:lang w:val="sq-AL"/>
        </w:rPr>
        <w:t xml:space="preserve">rritjen e atraktivitetit të administratës dhe rritjen e motivimit të punonjësve të administratës, </w:t>
      </w:r>
      <w:r w:rsidRPr="00641640">
        <w:rPr>
          <w:rFonts w:ascii="Times New Roman" w:hAnsi="Times New Roman" w:cs="Times New Roman"/>
          <w:noProof/>
          <w:sz w:val="24"/>
          <w:szCs w:val="24"/>
          <w:lang w:val="sq-AL"/>
        </w:rPr>
        <w:t xml:space="preserve">aksesin </w:t>
      </w:r>
      <w:r w:rsidR="00FD713A" w:rsidRPr="00641640">
        <w:rPr>
          <w:rFonts w:ascii="Times New Roman" w:hAnsi="Times New Roman" w:cs="Times New Roman"/>
          <w:noProof/>
          <w:sz w:val="24"/>
          <w:szCs w:val="24"/>
          <w:lang w:val="sq-AL"/>
        </w:rPr>
        <w:t>në</w:t>
      </w:r>
      <w:r w:rsidRPr="00641640">
        <w:rPr>
          <w:rFonts w:ascii="Times New Roman" w:hAnsi="Times New Roman" w:cs="Times New Roman"/>
          <w:noProof/>
          <w:sz w:val="24"/>
          <w:szCs w:val="24"/>
          <w:lang w:val="sq-AL"/>
        </w:rPr>
        <w:t xml:space="preserve"> sh</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rbime</w:t>
      </w:r>
      <w:r w:rsidR="00FD713A" w:rsidRPr="00641640">
        <w:rPr>
          <w:rFonts w:ascii="Times New Roman" w:hAnsi="Times New Roman" w:cs="Times New Roman"/>
          <w:noProof/>
          <w:sz w:val="24"/>
          <w:szCs w:val="24"/>
          <w:lang w:val="sq-AL"/>
        </w:rPr>
        <w:t>t</w:t>
      </w:r>
      <w:r w:rsidRPr="00641640">
        <w:rPr>
          <w:rFonts w:ascii="Times New Roman" w:hAnsi="Times New Roman" w:cs="Times New Roman"/>
          <w:noProof/>
          <w:sz w:val="24"/>
          <w:szCs w:val="24"/>
          <w:lang w:val="sq-AL"/>
        </w:rPr>
        <w:t xml:space="preserve"> publike t</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di</w:t>
      </w:r>
      <w:r w:rsidR="00037D62" w:rsidRPr="00641640">
        <w:rPr>
          <w:rFonts w:ascii="Times New Roman" w:hAnsi="Times New Roman" w:cs="Times New Roman"/>
          <w:noProof/>
          <w:sz w:val="24"/>
          <w:szCs w:val="24"/>
          <w:lang w:val="sq-AL"/>
        </w:rPr>
        <w:t>gj</w:t>
      </w:r>
      <w:r w:rsidRPr="00641640">
        <w:rPr>
          <w:rFonts w:ascii="Times New Roman" w:hAnsi="Times New Roman" w:cs="Times New Roman"/>
          <w:noProof/>
          <w:sz w:val="24"/>
          <w:szCs w:val="24"/>
          <w:lang w:val="sq-AL"/>
        </w:rPr>
        <w:t>italizuara p</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personat me njohuri apo mund</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si t</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kufizuara</w:t>
      </w:r>
      <w:r w:rsidR="00FD713A"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si dhe nevoj</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n p</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m</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tep</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siguri di</w:t>
      </w:r>
      <w:r w:rsidR="00D34359" w:rsidRPr="00641640">
        <w:rPr>
          <w:rFonts w:ascii="Times New Roman" w:hAnsi="Times New Roman" w:cs="Times New Roman"/>
          <w:noProof/>
          <w:sz w:val="24"/>
          <w:szCs w:val="24"/>
          <w:lang w:val="sq-AL"/>
        </w:rPr>
        <w:t>gj</w:t>
      </w:r>
      <w:r w:rsidRPr="00641640">
        <w:rPr>
          <w:rFonts w:ascii="Times New Roman" w:hAnsi="Times New Roman" w:cs="Times New Roman"/>
          <w:noProof/>
          <w:sz w:val="24"/>
          <w:szCs w:val="24"/>
          <w:lang w:val="sq-AL"/>
        </w:rPr>
        <w:t>itale dhe mbrojtjen e t</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dh</w:t>
      </w:r>
      <w:r w:rsidR="00AF28F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nave personale</w:t>
      </w:r>
      <w:r w:rsidR="006E0767" w:rsidRPr="00641640">
        <w:rPr>
          <w:rFonts w:ascii="Times New Roman" w:hAnsi="Times New Roman" w:cs="Times New Roman"/>
          <w:noProof/>
          <w:sz w:val="24"/>
          <w:szCs w:val="24"/>
          <w:lang w:val="sq-AL"/>
        </w:rPr>
        <w:t>. N</w:t>
      </w:r>
      <w:r w:rsidR="00064AC5" w:rsidRPr="00641640">
        <w:rPr>
          <w:rFonts w:ascii="Times New Roman" w:hAnsi="Times New Roman" w:cs="Times New Roman"/>
          <w:noProof/>
          <w:sz w:val="24"/>
          <w:szCs w:val="24"/>
          <w:lang w:val="sq-AL"/>
        </w:rPr>
        <w:t>ë</w:t>
      </w:r>
      <w:r w:rsidR="006E0767" w:rsidRPr="00641640">
        <w:rPr>
          <w:rFonts w:ascii="Times New Roman" w:hAnsi="Times New Roman" w:cs="Times New Roman"/>
          <w:noProof/>
          <w:sz w:val="24"/>
          <w:szCs w:val="24"/>
          <w:lang w:val="sq-AL"/>
        </w:rPr>
        <w:t xml:space="preserve"> k</w:t>
      </w:r>
      <w:r w:rsidR="00064AC5" w:rsidRPr="00641640">
        <w:rPr>
          <w:rFonts w:ascii="Times New Roman" w:hAnsi="Times New Roman" w:cs="Times New Roman"/>
          <w:noProof/>
          <w:sz w:val="24"/>
          <w:szCs w:val="24"/>
          <w:lang w:val="sq-AL"/>
        </w:rPr>
        <w:t>ë</w:t>
      </w:r>
      <w:r w:rsidR="006E0767"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6E0767" w:rsidRPr="00641640">
        <w:rPr>
          <w:rFonts w:ascii="Times New Roman" w:hAnsi="Times New Roman" w:cs="Times New Roman"/>
          <w:noProof/>
          <w:sz w:val="24"/>
          <w:szCs w:val="24"/>
          <w:lang w:val="sq-AL"/>
        </w:rPr>
        <w:t xml:space="preserve"> drejtim, Shqip</w:t>
      </w:r>
      <w:r w:rsidR="00064AC5" w:rsidRPr="00641640">
        <w:rPr>
          <w:rFonts w:ascii="Times New Roman" w:hAnsi="Times New Roman" w:cs="Times New Roman"/>
          <w:noProof/>
          <w:sz w:val="24"/>
          <w:szCs w:val="24"/>
          <w:lang w:val="sq-AL"/>
        </w:rPr>
        <w:t>ë</w:t>
      </w:r>
      <w:r w:rsidR="006E0767" w:rsidRPr="00641640">
        <w:rPr>
          <w:rFonts w:ascii="Times New Roman" w:hAnsi="Times New Roman" w:cs="Times New Roman"/>
          <w:noProof/>
          <w:sz w:val="24"/>
          <w:szCs w:val="24"/>
          <w:lang w:val="sq-AL"/>
        </w:rPr>
        <w:t>ria duhet t</w:t>
      </w:r>
      <w:r w:rsidR="00064AC5" w:rsidRPr="00641640">
        <w:rPr>
          <w:rFonts w:ascii="Times New Roman" w:hAnsi="Times New Roman" w:cs="Times New Roman"/>
          <w:noProof/>
          <w:sz w:val="24"/>
          <w:szCs w:val="24"/>
          <w:lang w:val="sq-AL"/>
        </w:rPr>
        <w:t>ë</w:t>
      </w:r>
      <w:r w:rsidR="006E0767" w:rsidRPr="00641640">
        <w:rPr>
          <w:rFonts w:ascii="Times New Roman" w:hAnsi="Times New Roman" w:cs="Times New Roman"/>
          <w:noProof/>
          <w:sz w:val="24"/>
          <w:szCs w:val="24"/>
          <w:lang w:val="sq-AL"/>
        </w:rPr>
        <w:t xml:space="preserve"> vijoj</w:t>
      </w:r>
      <w:r w:rsidR="00064AC5" w:rsidRPr="00641640">
        <w:rPr>
          <w:rFonts w:ascii="Times New Roman" w:hAnsi="Times New Roman" w:cs="Times New Roman"/>
          <w:noProof/>
          <w:sz w:val="24"/>
          <w:szCs w:val="24"/>
          <w:lang w:val="sq-AL"/>
        </w:rPr>
        <w:t>ë</w:t>
      </w:r>
      <w:r w:rsidR="006E0767" w:rsidRPr="00641640">
        <w:rPr>
          <w:rFonts w:ascii="Times New Roman" w:hAnsi="Times New Roman" w:cs="Times New Roman"/>
          <w:noProof/>
          <w:sz w:val="24"/>
          <w:szCs w:val="24"/>
          <w:lang w:val="sq-AL"/>
        </w:rPr>
        <w:t xml:space="preserve"> p</w:t>
      </w:r>
      <w:r w:rsidR="00064AC5" w:rsidRPr="00641640">
        <w:rPr>
          <w:rFonts w:ascii="Times New Roman" w:hAnsi="Times New Roman" w:cs="Times New Roman"/>
          <w:noProof/>
          <w:sz w:val="24"/>
          <w:szCs w:val="24"/>
          <w:lang w:val="sq-AL"/>
        </w:rPr>
        <w:t>ë</w:t>
      </w:r>
      <w:r w:rsidR="006E0767" w:rsidRPr="00641640">
        <w:rPr>
          <w:rFonts w:ascii="Times New Roman" w:hAnsi="Times New Roman" w:cs="Times New Roman"/>
          <w:noProof/>
          <w:sz w:val="24"/>
          <w:szCs w:val="24"/>
          <w:lang w:val="sq-AL"/>
        </w:rPr>
        <w:t>rpjekjet p</w:t>
      </w:r>
      <w:r w:rsidR="00064AC5" w:rsidRPr="00641640">
        <w:rPr>
          <w:rFonts w:ascii="Times New Roman" w:hAnsi="Times New Roman" w:cs="Times New Roman"/>
          <w:noProof/>
          <w:sz w:val="24"/>
          <w:szCs w:val="24"/>
          <w:lang w:val="sq-AL"/>
        </w:rPr>
        <w:t>ë</w:t>
      </w:r>
      <w:r w:rsidR="006E0767" w:rsidRPr="00641640">
        <w:rPr>
          <w:rFonts w:ascii="Times New Roman" w:hAnsi="Times New Roman" w:cs="Times New Roman"/>
          <w:noProof/>
          <w:sz w:val="24"/>
          <w:szCs w:val="24"/>
          <w:lang w:val="sq-AL"/>
        </w:rPr>
        <w:t xml:space="preserve">r </w:t>
      </w:r>
      <w:r w:rsidR="00E96C02" w:rsidRPr="00641640">
        <w:rPr>
          <w:rFonts w:ascii="Times New Roman" w:hAnsi="Times New Roman" w:cs="Times New Roman"/>
          <w:noProof/>
          <w:sz w:val="24"/>
          <w:szCs w:val="24"/>
          <w:lang w:val="sq-AL"/>
        </w:rPr>
        <w:t>p</w:t>
      </w:r>
      <w:r w:rsidR="007F00FB" w:rsidRPr="00641640">
        <w:rPr>
          <w:rFonts w:ascii="Times New Roman" w:hAnsi="Times New Roman" w:cs="Times New Roman"/>
          <w:noProof/>
          <w:sz w:val="24"/>
          <w:szCs w:val="24"/>
          <w:lang w:val="sq-AL"/>
        </w:rPr>
        <w:t>ë</w:t>
      </w:r>
      <w:r w:rsidR="00E96C02" w:rsidRPr="00641640">
        <w:rPr>
          <w:rFonts w:ascii="Times New Roman" w:hAnsi="Times New Roman" w:cs="Times New Roman"/>
          <w:noProof/>
          <w:sz w:val="24"/>
          <w:szCs w:val="24"/>
          <w:lang w:val="sq-AL"/>
        </w:rPr>
        <w:t>rmir</w:t>
      </w:r>
      <w:r w:rsidR="007F00FB" w:rsidRPr="00641640">
        <w:rPr>
          <w:rFonts w:ascii="Times New Roman" w:hAnsi="Times New Roman" w:cs="Times New Roman"/>
          <w:noProof/>
          <w:sz w:val="24"/>
          <w:szCs w:val="24"/>
          <w:lang w:val="sq-AL"/>
        </w:rPr>
        <w:t>ë</w:t>
      </w:r>
      <w:r w:rsidR="00E96C02" w:rsidRPr="00641640">
        <w:rPr>
          <w:rFonts w:ascii="Times New Roman" w:hAnsi="Times New Roman" w:cs="Times New Roman"/>
          <w:noProof/>
          <w:sz w:val="24"/>
          <w:szCs w:val="24"/>
          <w:lang w:val="sq-AL"/>
        </w:rPr>
        <w:t>simi</w:t>
      </w:r>
      <w:r w:rsidR="006E0767" w:rsidRPr="00641640">
        <w:rPr>
          <w:rFonts w:ascii="Times New Roman" w:hAnsi="Times New Roman" w:cs="Times New Roman"/>
          <w:noProof/>
          <w:sz w:val="24"/>
          <w:szCs w:val="24"/>
          <w:lang w:val="sq-AL"/>
        </w:rPr>
        <w:t>n</w:t>
      </w:r>
      <w:r w:rsidR="00E96C02" w:rsidRPr="00641640">
        <w:rPr>
          <w:rFonts w:ascii="Times New Roman" w:hAnsi="Times New Roman" w:cs="Times New Roman"/>
          <w:noProof/>
          <w:sz w:val="24"/>
          <w:szCs w:val="24"/>
          <w:lang w:val="sq-AL"/>
        </w:rPr>
        <w:t xml:space="preserve"> </w:t>
      </w:r>
      <w:r w:rsidR="006E0767" w:rsidRPr="00641640">
        <w:rPr>
          <w:rFonts w:ascii="Times New Roman" w:hAnsi="Times New Roman" w:cs="Times New Roman"/>
          <w:noProof/>
          <w:sz w:val="24"/>
          <w:szCs w:val="24"/>
          <w:lang w:val="sq-AL"/>
        </w:rPr>
        <w:t>e</w:t>
      </w:r>
      <w:r w:rsidR="00E96C02" w:rsidRPr="00641640">
        <w:rPr>
          <w:rFonts w:ascii="Times New Roman" w:hAnsi="Times New Roman" w:cs="Times New Roman"/>
          <w:noProof/>
          <w:sz w:val="24"/>
          <w:szCs w:val="24"/>
          <w:lang w:val="sq-AL"/>
        </w:rPr>
        <w:t xml:space="preserve"> ndjesh</w:t>
      </w:r>
      <w:r w:rsidR="007F00FB" w:rsidRPr="00641640">
        <w:rPr>
          <w:rFonts w:ascii="Times New Roman" w:hAnsi="Times New Roman" w:cs="Times New Roman"/>
          <w:noProof/>
          <w:sz w:val="24"/>
          <w:szCs w:val="24"/>
          <w:lang w:val="sq-AL"/>
        </w:rPr>
        <w:t>ë</w:t>
      </w:r>
      <w:r w:rsidR="00E96C02" w:rsidRPr="00641640">
        <w:rPr>
          <w:rFonts w:ascii="Times New Roman" w:hAnsi="Times New Roman" w:cs="Times New Roman"/>
          <w:noProof/>
          <w:sz w:val="24"/>
          <w:szCs w:val="24"/>
          <w:lang w:val="sq-AL"/>
        </w:rPr>
        <w:t xml:space="preserve">m </w:t>
      </w:r>
      <w:r w:rsidR="006E0767"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6E0767" w:rsidRPr="00641640">
        <w:rPr>
          <w:rFonts w:ascii="Times New Roman" w:hAnsi="Times New Roman" w:cs="Times New Roman"/>
          <w:noProof/>
          <w:sz w:val="24"/>
          <w:szCs w:val="24"/>
          <w:lang w:val="sq-AL"/>
        </w:rPr>
        <w:t xml:space="preserve"> </w:t>
      </w:r>
      <w:r w:rsidR="00E96C02" w:rsidRPr="00641640">
        <w:rPr>
          <w:rFonts w:ascii="Times New Roman" w:hAnsi="Times New Roman" w:cs="Times New Roman"/>
          <w:noProof/>
          <w:sz w:val="24"/>
          <w:szCs w:val="24"/>
          <w:lang w:val="sq-AL"/>
        </w:rPr>
        <w:t>p</w:t>
      </w:r>
      <w:r w:rsidR="007F00FB" w:rsidRPr="00641640">
        <w:rPr>
          <w:rFonts w:ascii="Times New Roman" w:hAnsi="Times New Roman" w:cs="Times New Roman"/>
          <w:noProof/>
          <w:sz w:val="24"/>
          <w:szCs w:val="24"/>
          <w:lang w:val="sq-AL"/>
        </w:rPr>
        <w:t>ë</w:t>
      </w:r>
      <w:r w:rsidR="00E96C02" w:rsidRPr="00641640">
        <w:rPr>
          <w:rFonts w:ascii="Times New Roman" w:hAnsi="Times New Roman" w:cs="Times New Roman"/>
          <w:noProof/>
          <w:sz w:val="24"/>
          <w:szCs w:val="24"/>
          <w:lang w:val="sq-AL"/>
        </w:rPr>
        <w:t xml:space="preserve">rgatitjes </w:t>
      </w:r>
      <w:r w:rsidR="006E0767" w:rsidRPr="00641640">
        <w:rPr>
          <w:rFonts w:ascii="Times New Roman" w:hAnsi="Times New Roman" w:cs="Times New Roman"/>
          <w:noProof/>
          <w:sz w:val="24"/>
          <w:szCs w:val="24"/>
          <w:lang w:val="sq-AL"/>
        </w:rPr>
        <w:t>s</w:t>
      </w:r>
      <w:r w:rsidR="00064AC5" w:rsidRPr="00641640">
        <w:rPr>
          <w:rFonts w:ascii="Times New Roman" w:hAnsi="Times New Roman" w:cs="Times New Roman"/>
          <w:noProof/>
          <w:sz w:val="24"/>
          <w:szCs w:val="24"/>
          <w:lang w:val="sq-AL"/>
        </w:rPr>
        <w:t>ë</w:t>
      </w:r>
      <w:r w:rsidR="006E0767" w:rsidRPr="00641640">
        <w:rPr>
          <w:rFonts w:ascii="Times New Roman" w:hAnsi="Times New Roman" w:cs="Times New Roman"/>
          <w:noProof/>
          <w:sz w:val="24"/>
          <w:szCs w:val="24"/>
          <w:lang w:val="sq-AL"/>
        </w:rPr>
        <w:t xml:space="preserve"> vendit </w:t>
      </w:r>
      <w:r w:rsidR="00E96C02" w:rsidRPr="00641640">
        <w:rPr>
          <w:rFonts w:ascii="Times New Roman" w:hAnsi="Times New Roman" w:cs="Times New Roman"/>
          <w:noProof/>
          <w:sz w:val="24"/>
          <w:szCs w:val="24"/>
          <w:lang w:val="sq-AL"/>
        </w:rPr>
        <w:t>n</w:t>
      </w:r>
      <w:r w:rsidR="007F00FB" w:rsidRPr="00641640">
        <w:rPr>
          <w:rFonts w:ascii="Times New Roman" w:hAnsi="Times New Roman" w:cs="Times New Roman"/>
          <w:noProof/>
          <w:sz w:val="24"/>
          <w:szCs w:val="24"/>
          <w:lang w:val="sq-AL"/>
        </w:rPr>
        <w:t>ë</w:t>
      </w:r>
      <w:r w:rsidR="00E96C02" w:rsidRPr="00641640">
        <w:rPr>
          <w:rFonts w:ascii="Times New Roman" w:hAnsi="Times New Roman" w:cs="Times New Roman"/>
          <w:noProof/>
          <w:sz w:val="24"/>
          <w:szCs w:val="24"/>
          <w:lang w:val="sq-AL"/>
        </w:rPr>
        <w:t xml:space="preserve"> fush</w:t>
      </w:r>
      <w:r w:rsidR="007F00FB" w:rsidRPr="00641640">
        <w:rPr>
          <w:rFonts w:ascii="Times New Roman" w:hAnsi="Times New Roman" w:cs="Times New Roman"/>
          <w:noProof/>
          <w:sz w:val="24"/>
          <w:szCs w:val="24"/>
          <w:lang w:val="sq-AL"/>
        </w:rPr>
        <w:t>ë</w:t>
      </w:r>
      <w:r w:rsidR="00E96C02" w:rsidRPr="00641640">
        <w:rPr>
          <w:rFonts w:ascii="Times New Roman" w:hAnsi="Times New Roman" w:cs="Times New Roman"/>
          <w:noProof/>
          <w:sz w:val="24"/>
          <w:szCs w:val="24"/>
          <w:lang w:val="sq-AL"/>
        </w:rPr>
        <w:t xml:space="preserve">n e </w:t>
      </w:r>
      <w:r w:rsidR="006E0767" w:rsidRPr="00641640">
        <w:rPr>
          <w:rFonts w:ascii="Times New Roman" w:hAnsi="Times New Roman" w:cs="Times New Roman"/>
          <w:noProof/>
          <w:sz w:val="24"/>
          <w:szCs w:val="24"/>
          <w:lang w:val="sq-AL"/>
        </w:rPr>
        <w:t>reform</w:t>
      </w:r>
      <w:r w:rsidR="00064AC5" w:rsidRPr="00641640">
        <w:rPr>
          <w:rFonts w:ascii="Times New Roman" w:hAnsi="Times New Roman" w:cs="Times New Roman"/>
          <w:noProof/>
          <w:sz w:val="24"/>
          <w:szCs w:val="24"/>
          <w:lang w:val="sq-AL"/>
        </w:rPr>
        <w:t>ë</w:t>
      </w:r>
      <w:r w:rsidR="006E0767" w:rsidRPr="00641640">
        <w:rPr>
          <w:rFonts w:ascii="Times New Roman" w:hAnsi="Times New Roman" w:cs="Times New Roman"/>
          <w:noProof/>
          <w:sz w:val="24"/>
          <w:szCs w:val="24"/>
          <w:lang w:val="sq-AL"/>
        </w:rPr>
        <w:t>s n</w:t>
      </w:r>
      <w:r w:rsidR="00064AC5" w:rsidRPr="00641640">
        <w:rPr>
          <w:rFonts w:ascii="Times New Roman" w:hAnsi="Times New Roman" w:cs="Times New Roman"/>
          <w:noProof/>
          <w:sz w:val="24"/>
          <w:szCs w:val="24"/>
          <w:lang w:val="sq-AL"/>
        </w:rPr>
        <w:t>ë</w:t>
      </w:r>
      <w:r w:rsidR="006E0767" w:rsidRPr="00641640">
        <w:rPr>
          <w:rFonts w:ascii="Times New Roman" w:hAnsi="Times New Roman" w:cs="Times New Roman"/>
          <w:noProof/>
          <w:sz w:val="24"/>
          <w:szCs w:val="24"/>
          <w:lang w:val="sq-AL"/>
        </w:rPr>
        <w:t xml:space="preserve"> </w:t>
      </w:r>
      <w:r w:rsidR="00E96C02" w:rsidRPr="00641640">
        <w:rPr>
          <w:rFonts w:ascii="Times New Roman" w:hAnsi="Times New Roman" w:cs="Times New Roman"/>
          <w:noProof/>
          <w:sz w:val="24"/>
          <w:szCs w:val="24"/>
          <w:lang w:val="sq-AL"/>
        </w:rPr>
        <w:t>administrat</w:t>
      </w:r>
      <w:r w:rsidR="007F00FB" w:rsidRPr="00641640">
        <w:rPr>
          <w:rFonts w:ascii="Times New Roman" w:hAnsi="Times New Roman" w:cs="Times New Roman"/>
          <w:noProof/>
          <w:sz w:val="24"/>
          <w:szCs w:val="24"/>
          <w:lang w:val="sq-AL"/>
        </w:rPr>
        <w:t>ë</w:t>
      </w:r>
      <w:r w:rsidR="006E0767" w:rsidRPr="00641640">
        <w:rPr>
          <w:rFonts w:ascii="Times New Roman" w:hAnsi="Times New Roman" w:cs="Times New Roman"/>
          <w:noProof/>
          <w:sz w:val="24"/>
          <w:szCs w:val="24"/>
          <w:lang w:val="sq-AL"/>
        </w:rPr>
        <w:t>n</w:t>
      </w:r>
      <w:r w:rsidR="00E96C02" w:rsidRPr="00641640">
        <w:rPr>
          <w:rFonts w:ascii="Times New Roman" w:hAnsi="Times New Roman" w:cs="Times New Roman"/>
          <w:noProof/>
          <w:sz w:val="24"/>
          <w:szCs w:val="24"/>
          <w:lang w:val="sq-AL"/>
        </w:rPr>
        <w:t xml:space="preserve"> publike.</w:t>
      </w:r>
    </w:p>
    <w:p w14:paraId="372A385F" w14:textId="039AC1D2" w:rsidR="00826434" w:rsidRDefault="00FA3587" w:rsidP="003A395D">
      <w:pPr>
        <w:spacing w:line="276" w:lineRule="auto"/>
        <w:jc w:val="both"/>
        <w:rPr>
          <w:rFonts w:ascii="Times New Roman" w:hAnsi="Times New Roman" w:cs="Times New Roman"/>
          <w:noProof/>
          <w:sz w:val="24"/>
          <w:szCs w:val="24"/>
          <w:lang w:val="sq-AL"/>
        </w:rPr>
      </w:pPr>
      <w:r w:rsidRPr="00FA3587">
        <w:rPr>
          <w:rFonts w:ascii="Times New Roman" w:hAnsi="Times New Roman" w:cs="Times New Roman"/>
          <w:noProof/>
          <w:sz w:val="24"/>
          <w:szCs w:val="24"/>
        </w:rPr>
        <w:t>Rekomandimet e Komisionit Evropian mbështeten gjerësisht në Parimet e Administratës Publike të OECD/SIGMA, të detajuara në</w:t>
      </w:r>
      <w:r w:rsidRPr="00FA3587">
        <w:rPr>
          <w:rFonts w:ascii="Times New Roman" w:hAnsi="Times New Roman" w:cs="Times New Roman"/>
          <w:i/>
          <w:iCs/>
          <w:noProof/>
          <w:sz w:val="24"/>
          <w:szCs w:val="24"/>
        </w:rPr>
        <w:t>“Udhërrëfyesin për Reformën në Administratën Publike 2023-2030”</w:t>
      </w:r>
      <w:r w:rsidRPr="00FA3587">
        <w:rPr>
          <w:rFonts w:ascii="Times New Roman" w:hAnsi="Times New Roman" w:cs="Times New Roman"/>
          <w:noProof/>
          <w:sz w:val="24"/>
          <w:szCs w:val="24"/>
        </w:rPr>
        <w:t>, si dokument i politikave shtetërore dhe një nga piketat hapëse të grupkapitullit të parë “Themelorët”, në kuadër të negociatave për anëtarësim.  Në total në këtë dokument strategjik janë dakordësuar 172 ( ndër të cilat 66 i përkasin shtyllës së vlerësimit të performancës) masa me afate të ndryshme kohore të shtrira deri në vitin 2030, të ndara sipas parimeve kryesore të administratës publike. Ky dokument gjithëpërfshirës identifikon elementët kyç</w:t>
      </w:r>
      <w:r w:rsidR="001A7841">
        <w:rPr>
          <w:rFonts w:ascii="Times New Roman" w:hAnsi="Times New Roman" w:cs="Times New Roman"/>
          <w:noProof/>
          <w:sz w:val="24"/>
          <w:szCs w:val="24"/>
        </w:rPr>
        <w:t>ë</w:t>
      </w:r>
      <w:r w:rsidRPr="00FA3587">
        <w:rPr>
          <w:rFonts w:ascii="Times New Roman" w:hAnsi="Times New Roman" w:cs="Times New Roman"/>
          <w:noProof/>
          <w:sz w:val="24"/>
          <w:szCs w:val="24"/>
        </w:rPr>
        <w:t xml:space="preserve"> që sigurojnë hartimin dhe zbatimin efektiv të politikave në funksion të qeverisjes së mirë publike. Të gjitha masat e përfshira në këtë udhërrëfyes janë të detajuar në </w:t>
      </w:r>
      <w:r w:rsidR="00324378">
        <w:rPr>
          <w:rFonts w:ascii="Times New Roman" w:hAnsi="Times New Roman" w:cs="Times New Roman"/>
          <w:noProof/>
          <w:sz w:val="24"/>
          <w:szCs w:val="24"/>
        </w:rPr>
        <w:t>P</w:t>
      </w:r>
      <w:r w:rsidRPr="00FA3587">
        <w:rPr>
          <w:rFonts w:ascii="Times New Roman" w:hAnsi="Times New Roman" w:cs="Times New Roman"/>
          <w:noProof/>
          <w:sz w:val="24"/>
          <w:szCs w:val="24"/>
        </w:rPr>
        <w:t xml:space="preserve">lanin e </w:t>
      </w:r>
      <w:r w:rsidR="00324378">
        <w:rPr>
          <w:rFonts w:ascii="Times New Roman" w:hAnsi="Times New Roman" w:cs="Times New Roman"/>
          <w:noProof/>
          <w:sz w:val="24"/>
          <w:szCs w:val="24"/>
        </w:rPr>
        <w:t>V</w:t>
      </w:r>
      <w:r w:rsidRPr="00FA3587">
        <w:rPr>
          <w:rFonts w:ascii="Times New Roman" w:hAnsi="Times New Roman" w:cs="Times New Roman"/>
          <w:noProof/>
          <w:sz w:val="24"/>
          <w:szCs w:val="24"/>
        </w:rPr>
        <w:t>eprimit të SNRAP 2025-2030. Këto masa përkufizojnë qartë kërkesat kryesore që Shqipëria duhet të përmbushë gjatë procesit të integrimit në Bashkimin Evropian, në funksion të reformimit të administratës publike në përputhje me standardet më të avancuara evropiane.</w:t>
      </w:r>
      <w:r w:rsidR="006E0767" w:rsidRPr="00641640">
        <w:rPr>
          <w:rFonts w:ascii="Times New Roman" w:hAnsi="Times New Roman" w:cs="Times New Roman"/>
          <w:noProof/>
          <w:sz w:val="24"/>
          <w:szCs w:val="24"/>
          <w:lang w:val="sq-AL"/>
        </w:rPr>
        <w:t xml:space="preserve"> </w:t>
      </w:r>
    </w:p>
    <w:p w14:paraId="35A5F48F" w14:textId="4189677D" w:rsidR="008C75FC" w:rsidRPr="007330B9" w:rsidRDefault="007330B9" w:rsidP="003A395D">
      <w:pPr>
        <w:spacing w:line="276" w:lineRule="auto"/>
        <w:jc w:val="both"/>
        <w:rPr>
          <w:rFonts w:ascii="Times New Roman" w:hAnsi="Times New Roman" w:cs="Times New Roman"/>
          <w:noProof/>
          <w:sz w:val="24"/>
          <w:szCs w:val="24"/>
        </w:rPr>
      </w:pPr>
      <w:r w:rsidRPr="007330B9">
        <w:rPr>
          <w:rFonts w:ascii="Times New Roman" w:hAnsi="Times New Roman" w:cs="Times New Roman"/>
          <w:noProof/>
          <w:sz w:val="24"/>
          <w:szCs w:val="24"/>
        </w:rPr>
        <w:lastRenderedPageBreak/>
        <w:t>Vlerësimi më i fundit i OECD/SIGMA për vitin 2024 analizoi statusin aktual të punës për reformën në administratën publike në Shqipëri, duke evidentuar arritjet dhe sfidat për adresim sa i përket përmirësimit të performancës së administratës publike në përputhje me agjendën kombëtare të vendit për integrimin evropian. Përgjithësisht, performanca e Shqipërisë në të gjitha fushat e veprimit të RAP vlerësohet pozitivisht në krahasim me vendet e tjera të rajonit, duke u pozicionuar mbi mesataren rajonale në 5 nga 6 shtyllat e vlerësimit.</w:t>
      </w:r>
    </w:p>
    <w:p w14:paraId="171F7DD1" w14:textId="643777CE" w:rsidR="0032075F" w:rsidRPr="00641640" w:rsidRDefault="0032075F"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w:t>
      </w:r>
      <w:r w:rsidR="00A601E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15 </w:t>
      </w:r>
      <w:r w:rsidR="00B36B9A" w:rsidRPr="00641640">
        <w:rPr>
          <w:rFonts w:ascii="Times New Roman" w:hAnsi="Times New Roman" w:cs="Times New Roman"/>
          <w:noProof/>
          <w:sz w:val="24"/>
          <w:szCs w:val="24"/>
          <w:lang w:val="sq-AL"/>
        </w:rPr>
        <w:t>T</w:t>
      </w:r>
      <w:r w:rsidRPr="00641640">
        <w:rPr>
          <w:rFonts w:ascii="Times New Roman" w:hAnsi="Times New Roman" w:cs="Times New Roman"/>
          <w:noProof/>
          <w:sz w:val="24"/>
          <w:szCs w:val="24"/>
          <w:lang w:val="sq-AL"/>
        </w:rPr>
        <w:t>etor 2024, u mbajt Konferenca e Dyt</w:t>
      </w:r>
      <w:r w:rsidR="00A601E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Nd</w:t>
      </w:r>
      <w:r w:rsidR="00A601E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rqeveritare Shqip</w:t>
      </w:r>
      <w:r w:rsidR="00A601E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ri-Bashkimi Evropian, n</w:t>
      </w:r>
      <w:r w:rsidR="00A601E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w:t>
      </w:r>
      <w:r w:rsidR="00A601E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cil</w:t>
      </w:r>
      <w:r w:rsidR="00A601E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n u vendos zyrtarisht çelja e negociatave p</w:t>
      </w:r>
      <w:r w:rsidR="00A601E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 Grupkapitujt I “Themeloret”, </w:t>
      </w:r>
      <w:r w:rsidR="005F19C5" w:rsidRPr="00641640">
        <w:rPr>
          <w:rFonts w:ascii="Times New Roman" w:hAnsi="Times New Roman" w:cs="Times New Roman"/>
          <w:noProof/>
          <w:sz w:val="24"/>
          <w:szCs w:val="24"/>
          <w:lang w:val="sq-AL"/>
        </w:rPr>
        <w:t>e cila p</w:t>
      </w:r>
      <w:r w:rsidR="00A601E4"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rfshin, mes t</w:t>
      </w:r>
      <w:r w:rsidR="00A601E4"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 xml:space="preserve"> tjerash, edhe </w:t>
      </w:r>
      <w:r w:rsidRPr="00641640">
        <w:rPr>
          <w:rFonts w:ascii="Times New Roman" w:hAnsi="Times New Roman" w:cs="Times New Roman"/>
          <w:noProof/>
          <w:sz w:val="24"/>
          <w:szCs w:val="24"/>
          <w:lang w:val="sq-AL"/>
        </w:rPr>
        <w:t>Reform</w:t>
      </w:r>
      <w:r w:rsidR="00A601E4"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 xml:space="preserve"> n</w:t>
      </w:r>
      <w:r w:rsidR="00A601E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Administrat</w:t>
      </w:r>
      <w:r w:rsidR="00A601E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n Publike </w:t>
      </w:r>
      <w:r w:rsidR="005F19C5" w:rsidRPr="00641640">
        <w:rPr>
          <w:rFonts w:ascii="Times New Roman" w:hAnsi="Times New Roman" w:cs="Times New Roman"/>
          <w:noProof/>
          <w:sz w:val="24"/>
          <w:szCs w:val="24"/>
          <w:lang w:val="sq-AL"/>
        </w:rPr>
        <w:t>si nj</w:t>
      </w:r>
      <w:r w:rsidR="00A601E4"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 xml:space="preserve"> element thelb</w:t>
      </w:r>
      <w:r w:rsidR="00A601E4"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sor i suksesit t</w:t>
      </w:r>
      <w:r w:rsidR="00A601E4"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 xml:space="preserve"> procesit t</w:t>
      </w:r>
      <w:r w:rsidR="00A601E4"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r</w:t>
      </w:r>
      <w:r w:rsidR="00A601E4"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sor t</w:t>
      </w:r>
      <w:r w:rsidR="00A601E4"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 xml:space="preserve"> negociatave t</w:t>
      </w:r>
      <w:r w:rsidR="00A601E4"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 xml:space="preserve"> an</w:t>
      </w:r>
      <w:r w:rsidR="00A601E4"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tar</w:t>
      </w:r>
      <w:r w:rsidR="00A601E4"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 xml:space="preserve">simit.  </w:t>
      </w:r>
    </w:p>
    <w:p w14:paraId="3512EC7B" w14:textId="1AD741FE" w:rsidR="00BB4EA8" w:rsidRPr="00641640" w:rsidRDefault="005F19C5"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w:t>
      </w:r>
      <w:r w:rsidR="00A601E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zbatim t</w:t>
      </w:r>
      <w:r w:rsidR="00A601E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detyrimeve q</w:t>
      </w:r>
      <w:r w:rsidR="00A601E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parashtrohen n</w:t>
      </w:r>
      <w:r w:rsidR="00A601E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w:t>
      </w:r>
      <w:r w:rsidR="00A601E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t</w:t>
      </w:r>
      <w:r w:rsidR="00A601E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kuad</w:t>
      </w:r>
      <w:r w:rsidR="00A601E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 </w:t>
      </w:r>
      <w:r w:rsidR="007974DE" w:rsidRPr="00641640">
        <w:rPr>
          <w:rFonts w:ascii="Times New Roman" w:hAnsi="Times New Roman" w:cs="Times New Roman"/>
          <w:noProof/>
          <w:sz w:val="24"/>
          <w:szCs w:val="24"/>
          <w:lang w:val="sq-AL"/>
        </w:rPr>
        <w:t>Strategjia Ndërsektoriale për Reformën në Administratën Publike 202</w:t>
      </w:r>
      <w:r w:rsidR="00EF085A" w:rsidRPr="00641640">
        <w:rPr>
          <w:rFonts w:ascii="Times New Roman" w:hAnsi="Times New Roman" w:cs="Times New Roman"/>
          <w:noProof/>
          <w:sz w:val="24"/>
          <w:szCs w:val="24"/>
          <w:lang w:val="sq-AL"/>
        </w:rPr>
        <w:t>5</w:t>
      </w:r>
      <w:r w:rsidR="007974DE" w:rsidRPr="00641640">
        <w:rPr>
          <w:rFonts w:ascii="Times New Roman" w:hAnsi="Times New Roman" w:cs="Times New Roman"/>
          <w:noProof/>
          <w:sz w:val="24"/>
          <w:szCs w:val="24"/>
          <w:lang w:val="sq-AL"/>
        </w:rPr>
        <w:t xml:space="preserve">-2030 mbulon pesë fusha prioritare në përputhje me </w:t>
      </w:r>
      <w:r w:rsidR="00324378">
        <w:rPr>
          <w:rFonts w:ascii="Times New Roman" w:hAnsi="Times New Roman" w:cs="Times New Roman"/>
          <w:noProof/>
          <w:sz w:val="24"/>
          <w:szCs w:val="24"/>
          <w:lang w:val="sq-AL"/>
        </w:rPr>
        <w:t>“</w:t>
      </w:r>
      <w:r w:rsidR="007974DE" w:rsidRPr="00641640">
        <w:rPr>
          <w:rFonts w:ascii="Times New Roman" w:hAnsi="Times New Roman" w:cs="Times New Roman"/>
          <w:noProof/>
          <w:sz w:val="24"/>
          <w:szCs w:val="24"/>
          <w:lang w:val="sq-AL"/>
        </w:rPr>
        <w:t>Parimet e Administratës Publike</w:t>
      </w:r>
      <w:r w:rsidR="00324378">
        <w:rPr>
          <w:rFonts w:ascii="Times New Roman" w:hAnsi="Times New Roman" w:cs="Times New Roman"/>
          <w:noProof/>
          <w:sz w:val="24"/>
          <w:szCs w:val="24"/>
          <w:lang w:val="sq-AL"/>
        </w:rPr>
        <w:t>”</w:t>
      </w:r>
      <w:r w:rsidR="007974DE" w:rsidRPr="00641640">
        <w:rPr>
          <w:rFonts w:ascii="Times New Roman" w:hAnsi="Times New Roman" w:cs="Times New Roman"/>
          <w:noProof/>
          <w:sz w:val="24"/>
          <w:szCs w:val="24"/>
          <w:lang w:val="sq-AL"/>
        </w:rPr>
        <w:t xml:space="preserve"> të përcaktuara nga SIGMA.</w:t>
      </w:r>
      <w:r w:rsidR="007974DE" w:rsidRPr="00641640">
        <w:rPr>
          <w:rStyle w:val="FootnoteReference"/>
          <w:rFonts w:ascii="Times New Roman" w:hAnsi="Times New Roman" w:cs="Times New Roman"/>
          <w:noProof/>
          <w:sz w:val="24"/>
          <w:szCs w:val="24"/>
          <w:lang w:val="sq-AL"/>
        </w:rPr>
        <w:footnoteReference w:id="27"/>
      </w:r>
      <w:r w:rsidR="007974DE" w:rsidRPr="00641640">
        <w:rPr>
          <w:rFonts w:ascii="Times New Roman" w:hAnsi="Times New Roman" w:cs="Times New Roman"/>
          <w:noProof/>
          <w:sz w:val="24"/>
          <w:szCs w:val="24"/>
          <w:lang w:val="sq-AL"/>
        </w:rPr>
        <w:t xml:space="preserve"> </w:t>
      </w:r>
      <w:r w:rsidR="00964F44" w:rsidRPr="00641640">
        <w:rPr>
          <w:rFonts w:ascii="Times New Roman" w:hAnsi="Times New Roman" w:cs="Times New Roman"/>
          <w:noProof/>
          <w:sz w:val="24"/>
          <w:szCs w:val="24"/>
          <w:lang w:val="sq-AL"/>
        </w:rPr>
        <w:t>T</w:t>
      </w:r>
      <w:r w:rsidR="00AF28F8" w:rsidRPr="00641640">
        <w:rPr>
          <w:rFonts w:ascii="Times New Roman" w:hAnsi="Times New Roman" w:cs="Times New Roman"/>
          <w:noProof/>
          <w:sz w:val="24"/>
          <w:szCs w:val="24"/>
          <w:lang w:val="sq-AL"/>
        </w:rPr>
        <w:t>ë</w:t>
      </w:r>
      <w:r w:rsidR="00964F44" w:rsidRPr="00641640">
        <w:rPr>
          <w:rFonts w:ascii="Times New Roman" w:hAnsi="Times New Roman" w:cs="Times New Roman"/>
          <w:noProof/>
          <w:sz w:val="24"/>
          <w:szCs w:val="24"/>
          <w:lang w:val="sq-AL"/>
        </w:rPr>
        <w:t xml:space="preserve"> gjith</w:t>
      </w:r>
      <w:r w:rsidR="007335C0" w:rsidRPr="00641640">
        <w:rPr>
          <w:rFonts w:ascii="Times New Roman" w:hAnsi="Times New Roman" w:cs="Times New Roman"/>
          <w:noProof/>
          <w:sz w:val="24"/>
          <w:szCs w:val="24"/>
          <w:lang w:val="sq-AL"/>
        </w:rPr>
        <w:t>a</w:t>
      </w:r>
      <w:r w:rsidR="00964F44" w:rsidRPr="00641640">
        <w:rPr>
          <w:rFonts w:ascii="Times New Roman" w:hAnsi="Times New Roman" w:cs="Times New Roman"/>
          <w:noProof/>
          <w:sz w:val="24"/>
          <w:szCs w:val="24"/>
          <w:lang w:val="sq-AL"/>
        </w:rPr>
        <w:t xml:space="preserve"> </w:t>
      </w:r>
      <w:r w:rsidR="007335C0" w:rsidRPr="00641640">
        <w:rPr>
          <w:rFonts w:ascii="Times New Roman" w:hAnsi="Times New Roman" w:cs="Times New Roman"/>
          <w:noProof/>
          <w:sz w:val="24"/>
          <w:szCs w:val="24"/>
          <w:lang w:val="sq-AL"/>
        </w:rPr>
        <w:t>gjetjet</w:t>
      </w:r>
      <w:r w:rsidR="007974DE" w:rsidRPr="00641640">
        <w:rPr>
          <w:rFonts w:ascii="Times New Roman" w:hAnsi="Times New Roman" w:cs="Times New Roman"/>
          <w:noProof/>
          <w:sz w:val="24"/>
          <w:szCs w:val="24"/>
          <w:lang w:val="sq-AL"/>
        </w:rPr>
        <w:t xml:space="preserve"> dhe rekomandimet e ofruara nga vler</w:t>
      </w:r>
      <w:r w:rsidR="00064AC5" w:rsidRPr="00641640">
        <w:rPr>
          <w:rFonts w:ascii="Times New Roman" w:hAnsi="Times New Roman" w:cs="Times New Roman"/>
          <w:noProof/>
          <w:sz w:val="24"/>
          <w:szCs w:val="24"/>
          <w:lang w:val="sq-AL"/>
        </w:rPr>
        <w:t>ë</w:t>
      </w:r>
      <w:r w:rsidR="007974DE" w:rsidRPr="00641640">
        <w:rPr>
          <w:rFonts w:ascii="Times New Roman" w:hAnsi="Times New Roman" w:cs="Times New Roman"/>
          <w:noProof/>
          <w:sz w:val="24"/>
          <w:szCs w:val="24"/>
          <w:lang w:val="sq-AL"/>
        </w:rPr>
        <w:t>simi i OECD/SIGMA</w:t>
      </w:r>
      <w:r w:rsidR="00964F44" w:rsidRPr="00641640">
        <w:rPr>
          <w:rFonts w:ascii="Times New Roman" w:hAnsi="Times New Roman" w:cs="Times New Roman"/>
          <w:noProof/>
          <w:sz w:val="24"/>
          <w:szCs w:val="24"/>
          <w:lang w:val="sq-AL"/>
        </w:rPr>
        <w:t xml:space="preserve"> jan</w:t>
      </w:r>
      <w:r w:rsidR="00AF28F8" w:rsidRPr="00641640">
        <w:rPr>
          <w:rFonts w:ascii="Times New Roman" w:hAnsi="Times New Roman" w:cs="Times New Roman"/>
          <w:noProof/>
          <w:sz w:val="24"/>
          <w:szCs w:val="24"/>
          <w:lang w:val="sq-AL"/>
        </w:rPr>
        <w:t>ë</w:t>
      </w:r>
      <w:r w:rsidR="00964F44" w:rsidRPr="00641640">
        <w:rPr>
          <w:rFonts w:ascii="Times New Roman" w:hAnsi="Times New Roman" w:cs="Times New Roman"/>
          <w:noProof/>
          <w:sz w:val="24"/>
          <w:szCs w:val="24"/>
          <w:lang w:val="sq-AL"/>
        </w:rPr>
        <w:t xml:space="preserve"> </w:t>
      </w:r>
      <w:r w:rsidR="007974DE" w:rsidRPr="00641640">
        <w:rPr>
          <w:rFonts w:ascii="Times New Roman" w:hAnsi="Times New Roman" w:cs="Times New Roman"/>
          <w:noProof/>
          <w:sz w:val="24"/>
          <w:szCs w:val="24"/>
          <w:lang w:val="sq-AL"/>
        </w:rPr>
        <w:t xml:space="preserve">analizuar </w:t>
      </w:r>
      <w:r w:rsidR="00964F44" w:rsidRPr="00641640">
        <w:rPr>
          <w:rFonts w:ascii="Times New Roman" w:hAnsi="Times New Roman" w:cs="Times New Roman"/>
          <w:noProof/>
          <w:sz w:val="24"/>
          <w:szCs w:val="24"/>
          <w:lang w:val="sq-AL"/>
        </w:rPr>
        <w:t>dhe reflektuar n</w:t>
      </w:r>
      <w:r w:rsidR="00AF28F8" w:rsidRPr="00641640">
        <w:rPr>
          <w:rFonts w:ascii="Times New Roman" w:hAnsi="Times New Roman" w:cs="Times New Roman"/>
          <w:noProof/>
          <w:sz w:val="24"/>
          <w:szCs w:val="24"/>
          <w:lang w:val="sq-AL"/>
        </w:rPr>
        <w:t>ë</w:t>
      </w:r>
      <w:r w:rsidR="00964F44" w:rsidRPr="00641640">
        <w:rPr>
          <w:rFonts w:ascii="Times New Roman" w:hAnsi="Times New Roman" w:cs="Times New Roman"/>
          <w:noProof/>
          <w:sz w:val="24"/>
          <w:szCs w:val="24"/>
          <w:lang w:val="sq-AL"/>
        </w:rPr>
        <w:t xml:space="preserve"> Strategji</w:t>
      </w:r>
      <w:r w:rsidR="00645489" w:rsidRPr="00641640">
        <w:rPr>
          <w:rFonts w:ascii="Times New Roman" w:hAnsi="Times New Roman" w:cs="Times New Roman"/>
          <w:noProof/>
          <w:sz w:val="24"/>
          <w:szCs w:val="24"/>
          <w:lang w:val="sq-AL"/>
        </w:rPr>
        <w:t>n</w:t>
      </w:r>
      <w:r w:rsidR="00AF28F8" w:rsidRPr="00641640">
        <w:rPr>
          <w:rFonts w:ascii="Times New Roman" w:hAnsi="Times New Roman" w:cs="Times New Roman"/>
          <w:noProof/>
          <w:sz w:val="24"/>
          <w:szCs w:val="24"/>
          <w:lang w:val="sq-AL"/>
        </w:rPr>
        <w:t>ë</w:t>
      </w:r>
      <w:r w:rsidR="00964F44" w:rsidRPr="00641640">
        <w:rPr>
          <w:rFonts w:ascii="Times New Roman" w:hAnsi="Times New Roman" w:cs="Times New Roman"/>
          <w:noProof/>
          <w:sz w:val="24"/>
          <w:szCs w:val="24"/>
          <w:lang w:val="sq-AL"/>
        </w:rPr>
        <w:t xml:space="preserve"> </w:t>
      </w:r>
      <w:r w:rsidR="00645489" w:rsidRPr="00641640">
        <w:rPr>
          <w:rFonts w:ascii="Times New Roman" w:hAnsi="Times New Roman" w:cs="Times New Roman"/>
          <w:noProof/>
          <w:sz w:val="24"/>
          <w:szCs w:val="24"/>
          <w:lang w:val="sq-AL"/>
        </w:rPr>
        <w:t xml:space="preserve">e </w:t>
      </w:r>
      <w:r w:rsidR="00964F44" w:rsidRPr="00641640">
        <w:rPr>
          <w:rFonts w:ascii="Times New Roman" w:hAnsi="Times New Roman" w:cs="Times New Roman"/>
          <w:noProof/>
          <w:sz w:val="24"/>
          <w:szCs w:val="24"/>
          <w:lang w:val="sq-AL"/>
        </w:rPr>
        <w:t>re Nd</w:t>
      </w:r>
      <w:r w:rsidR="00AF28F8" w:rsidRPr="00641640">
        <w:rPr>
          <w:rFonts w:ascii="Times New Roman" w:hAnsi="Times New Roman" w:cs="Times New Roman"/>
          <w:noProof/>
          <w:sz w:val="24"/>
          <w:szCs w:val="24"/>
          <w:lang w:val="sq-AL"/>
        </w:rPr>
        <w:t>ë</w:t>
      </w:r>
      <w:r w:rsidR="00964F44" w:rsidRPr="00641640">
        <w:rPr>
          <w:rFonts w:ascii="Times New Roman" w:hAnsi="Times New Roman" w:cs="Times New Roman"/>
          <w:noProof/>
          <w:sz w:val="24"/>
          <w:szCs w:val="24"/>
          <w:lang w:val="sq-AL"/>
        </w:rPr>
        <w:t>rsektoriale p</w:t>
      </w:r>
      <w:r w:rsidR="00AF28F8" w:rsidRPr="00641640">
        <w:rPr>
          <w:rFonts w:ascii="Times New Roman" w:hAnsi="Times New Roman" w:cs="Times New Roman"/>
          <w:noProof/>
          <w:sz w:val="24"/>
          <w:szCs w:val="24"/>
          <w:lang w:val="sq-AL"/>
        </w:rPr>
        <w:t>ë</w:t>
      </w:r>
      <w:r w:rsidR="00964F44" w:rsidRPr="00641640">
        <w:rPr>
          <w:rFonts w:ascii="Times New Roman" w:hAnsi="Times New Roman" w:cs="Times New Roman"/>
          <w:noProof/>
          <w:sz w:val="24"/>
          <w:szCs w:val="24"/>
          <w:lang w:val="sq-AL"/>
        </w:rPr>
        <w:t>r Reform</w:t>
      </w:r>
      <w:r w:rsidR="00AF28F8" w:rsidRPr="00641640">
        <w:rPr>
          <w:rFonts w:ascii="Times New Roman" w:hAnsi="Times New Roman" w:cs="Times New Roman"/>
          <w:noProof/>
          <w:sz w:val="24"/>
          <w:szCs w:val="24"/>
          <w:lang w:val="sq-AL"/>
        </w:rPr>
        <w:t>ë</w:t>
      </w:r>
      <w:r w:rsidR="00964F44" w:rsidRPr="00641640">
        <w:rPr>
          <w:rFonts w:ascii="Times New Roman" w:hAnsi="Times New Roman" w:cs="Times New Roman"/>
          <w:noProof/>
          <w:sz w:val="24"/>
          <w:szCs w:val="24"/>
          <w:lang w:val="sq-AL"/>
        </w:rPr>
        <w:t>n n</w:t>
      </w:r>
      <w:r w:rsidR="00AF28F8" w:rsidRPr="00641640">
        <w:rPr>
          <w:rFonts w:ascii="Times New Roman" w:hAnsi="Times New Roman" w:cs="Times New Roman"/>
          <w:noProof/>
          <w:sz w:val="24"/>
          <w:szCs w:val="24"/>
          <w:lang w:val="sq-AL"/>
        </w:rPr>
        <w:t>ë</w:t>
      </w:r>
      <w:r w:rsidR="00964F44" w:rsidRPr="00641640">
        <w:rPr>
          <w:rFonts w:ascii="Times New Roman" w:hAnsi="Times New Roman" w:cs="Times New Roman"/>
          <w:noProof/>
          <w:sz w:val="24"/>
          <w:szCs w:val="24"/>
          <w:lang w:val="sq-AL"/>
        </w:rPr>
        <w:t xml:space="preserve"> Administrat</w:t>
      </w:r>
      <w:r w:rsidR="00AF28F8" w:rsidRPr="00641640">
        <w:rPr>
          <w:rFonts w:ascii="Times New Roman" w:hAnsi="Times New Roman" w:cs="Times New Roman"/>
          <w:noProof/>
          <w:sz w:val="24"/>
          <w:szCs w:val="24"/>
          <w:lang w:val="sq-AL"/>
        </w:rPr>
        <w:t>ë</w:t>
      </w:r>
      <w:r w:rsidR="00964F44" w:rsidRPr="00641640">
        <w:rPr>
          <w:rFonts w:ascii="Times New Roman" w:hAnsi="Times New Roman" w:cs="Times New Roman"/>
          <w:noProof/>
          <w:sz w:val="24"/>
          <w:szCs w:val="24"/>
          <w:lang w:val="sq-AL"/>
        </w:rPr>
        <w:t>n Publike p</w:t>
      </w:r>
      <w:r w:rsidR="00AF28F8" w:rsidRPr="00641640">
        <w:rPr>
          <w:rFonts w:ascii="Times New Roman" w:hAnsi="Times New Roman" w:cs="Times New Roman"/>
          <w:noProof/>
          <w:sz w:val="24"/>
          <w:szCs w:val="24"/>
          <w:lang w:val="sq-AL"/>
        </w:rPr>
        <w:t>ë</w:t>
      </w:r>
      <w:r w:rsidR="00964F44" w:rsidRPr="00641640">
        <w:rPr>
          <w:rFonts w:ascii="Times New Roman" w:hAnsi="Times New Roman" w:cs="Times New Roman"/>
          <w:noProof/>
          <w:sz w:val="24"/>
          <w:szCs w:val="24"/>
          <w:lang w:val="sq-AL"/>
        </w:rPr>
        <w:t>r periudh</w:t>
      </w:r>
      <w:r w:rsidR="00AF28F8" w:rsidRPr="00641640">
        <w:rPr>
          <w:rFonts w:ascii="Times New Roman" w:hAnsi="Times New Roman" w:cs="Times New Roman"/>
          <w:noProof/>
          <w:sz w:val="24"/>
          <w:szCs w:val="24"/>
          <w:lang w:val="sq-AL"/>
        </w:rPr>
        <w:t>ë</w:t>
      </w:r>
      <w:r w:rsidR="00964F44" w:rsidRPr="00641640">
        <w:rPr>
          <w:rFonts w:ascii="Times New Roman" w:hAnsi="Times New Roman" w:cs="Times New Roman"/>
          <w:noProof/>
          <w:sz w:val="24"/>
          <w:szCs w:val="24"/>
          <w:lang w:val="sq-AL"/>
        </w:rPr>
        <w:t>n 202</w:t>
      </w:r>
      <w:r w:rsidR="00246A1A" w:rsidRPr="00641640">
        <w:rPr>
          <w:rFonts w:ascii="Times New Roman" w:hAnsi="Times New Roman" w:cs="Times New Roman"/>
          <w:noProof/>
          <w:sz w:val="24"/>
          <w:szCs w:val="24"/>
          <w:lang w:val="sq-AL"/>
        </w:rPr>
        <w:t>5</w:t>
      </w:r>
      <w:r w:rsidR="00964F44" w:rsidRPr="00641640">
        <w:rPr>
          <w:rFonts w:ascii="Times New Roman" w:hAnsi="Times New Roman" w:cs="Times New Roman"/>
          <w:noProof/>
          <w:sz w:val="24"/>
          <w:szCs w:val="24"/>
          <w:lang w:val="sq-AL"/>
        </w:rPr>
        <w:t>-2030</w:t>
      </w:r>
      <w:r w:rsidR="007974DE" w:rsidRPr="00641640">
        <w:rPr>
          <w:rFonts w:ascii="Times New Roman" w:hAnsi="Times New Roman" w:cs="Times New Roman"/>
          <w:noProof/>
          <w:sz w:val="24"/>
          <w:szCs w:val="24"/>
          <w:lang w:val="sq-AL"/>
        </w:rPr>
        <w:t>, duke sh</w:t>
      </w:r>
      <w:r w:rsidR="00064AC5" w:rsidRPr="00641640">
        <w:rPr>
          <w:rFonts w:ascii="Times New Roman" w:hAnsi="Times New Roman" w:cs="Times New Roman"/>
          <w:noProof/>
          <w:sz w:val="24"/>
          <w:szCs w:val="24"/>
          <w:lang w:val="sq-AL"/>
        </w:rPr>
        <w:t>ë</w:t>
      </w:r>
      <w:r w:rsidR="007974DE" w:rsidRPr="00641640">
        <w:rPr>
          <w:rFonts w:ascii="Times New Roman" w:hAnsi="Times New Roman" w:cs="Times New Roman"/>
          <w:noProof/>
          <w:sz w:val="24"/>
          <w:szCs w:val="24"/>
          <w:lang w:val="sq-AL"/>
        </w:rPr>
        <w:t>rbyer s</w:t>
      </w:r>
      <w:r w:rsidR="002B51EC" w:rsidRPr="00641640">
        <w:rPr>
          <w:rFonts w:ascii="Times New Roman" w:hAnsi="Times New Roman" w:cs="Times New Roman"/>
          <w:noProof/>
          <w:sz w:val="24"/>
          <w:szCs w:val="24"/>
          <w:lang w:val="sq-AL"/>
        </w:rPr>
        <w:t>i</w:t>
      </w:r>
      <w:r w:rsidR="007974DE" w:rsidRPr="00641640">
        <w:rPr>
          <w:rFonts w:ascii="Times New Roman" w:hAnsi="Times New Roman" w:cs="Times New Roman"/>
          <w:noProof/>
          <w:sz w:val="24"/>
          <w:szCs w:val="24"/>
          <w:lang w:val="sq-AL"/>
        </w:rPr>
        <w:t xml:space="preserve"> udh</w:t>
      </w:r>
      <w:r w:rsidR="00064AC5" w:rsidRPr="00641640">
        <w:rPr>
          <w:rFonts w:ascii="Times New Roman" w:hAnsi="Times New Roman" w:cs="Times New Roman"/>
          <w:noProof/>
          <w:sz w:val="24"/>
          <w:szCs w:val="24"/>
          <w:lang w:val="sq-AL"/>
        </w:rPr>
        <w:t>ë</w:t>
      </w:r>
      <w:r w:rsidR="007974DE" w:rsidRPr="00641640">
        <w:rPr>
          <w:rFonts w:ascii="Times New Roman" w:hAnsi="Times New Roman" w:cs="Times New Roman"/>
          <w:noProof/>
          <w:sz w:val="24"/>
          <w:szCs w:val="24"/>
          <w:lang w:val="sq-AL"/>
        </w:rPr>
        <w:t>rr</w:t>
      </w:r>
      <w:r w:rsidR="00064AC5" w:rsidRPr="00641640">
        <w:rPr>
          <w:rFonts w:ascii="Times New Roman" w:hAnsi="Times New Roman" w:cs="Times New Roman"/>
          <w:noProof/>
          <w:sz w:val="24"/>
          <w:szCs w:val="24"/>
          <w:lang w:val="sq-AL"/>
        </w:rPr>
        <w:t>ë</w:t>
      </w:r>
      <w:r w:rsidR="007974DE" w:rsidRPr="00641640">
        <w:rPr>
          <w:rFonts w:ascii="Times New Roman" w:hAnsi="Times New Roman" w:cs="Times New Roman"/>
          <w:noProof/>
          <w:sz w:val="24"/>
          <w:szCs w:val="24"/>
          <w:lang w:val="sq-AL"/>
        </w:rPr>
        <w:t>fyes p</w:t>
      </w:r>
      <w:r w:rsidR="00064AC5" w:rsidRPr="00641640">
        <w:rPr>
          <w:rFonts w:ascii="Times New Roman" w:hAnsi="Times New Roman" w:cs="Times New Roman"/>
          <w:noProof/>
          <w:sz w:val="24"/>
          <w:szCs w:val="24"/>
          <w:lang w:val="sq-AL"/>
        </w:rPr>
        <w:t>ë</w:t>
      </w:r>
      <w:r w:rsidR="007974DE" w:rsidRPr="00641640">
        <w:rPr>
          <w:rFonts w:ascii="Times New Roman" w:hAnsi="Times New Roman" w:cs="Times New Roman"/>
          <w:noProof/>
          <w:sz w:val="24"/>
          <w:szCs w:val="24"/>
          <w:lang w:val="sq-AL"/>
        </w:rPr>
        <w:t>r parashikimin e angazhimeve konkrete t</w:t>
      </w:r>
      <w:r w:rsidR="00064AC5" w:rsidRPr="00641640">
        <w:rPr>
          <w:rFonts w:ascii="Times New Roman" w:hAnsi="Times New Roman" w:cs="Times New Roman"/>
          <w:noProof/>
          <w:sz w:val="24"/>
          <w:szCs w:val="24"/>
          <w:lang w:val="sq-AL"/>
        </w:rPr>
        <w:t>ë</w:t>
      </w:r>
      <w:r w:rsidR="007974DE" w:rsidRPr="00641640">
        <w:rPr>
          <w:rFonts w:ascii="Times New Roman" w:hAnsi="Times New Roman" w:cs="Times New Roman"/>
          <w:noProof/>
          <w:sz w:val="24"/>
          <w:szCs w:val="24"/>
          <w:lang w:val="sq-AL"/>
        </w:rPr>
        <w:t xml:space="preserve"> </w:t>
      </w:r>
      <w:r w:rsidR="007974DE" w:rsidRPr="006C694E">
        <w:rPr>
          <w:rFonts w:ascii="Times New Roman" w:hAnsi="Times New Roman" w:cs="Times New Roman"/>
          <w:noProof/>
          <w:sz w:val="24"/>
          <w:szCs w:val="24"/>
          <w:lang w:val="sq-AL"/>
        </w:rPr>
        <w:t>parashikuara n</w:t>
      </w:r>
      <w:r w:rsidR="00064AC5" w:rsidRPr="006C694E">
        <w:rPr>
          <w:rFonts w:ascii="Times New Roman" w:hAnsi="Times New Roman" w:cs="Times New Roman"/>
          <w:noProof/>
          <w:sz w:val="24"/>
          <w:szCs w:val="24"/>
          <w:lang w:val="sq-AL"/>
        </w:rPr>
        <w:t>ë</w:t>
      </w:r>
      <w:r w:rsidR="007974DE" w:rsidRPr="006C694E">
        <w:rPr>
          <w:rFonts w:ascii="Times New Roman" w:hAnsi="Times New Roman" w:cs="Times New Roman"/>
          <w:noProof/>
          <w:sz w:val="24"/>
          <w:szCs w:val="24"/>
          <w:lang w:val="sq-AL"/>
        </w:rPr>
        <w:t xml:space="preserve"> Strategji</w:t>
      </w:r>
      <w:r w:rsidR="00964F44" w:rsidRPr="006C694E">
        <w:rPr>
          <w:rFonts w:ascii="Times New Roman" w:hAnsi="Times New Roman" w:cs="Times New Roman"/>
          <w:noProof/>
          <w:sz w:val="24"/>
          <w:szCs w:val="24"/>
          <w:lang w:val="sq-AL"/>
        </w:rPr>
        <w:t xml:space="preserve">. </w:t>
      </w:r>
      <w:r w:rsidR="002B51EC" w:rsidRPr="006C694E">
        <w:rPr>
          <w:rFonts w:ascii="Times New Roman" w:hAnsi="Times New Roman" w:cs="Times New Roman"/>
          <w:noProof/>
          <w:sz w:val="24"/>
          <w:szCs w:val="24"/>
          <w:lang w:val="sq-AL"/>
        </w:rPr>
        <w:t>N</w:t>
      </w:r>
      <w:r w:rsidR="00064AC5"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 xml:space="preserve"> k</w:t>
      </w:r>
      <w:r w:rsidR="00064AC5"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t</w:t>
      </w:r>
      <w:r w:rsidR="00064AC5"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 xml:space="preserve"> drejtim,  i</w:t>
      </w:r>
      <w:r w:rsidR="00964F44" w:rsidRPr="006C694E">
        <w:rPr>
          <w:rFonts w:ascii="Times New Roman" w:hAnsi="Times New Roman" w:cs="Times New Roman"/>
          <w:noProof/>
          <w:sz w:val="24"/>
          <w:szCs w:val="24"/>
          <w:lang w:val="sq-AL"/>
        </w:rPr>
        <w:t xml:space="preserve">nstitucionet </w:t>
      </w:r>
      <w:r w:rsidR="002B51EC" w:rsidRPr="006C694E">
        <w:rPr>
          <w:rFonts w:ascii="Times New Roman" w:hAnsi="Times New Roman" w:cs="Times New Roman"/>
          <w:noProof/>
          <w:sz w:val="24"/>
          <w:szCs w:val="24"/>
          <w:lang w:val="sq-AL"/>
        </w:rPr>
        <w:t>bashk</w:t>
      </w:r>
      <w:r w:rsidR="00064AC5"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p</w:t>
      </w:r>
      <w:r w:rsidR="00064AC5"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rgjegj</w:t>
      </w:r>
      <w:r w:rsidR="00064AC5"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se p</w:t>
      </w:r>
      <w:r w:rsidR="00064AC5"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r zbatimin e k</w:t>
      </w:r>
      <w:r w:rsidR="00064AC5"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 xml:space="preserve">tyre angazhimeve </w:t>
      </w:r>
      <w:r w:rsidR="00964F44" w:rsidRPr="006C694E">
        <w:rPr>
          <w:rFonts w:ascii="Times New Roman" w:hAnsi="Times New Roman" w:cs="Times New Roman"/>
          <w:noProof/>
          <w:sz w:val="24"/>
          <w:szCs w:val="24"/>
          <w:lang w:val="sq-AL"/>
        </w:rPr>
        <w:t>kan</w:t>
      </w:r>
      <w:r w:rsidR="00AF28F8" w:rsidRPr="006C694E">
        <w:rPr>
          <w:rFonts w:ascii="Times New Roman" w:hAnsi="Times New Roman" w:cs="Times New Roman"/>
          <w:noProof/>
          <w:sz w:val="24"/>
          <w:szCs w:val="24"/>
          <w:lang w:val="sq-AL"/>
        </w:rPr>
        <w:t>ë</w:t>
      </w:r>
      <w:r w:rsidR="00964F44" w:rsidRPr="006C694E">
        <w:rPr>
          <w:rFonts w:ascii="Times New Roman" w:hAnsi="Times New Roman" w:cs="Times New Roman"/>
          <w:noProof/>
          <w:sz w:val="24"/>
          <w:szCs w:val="24"/>
          <w:lang w:val="sq-AL"/>
        </w:rPr>
        <w:t xml:space="preserve"> punuar p</w:t>
      </w:r>
      <w:r w:rsidR="00AF28F8" w:rsidRPr="006C694E">
        <w:rPr>
          <w:rFonts w:ascii="Times New Roman" w:hAnsi="Times New Roman" w:cs="Times New Roman"/>
          <w:noProof/>
          <w:sz w:val="24"/>
          <w:szCs w:val="24"/>
          <w:lang w:val="sq-AL"/>
        </w:rPr>
        <w:t>ë</w:t>
      </w:r>
      <w:r w:rsidR="00964F44" w:rsidRPr="006C694E">
        <w:rPr>
          <w:rFonts w:ascii="Times New Roman" w:hAnsi="Times New Roman" w:cs="Times New Roman"/>
          <w:noProof/>
          <w:sz w:val="24"/>
          <w:szCs w:val="24"/>
          <w:lang w:val="sq-AL"/>
        </w:rPr>
        <w:t>r t</w:t>
      </w:r>
      <w:r w:rsidR="00AF28F8" w:rsidRPr="006C694E">
        <w:rPr>
          <w:rFonts w:ascii="Times New Roman" w:hAnsi="Times New Roman" w:cs="Times New Roman"/>
          <w:noProof/>
          <w:sz w:val="24"/>
          <w:szCs w:val="24"/>
          <w:lang w:val="sq-AL"/>
        </w:rPr>
        <w:t>ë</w:t>
      </w:r>
      <w:r w:rsidR="00964F44" w:rsidRPr="006C694E">
        <w:rPr>
          <w:rFonts w:ascii="Times New Roman" w:hAnsi="Times New Roman" w:cs="Times New Roman"/>
          <w:noProof/>
          <w:sz w:val="24"/>
          <w:szCs w:val="24"/>
          <w:lang w:val="sq-AL"/>
        </w:rPr>
        <w:t xml:space="preserve"> </w:t>
      </w:r>
      <w:r w:rsidR="002B51EC" w:rsidRPr="006C694E">
        <w:rPr>
          <w:rFonts w:ascii="Times New Roman" w:hAnsi="Times New Roman" w:cs="Times New Roman"/>
          <w:noProof/>
          <w:sz w:val="24"/>
          <w:szCs w:val="24"/>
          <w:lang w:val="sq-AL"/>
        </w:rPr>
        <w:t>harmonizuar n</w:t>
      </w:r>
      <w:r w:rsidR="00064AC5"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 xml:space="preserve"> m</w:t>
      </w:r>
      <w:r w:rsidR="00064AC5"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nyr</w:t>
      </w:r>
      <w:r w:rsidR="00064AC5"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 xml:space="preserve"> optimale </w:t>
      </w:r>
      <w:r w:rsidR="004C2640" w:rsidRPr="006C694E">
        <w:rPr>
          <w:rFonts w:ascii="Times New Roman" w:hAnsi="Times New Roman" w:cs="Times New Roman"/>
          <w:noProof/>
          <w:sz w:val="24"/>
          <w:szCs w:val="24"/>
          <w:lang w:val="sq-AL"/>
        </w:rPr>
        <w:t xml:space="preserve">zotimet </w:t>
      </w:r>
      <w:r w:rsidR="002B51EC" w:rsidRPr="006C694E">
        <w:rPr>
          <w:rFonts w:ascii="Times New Roman" w:hAnsi="Times New Roman" w:cs="Times New Roman"/>
          <w:noProof/>
          <w:sz w:val="24"/>
          <w:szCs w:val="24"/>
          <w:lang w:val="sq-AL"/>
        </w:rPr>
        <w:t>e marra p</w:t>
      </w:r>
      <w:r w:rsidR="00064AC5"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rsip</w:t>
      </w:r>
      <w:r w:rsidR="00064AC5"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 xml:space="preserve">r </w:t>
      </w:r>
      <w:r w:rsidR="004C2640" w:rsidRPr="006C694E">
        <w:rPr>
          <w:rFonts w:ascii="Times New Roman" w:hAnsi="Times New Roman" w:cs="Times New Roman"/>
          <w:noProof/>
          <w:sz w:val="24"/>
          <w:szCs w:val="24"/>
          <w:lang w:val="sq-AL"/>
        </w:rPr>
        <w:t>n</w:t>
      </w:r>
      <w:r w:rsidR="00F7730B" w:rsidRPr="006C694E">
        <w:rPr>
          <w:rFonts w:ascii="Times New Roman" w:hAnsi="Times New Roman" w:cs="Times New Roman"/>
          <w:noProof/>
          <w:sz w:val="24"/>
          <w:szCs w:val="24"/>
          <w:lang w:val="sq-AL"/>
        </w:rPr>
        <w:t>ë</w:t>
      </w:r>
      <w:r w:rsidR="004C2640" w:rsidRPr="006C694E">
        <w:rPr>
          <w:rFonts w:ascii="Times New Roman" w:hAnsi="Times New Roman" w:cs="Times New Roman"/>
          <w:noProof/>
          <w:sz w:val="24"/>
          <w:szCs w:val="24"/>
          <w:lang w:val="sq-AL"/>
        </w:rPr>
        <w:t xml:space="preserve"> kuad</w:t>
      </w:r>
      <w:r w:rsidR="00F7730B" w:rsidRPr="006C694E">
        <w:rPr>
          <w:rFonts w:ascii="Times New Roman" w:hAnsi="Times New Roman" w:cs="Times New Roman"/>
          <w:noProof/>
          <w:sz w:val="24"/>
          <w:szCs w:val="24"/>
          <w:lang w:val="sq-AL"/>
        </w:rPr>
        <w:t>ë</w:t>
      </w:r>
      <w:r w:rsidR="004C2640" w:rsidRPr="006C694E">
        <w:rPr>
          <w:rFonts w:ascii="Times New Roman" w:hAnsi="Times New Roman" w:cs="Times New Roman"/>
          <w:noProof/>
          <w:sz w:val="24"/>
          <w:szCs w:val="24"/>
          <w:lang w:val="sq-AL"/>
        </w:rPr>
        <w:t>r t</w:t>
      </w:r>
      <w:r w:rsidR="00F7730B" w:rsidRPr="006C694E">
        <w:rPr>
          <w:rFonts w:ascii="Times New Roman" w:hAnsi="Times New Roman" w:cs="Times New Roman"/>
          <w:noProof/>
          <w:sz w:val="24"/>
          <w:szCs w:val="24"/>
          <w:lang w:val="sq-AL"/>
        </w:rPr>
        <w:t>ë</w:t>
      </w:r>
      <w:r w:rsidR="004C2640" w:rsidRPr="006C694E">
        <w:rPr>
          <w:rFonts w:ascii="Times New Roman" w:hAnsi="Times New Roman" w:cs="Times New Roman"/>
          <w:noProof/>
          <w:sz w:val="24"/>
          <w:szCs w:val="24"/>
          <w:lang w:val="sq-AL"/>
        </w:rPr>
        <w:t xml:space="preserve"> </w:t>
      </w:r>
      <w:r w:rsidR="00645489" w:rsidRPr="006C694E">
        <w:rPr>
          <w:rFonts w:ascii="Times New Roman" w:hAnsi="Times New Roman" w:cs="Times New Roman"/>
          <w:noProof/>
          <w:sz w:val="24"/>
          <w:szCs w:val="24"/>
          <w:lang w:val="sq-AL"/>
        </w:rPr>
        <w:t>prior</w:t>
      </w:r>
      <w:r w:rsidR="002B51EC" w:rsidRPr="006C694E">
        <w:rPr>
          <w:rFonts w:ascii="Times New Roman" w:hAnsi="Times New Roman" w:cs="Times New Roman"/>
          <w:noProof/>
          <w:sz w:val="24"/>
          <w:szCs w:val="24"/>
          <w:lang w:val="sq-AL"/>
        </w:rPr>
        <w:t>i</w:t>
      </w:r>
      <w:r w:rsidR="00645489" w:rsidRPr="006C694E">
        <w:rPr>
          <w:rFonts w:ascii="Times New Roman" w:hAnsi="Times New Roman" w:cs="Times New Roman"/>
          <w:noProof/>
          <w:sz w:val="24"/>
          <w:szCs w:val="24"/>
          <w:lang w:val="sq-AL"/>
        </w:rPr>
        <w:t xml:space="preserve">teteve </w:t>
      </w:r>
      <w:r w:rsidR="004C2640" w:rsidRPr="006C694E">
        <w:rPr>
          <w:rFonts w:ascii="Times New Roman" w:hAnsi="Times New Roman" w:cs="Times New Roman"/>
          <w:noProof/>
          <w:sz w:val="24"/>
          <w:szCs w:val="24"/>
          <w:lang w:val="sq-AL"/>
        </w:rPr>
        <w:t>ekzist</w:t>
      </w:r>
      <w:r w:rsidR="002B51EC" w:rsidRPr="006C694E">
        <w:rPr>
          <w:rFonts w:ascii="Times New Roman" w:hAnsi="Times New Roman" w:cs="Times New Roman"/>
          <w:noProof/>
          <w:sz w:val="24"/>
          <w:szCs w:val="24"/>
          <w:lang w:val="sq-AL"/>
        </w:rPr>
        <w:t>u</w:t>
      </w:r>
      <w:r w:rsidR="004C2640" w:rsidRPr="006C694E">
        <w:rPr>
          <w:rFonts w:ascii="Times New Roman" w:hAnsi="Times New Roman" w:cs="Times New Roman"/>
          <w:noProof/>
          <w:sz w:val="24"/>
          <w:szCs w:val="24"/>
          <w:lang w:val="sq-AL"/>
        </w:rPr>
        <w:t>es</w:t>
      </w:r>
      <w:r w:rsidR="002B51EC" w:rsidRPr="006C694E">
        <w:rPr>
          <w:rFonts w:ascii="Times New Roman" w:hAnsi="Times New Roman" w:cs="Times New Roman"/>
          <w:noProof/>
          <w:sz w:val="24"/>
          <w:szCs w:val="24"/>
          <w:lang w:val="sq-AL"/>
        </w:rPr>
        <w:t>e</w:t>
      </w:r>
      <w:r w:rsidR="00964F44" w:rsidRPr="006C694E">
        <w:rPr>
          <w:rFonts w:ascii="Times New Roman" w:hAnsi="Times New Roman" w:cs="Times New Roman"/>
          <w:noProof/>
          <w:sz w:val="24"/>
          <w:szCs w:val="24"/>
          <w:lang w:val="sq-AL"/>
        </w:rPr>
        <w:t>, vler</w:t>
      </w:r>
      <w:r w:rsidR="00AF28F8" w:rsidRPr="006C694E">
        <w:rPr>
          <w:rFonts w:ascii="Times New Roman" w:hAnsi="Times New Roman" w:cs="Times New Roman"/>
          <w:noProof/>
          <w:sz w:val="24"/>
          <w:szCs w:val="24"/>
          <w:lang w:val="sq-AL"/>
        </w:rPr>
        <w:t>ë</w:t>
      </w:r>
      <w:r w:rsidR="00964F44" w:rsidRPr="006C694E">
        <w:rPr>
          <w:rFonts w:ascii="Times New Roman" w:hAnsi="Times New Roman" w:cs="Times New Roman"/>
          <w:noProof/>
          <w:sz w:val="24"/>
          <w:szCs w:val="24"/>
          <w:lang w:val="sq-AL"/>
        </w:rPr>
        <w:t xml:space="preserve">simet e </w:t>
      </w:r>
      <w:r w:rsidR="002B51EC" w:rsidRPr="006C694E">
        <w:rPr>
          <w:rFonts w:ascii="Times New Roman" w:hAnsi="Times New Roman" w:cs="Times New Roman"/>
          <w:noProof/>
          <w:sz w:val="24"/>
          <w:szCs w:val="24"/>
          <w:lang w:val="sq-AL"/>
        </w:rPr>
        <w:t>brendshme institucionale, si dhe analizat e</w:t>
      </w:r>
      <w:r w:rsidR="00964F44" w:rsidRPr="006C694E">
        <w:rPr>
          <w:rFonts w:ascii="Times New Roman" w:hAnsi="Times New Roman" w:cs="Times New Roman"/>
          <w:noProof/>
          <w:sz w:val="24"/>
          <w:szCs w:val="24"/>
          <w:lang w:val="sq-AL"/>
        </w:rPr>
        <w:t xml:space="preserve"> partner</w:t>
      </w:r>
      <w:r w:rsidR="00AF28F8"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ve</w:t>
      </w:r>
      <w:r w:rsidR="00964F44" w:rsidRPr="006C694E">
        <w:rPr>
          <w:rFonts w:ascii="Times New Roman" w:hAnsi="Times New Roman" w:cs="Times New Roman"/>
          <w:noProof/>
          <w:sz w:val="24"/>
          <w:szCs w:val="24"/>
          <w:lang w:val="sq-AL"/>
        </w:rPr>
        <w:t xml:space="preserve"> nd</w:t>
      </w:r>
      <w:r w:rsidR="00AF28F8" w:rsidRPr="006C694E">
        <w:rPr>
          <w:rFonts w:ascii="Times New Roman" w:hAnsi="Times New Roman" w:cs="Times New Roman"/>
          <w:noProof/>
          <w:sz w:val="24"/>
          <w:szCs w:val="24"/>
          <w:lang w:val="sq-AL"/>
        </w:rPr>
        <w:t>ë</w:t>
      </w:r>
      <w:r w:rsidR="00964F44" w:rsidRPr="006C694E">
        <w:rPr>
          <w:rFonts w:ascii="Times New Roman" w:hAnsi="Times New Roman" w:cs="Times New Roman"/>
          <w:noProof/>
          <w:sz w:val="24"/>
          <w:szCs w:val="24"/>
          <w:lang w:val="sq-AL"/>
        </w:rPr>
        <w:t>rkomb</w:t>
      </w:r>
      <w:r w:rsidR="00AF28F8" w:rsidRPr="006C694E">
        <w:rPr>
          <w:rFonts w:ascii="Times New Roman" w:hAnsi="Times New Roman" w:cs="Times New Roman"/>
          <w:noProof/>
          <w:sz w:val="24"/>
          <w:szCs w:val="24"/>
          <w:lang w:val="sq-AL"/>
        </w:rPr>
        <w:t>ë</w:t>
      </w:r>
      <w:r w:rsidR="00964F44" w:rsidRPr="006C694E">
        <w:rPr>
          <w:rFonts w:ascii="Times New Roman" w:hAnsi="Times New Roman" w:cs="Times New Roman"/>
          <w:noProof/>
          <w:sz w:val="24"/>
          <w:szCs w:val="24"/>
          <w:lang w:val="sq-AL"/>
        </w:rPr>
        <w:t>tar</w:t>
      </w:r>
      <w:r w:rsidR="00AF28F8" w:rsidRPr="006C694E">
        <w:rPr>
          <w:rFonts w:ascii="Times New Roman" w:hAnsi="Times New Roman" w:cs="Times New Roman"/>
          <w:noProof/>
          <w:sz w:val="24"/>
          <w:szCs w:val="24"/>
          <w:lang w:val="sq-AL"/>
        </w:rPr>
        <w:t>ë</w:t>
      </w:r>
      <w:r w:rsidR="00964F44" w:rsidRPr="006C694E">
        <w:rPr>
          <w:rFonts w:ascii="Times New Roman" w:hAnsi="Times New Roman" w:cs="Times New Roman"/>
          <w:noProof/>
          <w:sz w:val="24"/>
          <w:szCs w:val="24"/>
          <w:lang w:val="sq-AL"/>
        </w:rPr>
        <w:t xml:space="preserve"> dhe rekomandimet e l</w:t>
      </w:r>
      <w:r w:rsidR="00AF28F8" w:rsidRPr="006C694E">
        <w:rPr>
          <w:rFonts w:ascii="Times New Roman" w:hAnsi="Times New Roman" w:cs="Times New Roman"/>
          <w:noProof/>
          <w:sz w:val="24"/>
          <w:szCs w:val="24"/>
          <w:lang w:val="sq-AL"/>
        </w:rPr>
        <w:t>ë</w:t>
      </w:r>
      <w:r w:rsidR="00964F44" w:rsidRPr="006C694E">
        <w:rPr>
          <w:rFonts w:ascii="Times New Roman" w:hAnsi="Times New Roman" w:cs="Times New Roman"/>
          <w:noProof/>
          <w:sz w:val="24"/>
          <w:szCs w:val="24"/>
          <w:lang w:val="sq-AL"/>
        </w:rPr>
        <w:t>na prej tyre</w:t>
      </w:r>
      <w:r w:rsidR="002B51EC" w:rsidRPr="006C694E">
        <w:rPr>
          <w:rFonts w:ascii="Times New Roman" w:hAnsi="Times New Roman" w:cs="Times New Roman"/>
          <w:noProof/>
          <w:sz w:val="24"/>
          <w:szCs w:val="24"/>
          <w:lang w:val="sq-AL"/>
        </w:rPr>
        <w:t>. Ky linj</w:t>
      </w:r>
      <w:r w:rsidR="00064AC5"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 xml:space="preserve">zim synon </w:t>
      </w:r>
      <w:r w:rsidR="00964F44" w:rsidRPr="006C694E">
        <w:rPr>
          <w:rFonts w:ascii="Times New Roman" w:hAnsi="Times New Roman" w:cs="Times New Roman"/>
          <w:noProof/>
          <w:sz w:val="24"/>
          <w:szCs w:val="24"/>
          <w:lang w:val="sq-AL"/>
        </w:rPr>
        <w:t>t</w:t>
      </w:r>
      <w:r w:rsidR="00AF28F8" w:rsidRPr="006C694E">
        <w:rPr>
          <w:rFonts w:ascii="Times New Roman" w:hAnsi="Times New Roman" w:cs="Times New Roman"/>
          <w:noProof/>
          <w:sz w:val="24"/>
          <w:szCs w:val="24"/>
          <w:lang w:val="sq-AL"/>
        </w:rPr>
        <w:t>ë</w:t>
      </w:r>
      <w:r w:rsidR="00964F44" w:rsidRPr="006C694E">
        <w:rPr>
          <w:rFonts w:ascii="Times New Roman" w:hAnsi="Times New Roman" w:cs="Times New Roman"/>
          <w:noProof/>
          <w:sz w:val="24"/>
          <w:szCs w:val="24"/>
          <w:lang w:val="sq-AL"/>
        </w:rPr>
        <w:t xml:space="preserve"> sigur</w:t>
      </w:r>
      <w:r w:rsidR="002B51EC" w:rsidRPr="006C694E">
        <w:rPr>
          <w:rFonts w:ascii="Times New Roman" w:hAnsi="Times New Roman" w:cs="Times New Roman"/>
          <w:noProof/>
          <w:sz w:val="24"/>
          <w:szCs w:val="24"/>
          <w:lang w:val="sq-AL"/>
        </w:rPr>
        <w:t>oj</w:t>
      </w:r>
      <w:r w:rsidR="00064AC5"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 xml:space="preserve"> </w:t>
      </w:r>
      <w:r w:rsidR="00964F44" w:rsidRPr="006C694E">
        <w:rPr>
          <w:rFonts w:ascii="Times New Roman" w:hAnsi="Times New Roman" w:cs="Times New Roman"/>
          <w:noProof/>
          <w:sz w:val="24"/>
          <w:szCs w:val="24"/>
          <w:lang w:val="sq-AL"/>
        </w:rPr>
        <w:t>sinergj</w:t>
      </w:r>
      <w:r w:rsidR="00E96C02" w:rsidRPr="006C694E">
        <w:rPr>
          <w:rFonts w:ascii="Times New Roman" w:hAnsi="Times New Roman" w:cs="Times New Roman"/>
          <w:noProof/>
          <w:sz w:val="24"/>
          <w:szCs w:val="24"/>
          <w:lang w:val="sq-AL"/>
        </w:rPr>
        <w:t>i</w:t>
      </w:r>
      <w:r w:rsidR="00964F44" w:rsidRPr="006C694E">
        <w:rPr>
          <w:rFonts w:ascii="Times New Roman" w:hAnsi="Times New Roman" w:cs="Times New Roman"/>
          <w:noProof/>
          <w:sz w:val="24"/>
          <w:szCs w:val="24"/>
          <w:lang w:val="sq-AL"/>
        </w:rPr>
        <w:t xml:space="preserve"> </w:t>
      </w:r>
      <w:r w:rsidR="002B51EC" w:rsidRPr="006C694E">
        <w:rPr>
          <w:rFonts w:ascii="Times New Roman" w:hAnsi="Times New Roman" w:cs="Times New Roman"/>
          <w:noProof/>
          <w:sz w:val="24"/>
          <w:szCs w:val="24"/>
          <w:lang w:val="sq-AL"/>
        </w:rPr>
        <w:t>maksimale mes tyre, p</w:t>
      </w:r>
      <w:r w:rsidR="00064AC5"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r t</w:t>
      </w:r>
      <w:r w:rsidR="00064AC5" w:rsidRPr="006C694E">
        <w:rPr>
          <w:rFonts w:ascii="Times New Roman" w:hAnsi="Times New Roman" w:cs="Times New Roman"/>
          <w:noProof/>
          <w:sz w:val="24"/>
          <w:szCs w:val="24"/>
          <w:lang w:val="sq-AL"/>
        </w:rPr>
        <w:t>ë</w:t>
      </w:r>
      <w:r w:rsidR="00964F44" w:rsidRPr="006C694E">
        <w:rPr>
          <w:rFonts w:ascii="Times New Roman" w:hAnsi="Times New Roman" w:cs="Times New Roman"/>
          <w:noProof/>
          <w:sz w:val="24"/>
          <w:szCs w:val="24"/>
          <w:lang w:val="sq-AL"/>
        </w:rPr>
        <w:t xml:space="preserve"> b</w:t>
      </w:r>
      <w:r w:rsidR="00AF28F8" w:rsidRPr="006C694E">
        <w:rPr>
          <w:rFonts w:ascii="Times New Roman" w:hAnsi="Times New Roman" w:cs="Times New Roman"/>
          <w:noProof/>
          <w:sz w:val="24"/>
          <w:szCs w:val="24"/>
          <w:lang w:val="sq-AL"/>
        </w:rPr>
        <w:t>ë</w:t>
      </w:r>
      <w:r w:rsidR="00964F44" w:rsidRPr="006C694E">
        <w:rPr>
          <w:rFonts w:ascii="Times New Roman" w:hAnsi="Times New Roman" w:cs="Times New Roman"/>
          <w:noProof/>
          <w:sz w:val="24"/>
          <w:szCs w:val="24"/>
          <w:lang w:val="sq-AL"/>
        </w:rPr>
        <w:t>r</w:t>
      </w:r>
      <w:r w:rsidR="00AF28F8" w:rsidRPr="006C694E">
        <w:rPr>
          <w:rFonts w:ascii="Times New Roman" w:hAnsi="Times New Roman" w:cs="Times New Roman"/>
          <w:noProof/>
          <w:sz w:val="24"/>
          <w:szCs w:val="24"/>
          <w:lang w:val="sq-AL"/>
        </w:rPr>
        <w:t>ë</w:t>
      </w:r>
      <w:r w:rsidR="00964F44" w:rsidRPr="006C694E">
        <w:rPr>
          <w:rFonts w:ascii="Times New Roman" w:hAnsi="Times New Roman" w:cs="Times New Roman"/>
          <w:noProof/>
          <w:sz w:val="24"/>
          <w:szCs w:val="24"/>
          <w:lang w:val="sq-AL"/>
        </w:rPr>
        <w:t xml:space="preserve"> t</w:t>
      </w:r>
      <w:r w:rsidR="00AF28F8" w:rsidRPr="006C694E">
        <w:rPr>
          <w:rFonts w:ascii="Times New Roman" w:hAnsi="Times New Roman" w:cs="Times New Roman"/>
          <w:noProof/>
          <w:sz w:val="24"/>
          <w:szCs w:val="24"/>
          <w:lang w:val="sq-AL"/>
        </w:rPr>
        <w:t>ë</w:t>
      </w:r>
      <w:r w:rsidR="00964F44" w:rsidRPr="006C694E">
        <w:rPr>
          <w:rFonts w:ascii="Times New Roman" w:hAnsi="Times New Roman" w:cs="Times New Roman"/>
          <w:noProof/>
          <w:sz w:val="24"/>
          <w:szCs w:val="24"/>
          <w:lang w:val="sq-AL"/>
        </w:rPr>
        <w:t xml:space="preserve"> mundur </w:t>
      </w:r>
      <w:r w:rsidR="002B51EC" w:rsidRPr="00641640">
        <w:rPr>
          <w:rFonts w:ascii="Times New Roman" w:hAnsi="Times New Roman" w:cs="Times New Roman"/>
          <w:noProof/>
          <w:sz w:val="24"/>
          <w:szCs w:val="24"/>
          <w:lang w:val="sq-AL"/>
        </w:rPr>
        <w:t>orientimin efikas t</w:t>
      </w:r>
      <w:r w:rsidR="00064AC5" w:rsidRPr="00641640">
        <w:rPr>
          <w:rFonts w:ascii="Times New Roman" w:hAnsi="Times New Roman" w:cs="Times New Roman"/>
          <w:noProof/>
          <w:sz w:val="24"/>
          <w:szCs w:val="24"/>
          <w:lang w:val="sq-AL"/>
        </w:rPr>
        <w:t>ë</w:t>
      </w:r>
      <w:r w:rsidR="00964F44" w:rsidRPr="00641640">
        <w:rPr>
          <w:rFonts w:ascii="Times New Roman" w:hAnsi="Times New Roman" w:cs="Times New Roman"/>
          <w:noProof/>
          <w:sz w:val="24"/>
          <w:szCs w:val="24"/>
          <w:lang w:val="sq-AL"/>
        </w:rPr>
        <w:t xml:space="preserve"> burimeve drejt arritje</w:t>
      </w:r>
      <w:r w:rsidR="002B51EC" w:rsidRPr="00641640">
        <w:rPr>
          <w:rFonts w:ascii="Times New Roman" w:hAnsi="Times New Roman" w:cs="Times New Roman"/>
          <w:noProof/>
          <w:sz w:val="24"/>
          <w:szCs w:val="24"/>
          <w:lang w:val="sq-AL"/>
        </w:rPr>
        <w:t>s s</w:t>
      </w:r>
      <w:r w:rsidR="00064AC5" w:rsidRPr="00641640">
        <w:rPr>
          <w:rFonts w:ascii="Times New Roman" w:hAnsi="Times New Roman" w:cs="Times New Roman"/>
          <w:noProof/>
          <w:sz w:val="24"/>
          <w:szCs w:val="24"/>
          <w:lang w:val="sq-AL"/>
        </w:rPr>
        <w:t>ë</w:t>
      </w:r>
      <w:r w:rsidR="002B51EC" w:rsidRPr="00641640">
        <w:rPr>
          <w:rFonts w:ascii="Times New Roman" w:hAnsi="Times New Roman" w:cs="Times New Roman"/>
          <w:noProof/>
          <w:sz w:val="24"/>
          <w:szCs w:val="24"/>
          <w:lang w:val="sq-AL"/>
        </w:rPr>
        <w:t xml:space="preserve"> objektivave</w:t>
      </w:r>
      <w:r w:rsidR="00964F44" w:rsidRPr="00641640">
        <w:rPr>
          <w:rFonts w:ascii="Times New Roman" w:hAnsi="Times New Roman" w:cs="Times New Roman"/>
          <w:noProof/>
          <w:sz w:val="24"/>
          <w:szCs w:val="24"/>
          <w:lang w:val="sq-AL"/>
        </w:rPr>
        <w:t xml:space="preserve"> t</w:t>
      </w:r>
      <w:r w:rsidR="00AF28F8" w:rsidRPr="00641640">
        <w:rPr>
          <w:rFonts w:ascii="Times New Roman" w:hAnsi="Times New Roman" w:cs="Times New Roman"/>
          <w:noProof/>
          <w:sz w:val="24"/>
          <w:szCs w:val="24"/>
          <w:lang w:val="sq-AL"/>
        </w:rPr>
        <w:t>ë</w:t>
      </w:r>
      <w:r w:rsidR="00964F44" w:rsidRPr="00641640">
        <w:rPr>
          <w:rFonts w:ascii="Times New Roman" w:hAnsi="Times New Roman" w:cs="Times New Roman"/>
          <w:noProof/>
          <w:sz w:val="24"/>
          <w:szCs w:val="24"/>
          <w:lang w:val="sq-AL"/>
        </w:rPr>
        <w:t xml:space="preserve"> </w:t>
      </w:r>
      <w:r w:rsidR="004C2640" w:rsidRPr="00641640">
        <w:rPr>
          <w:rFonts w:ascii="Times New Roman" w:hAnsi="Times New Roman" w:cs="Times New Roman"/>
          <w:noProof/>
          <w:sz w:val="24"/>
          <w:szCs w:val="24"/>
          <w:lang w:val="sq-AL"/>
        </w:rPr>
        <w:t>synuara</w:t>
      </w:r>
      <w:r w:rsidR="002B51EC" w:rsidRPr="00641640">
        <w:rPr>
          <w:rFonts w:ascii="Times New Roman" w:hAnsi="Times New Roman" w:cs="Times New Roman"/>
          <w:noProof/>
          <w:sz w:val="24"/>
          <w:szCs w:val="24"/>
          <w:lang w:val="sq-AL"/>
        </w:rPr>
        <w:t xml:space="preserve"> strategjike</w:t>
      </w:r>
      <w:r w:rsidR="004C2640" w:rsidRPr="00641640">
        <w:rPr>
          <w:rFonts w:ascii="Times New Roman" w:hAnsi="Times New Roman" w:cs="Times New Roman"/>
          <w:noProof/>
          <w:sz w:val="24"/>
          <w:szCs w:val="24"/>
          <w:lang w:val="sq-AL"/>
        </w:rPr>
        <w:t>.</w:t>
      </w:r>
      <w:r w:rsidR="00964F44" w:rsidRPr="00641640">
        <w:rPr>
          <w:rFonts w:ascii="Times New Roman" w:hAnsi="Times New Roman" w:cs="Times New Roman"/>
          <w:noProof/>
          <w:sz w:val="24"/>
          <w:szCs w:val="24"/>
          <w:lang w:val="sq-AL"/>
        </w:rPr>
        <w:t xml:space="preserve"> </w:t>
      </w:r>
    </w:p>
    <w:p w14:paraId="6CD26DC0" w14:textId="070383F4" w:rsidR="005B2467" w:rsidRDefault="00D27FF3" w:rsidP="00005735">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Gjithashtu, në kuadër të punës për rritjen e ekspertizës në administratën publike, në </w:t>
      </w:r>
      <w:r w:rsidR="00324378">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 xml:space="preserve">ëntor 2024 Shqipëria mori zyrtarisht statusin e </w:t>
      </w:r>
      <w:r w:rsidR="001551DF">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Vëzhguesit</w:t>
      </w:r>
      <w:r w:rsidR="001551DF">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në Rrjetin Evropian të Administratës Publike (EUPAN). Dhënia e këtij statusi do të përshpejtojë agjendën e integrimit të vendit në BE në fushën e reformës në administratën publike, duke ndjekur rekomandimin e qartë nga Komisioni Evropian në Raportin e Shqyrtimit Analitik për Grupkapitujt I “Themeloret”. Pjesëmarrja e Shqipërisë si </w:t>
      </w:r>
      <w:r w:rsidR="001A33B7">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Vëzhgues</w:t>
      </w:r>
      <w:r w:rsidR="001A33B7">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në EUPAN do të lehtësojë shkëmbimin e ndërsjellë të njohurive dhe përvojave me vendet anëtare të BE-së, duke mundësuar përfitime të shumta nga ekspertiza e përbashkët e Rrjetit, mes të tjerash, edhe në zbatimin e suksessshëm të SNRAP 202</w:t>
      </w:r>
      <w:r w:rsidR="00EE1A2A" w:rsidRPr="00641640">
        <w:rPr>
          <w:rFonts w:ascii="Times New Roman" w:hAnsi="Times New Roman" w:cs="Times New Roman"/>
          <w:noProof/>
          <w:sz w:val="24"/>
          <w:szCs w:val="24"/>
          <w:lang w:val="sq-AL"/>
        </w:rPr>
        <w:t>5</w:t>
      </w:r>
      <w:r w:rsidRPr="00641640">
        <w:rPr>
          <w:rFonts w:ascii="Times New Roman" w:hAnsi="Times New Roman" w:cs="Times New Roman"/>
          <w:noProof/>
          <w:sz w:val="24"/>
          <w:szCs w:val="24"/>
          <w:lang w:val="sq-AL"/>
        </w:rPr>
        <w:t>-2030.</w:t>
      </w:r>
      <w:bookmarkStart w:id="18" w:name="_Toc189510618"/>
    </w:p>
    <w:p w14:paraId="3373F92C" w14:textId="77777777" w:rsidR="00005735" w:rsidRPr="00005735" w:rsidRDefault="00005735" w:rsidP="00005735">
      <w:pPr>
        <w:spacing w:line="276" w:lineRule="auto"/>
        <w:jc w:val="both"/>
        <w:rPr>
          <w:rFonts w:ascii="Times New Roman" w:hAnsi="Times New Roman" w:cs="Times New Roman"/>
          <w:noProof/>
          <w:sz w:val="24"/>
          <w:szCs w:val="24"/>
          <w:lang w:val="sq-AL"/>
        </w:rPr>
      </w:pPr>
    </w:p>
    <w:p w14:paraId="3206FDEE" w14:textId="56B4710D" w:rsidR="00BA7636" w:rsidRPr="00641640" w:rsidRDefault="00D70F3D" w:rsidP="003A395D">
      <w:pPr>
        <w:pStyle w:val="Heading2"/>
        <w:spacing w:line="276" w:lineRule="auto"/>
        <w:rPr>
          <w:rFonts w:ascii="Times New Roman" w:hAnsi="Times New Roman" w:cs="Times New Roman"/>
          <w:b/>
          <w:bCs/>
          <w:noProof/>
          <w:color w:val="C45911" w:themeColor="accent2" w:themeShade="BF"/>
          <w:sz w:val="24"/>
          <w:szCs w:val="24"/>
          <w:lang w:val="sq-AL"/>
        </w:rPr>
      </w:pPr>
      <w:r w:rsidRPr="00641640">
        <w:rPr>
          <w:rFonts w:ascii="Times New Roman" w:hAnsi="Times New Roman" w:cs="Times New Roman"/>
          <w:b/>
          <w:bCs/>
          <w:noProof/>
          <w:color w:val="C45911" w:themeColor="accent2" w:themeShade="BF"/>
          <w:sz w:val="24"/>
          <w:szCs w:val="24"/>
          <w:lang w:val="sq-AL"/>
        </w:rPr>
        <w:lastRenderedPageBreak/>
        <w:t xml:space="preserve">2.1 </w:t>
      </w:r>
      <w:r w:rsidR="000610FB" w:rsidRPr="00641640">
        <w:rPr>
          <w:rFonts w:ascii="Times New Roman" w:hAnsi="Times New Roman" w:cs="Times New Roman"/>
          <w:b/>
          <w:bCs/>
          <w:noProof/>
          <w:color w:val="C45911" w:themeColor="accent2" w:themeShade="BF"/>
          <w:sz w:val="24"/>
          <w:szCs w:val="24"/>
          <w:lang w:val="sq-AL"/>
        </w:rPr>
        <w:t>Arritjet</w:t>
      </w:r>
      <w:r w:rsidR="00C33CC1" w:rsidRPr="00641640">
        <w:rPr>
          <w:rFonts w:ascii="Times New Roman" w:hAnsi="Times New Roman" w:cs="Times New Roman"/>
          <w:b/>
          <w:bCs/>
          <w:noProof/>
          <w:color w:val="C45911" w:themeColor="accent2" w:themeShade="BF"/>
          <w:sz w:val="24"/>
          <w:szCs w:val="24"/>
          <w:lang w:val="sq-AL"/>
        </w:rPr>
        <w:t xml:space="preserve"> </w:t>
      </w:r>
      <w:r w:rsidR="00653240" w:rsidRPr="00641640">
        <w:rPr>
          <w:rFonts w:ascii="Times New Roman" w:hAnsi="Times New Roman" w:cs="Times New Roman"/>
          <w:b/>
          <w:bCs/>
          <w:noProof/>
          <w:color w:val="C45911" w:themeColor="accent2" w:themeShade="BF"/>
          <w:sz w:val="24"/>
          <w:szCs w:val="24"/>
          <w:lang w:val="sq-AL"/>
        </w:rPr>
        <w:t xml:space="preserve">dhe sfidat </w:t>
      </w:r>
      <w:r w:rsidR="00C33CC1" w:rsidRPr="00641640">
        <w:rPr>
          <w:rFonts w:ascii="Times New Roman" w:hAnsi="Times New Roman" w:cs="Times New Roman"/>
          <w:b/>
          <w:bCs/>
          <w:noProof/>
          <w:color w:val="C45911" w:themeColor="accent2" w:themeShade="BF"/>
          <w:sz w:val="24"/>
          <w:szCs w:val="24"/>
          <w:lang w:val="sq-AL"/>
        </w:rPr>
        <w:t>në</w:t>
      </w:r>
      <w:r w:rsidR="00566BD6" w:rsidRPr="00641640">
        <w:rPr>
          <w:rFonts w:ascii="Times New Roman" w:hAnsi="Times New Roman" w:cs="Times New Roman"/>
          <w:b/>
          <w:bCs/>
          <w:noProof/>
          <w:color w:val="C45911" w:themeColor="accent2" w:themeShade="BF"/>
          <w:sz w:val="24"/>
          <w:szCs w:val="24"/>
          <w:lang w:val="sq-AL"/>
        </w:rPr>
        <w:t xml:space="preserve"> z</w:t>
      </w:r>
      <w:r w:rsidR="00C33CC1" w:rsidRPr="00641640">
        <w:rPr>
          <w:rFonts w:ascii="Times New Roman" w:hAnsi="Times New Roman" w:cs="Times New Roman"/>
          <w:b/>
          <w:bCs/>
          <w:noProof/>
          <w:color w:val="C45911" w:themeColor="accent2" w:themeShade="BF"/>
          <w:sz w:val="24"/>
          <w:szCs w:val="24"/>
          <w:lang w:val="sq-AL"/>
        </w:rPr>
        <w:t>hvillimi</w:t>
      </w:r>
      <w:r w:rsidR="00566BD6" w:rsidRPr="00641640">
        <w:rPr>
          <w:rFonts w:ascii="Times New Roman" w:hAnsi="Times New Roman" w:cs="Times New Roman"/>
          <w:b/>
          <w:bCs/>
          <w:noProof/>
          <w:color w:val="C45911" w:themeColor="accent2" w:themeShade="BF"/>
          <w:sz w:val="24"/>
          <w:szCs w:val="24"/>
          <w:lang w:val="sq-AL"/>
        </w:rPr>
        <w:t>n</w:t>
      </w:r>
      <w:r w:rsidR="00C33CC1" w:rsidRPr="00641640">
        <w:rPr>
          <w:rFonts w:ascii="Times New Roman" w:hAnsi="Times New Roman" w:cs="Times New Roman"/>
          <w:b/>
          <w:bCs/>
          <w:noProof/>
          <w:color w:val="C45911" w:themeColor="accent2" w:themeShade="BF"/>
          <w:sz w:val="24"/>
          <w:szCs w:val="24"/>
          <w:lang w:val="sq-AL"/>
        </w:rPr>
        <w:t xml:space="preserve"> dhe </w:t>
      </w:r>
      <w:r w:rsidR="00566BD6" w:rsidRPr="00641640">
        <w:rPr>
          <w:rFonts w:ascii="Times New Roman" w:hAnsi="Times New Roman" w:cs="Times New Roman"/>
          <w:b/>
          <w:bCs/>
          <w:noProof/>
          <w:color w:val="C45911" w:themeColor="accent2" w:themeShade="BF"/>
          <w:sz w:val="24"/>
          <w:szCs w:val="24"/>
          <w:lang w:val="sq-AL"/>
        </w:rPr>
        <w:t>k</w:t>
      </w:r>
      <w:r w:rsidR="00C33CC1" w:rsidRPr="00641640">
        <w:rPr>
          <w:rFonts w:ascii="Times New Roman" w:hAnsi="Times New Roman" w:cs="Times New Roman"/>
          <w:b/>
          <w:bCs/>
          <w:noProof/>
          <w:color w:val="C45911" w:themeColor="accent2" w:themeShade="BF"/>
          <w:sz w:val="24"/>
          <w:szCs w:val="24"/>
          <w:lang w:val="sq-AL"/>
        </w:rPr>
        <w:t>oordinimi</w:t>
      </w:r>
      <w:r w:rsidR="00566BD6" w:rsidRPr="00641640">
        <w:rPr>
          <w:rFonts w:ascii="Times New Roman" w:hAnsi="Times New Roman" w:cs="Times New Roman"/>
          <w:b/>
          <w:bCs/>
          <w:noProof/>
          <w:color w:val="C45911" w:themeColor="accent2" w:themeShade="BF"/>
          <w:sz w:val="24"/>
          <w:szCs w:val="24"/>
          <w:lang w:val="sq-AL"/>
        </w:rPr>
        <w:t>n</w:t>
      </w:r>
      <w:r w:rsidR="00C33CC1" w:rsidRPr="00641640">
        <w:rPr>
          <w:rFonts w:ascii="Times New Roman" w:hAnsi="Times New Roman" w:cs="Times New Roman"/>
          <w:b/>
          <w:bCs/>
          <w:noProof/>
          <w:color w:val="C45911" w:themeColor="accent2" w:themeShade="BF"/>
          <w:sz w:val="24"/>
          <w:szCs w:val="24"/>
          <w:lang w:val="sq-AL"/>
        </w:rPr>
        <w:t xml:space="preserve"> </w:t>
      </w:r>
      <w:r w:rsidR="00566BD6" w:rsidRPr="00641640">
        <w:rPr>
          <w:rFonts w:ascii="Times New Roman" w:hAnsi="Times New Roman" w:cs="Times New Roman"/>
          <w:b/>
          <w:bCs/>
          <w:noProof/>
          <w:color w:val="C45911" w:themeColor="accent2" w:themeShade="BF"/>
          <w:sz w:val="24"/>
          <w:szCs w:val="24"/>
          <w:lang w:val="sq-AL"/>
        </w:rPr>
        <w:t>e</w:t>
      </w:r>
      <w:r w:rsidR="00C33CC1" w:rsidRPr="00641640">
        <w:rPr>
          <w:rFonts w:ascii="Times New Roman" w:hAnsi="Times New Roman" w:cs="Times New Roman"/>
          <w:b/>
          <w:bCs/>
          <w:noProof/>
          <w:color w:val="C45911" w:themeColor="accent2" w:themeShade="BF"/>
          <w:sz w:val="24"/>
          <w:szCs w:val="24"/>
          <w:lang w:val="sq-AL"/>
        </w:rPr>
        <w:t xml:space="preserve"> </w:t>
      </w:r>
      <w:r w:rsidR="00566BD6" w:rsidRPr="00641640">
        <w:rPr>
          <w:rFonts w:ascii="Times New Roman" w:hAnsi="Times New Roman" w:cs="Times New Roman"/>
          <w:b/>
          <w:bCs/>
          <w:noProof/>
          <w:color w:val="C45911" w:themeColor="accent2" w:themeShade="BF"/>
          <w:sz w:val="24"/>
          <w:szCs w:val="24"/>
          <w:lang w:val="sq-AL"/>
        </w:rPr>
        <w:t>p</w:t>
      </w:r>
      <w:r w:rsidR="00C33CC1" w:rsidRPr="00641640">
        <w:rPr>
          <w:rFonts w:ascii="Times New Roman" w:hAnsi="Times New Roman" w:cs="Times New Roman"/>
          <w:b/>
          <w:bCs/>
          <w:noProof/>
          <w:color w:val="C45911" w:themeColor="accent2" w:themeShade="BF"/>
          <w:sz w:val="24"/>
          <w:szCs w:val="24"/>
          <w:lang w:val="sq-AL"/>
        </w:rPr>
        <w:t>olitikave</w:t>
      </w:r>
      <w:bookmarkEnd w:id="18"/>
    </w:p>
    <w:p w14:paraId="5FC82EC2" w14:textId="77777777" w:rsidR="00D01D03" w:rsidRPr="00641640" w:rsidRDefault="00D01D03" w:rsidP="003A395D">
      <w:pPr>
        <w:pStyle w:val="paragraph"/>
        <w:spacing w:before="0" w:beforeAutospacing="0" w:after="0" w:afterAutospacing="0" w:line="276" w:lineRule="auto"/>
        <w:jc w:val="both"/>
        <w:textAlignment w:val="baseline"/>
        <w:rPr>
          <w:b/>
          <w:bCs/>
          <w:noProof/>
          <w:lang w:val="sq-AL"/>
        </w:rPr>
      </w:pPr>
    </w:p>
    <w:p w14:paraId="100A1370" w14:textId="05C3DD71" w:rsidR="0086237F" w:rsidRPr="00641640" w:rsidRDefault="00BA7636"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Anëtarësimi në Bashkimin Evropian</w:t>
      </w:r>
      <w:r w:rsidR="000A7101" w:rsidRPr="00641640">
        <w:rPr>
          <w:rFonts w:ascii="Times New Roman" w:hAnsi="Times New Roman" w:cs="Times New Roman"/>
          <w:noProof/>
          <w:sz w:val="24"/>
          <w:szCs w:val="24"/>
          <w:lang w:val="sq-AL"/>
        </w:rPr>
        <w:t xml:space="preserve"> (BE)</w:t>
      </w:r>
      <w:r w:rsidRPr="00641640">
        <w:rPr>
          <w:rFonts w:ascii="Times New Roman" w:hAnsi="Times New Roman" w:cs="Times New Roman"/>
          <w:noProof/>
          <w:sz w:val="24"/>
          <w:szCs w:val="24"/>
          <w:lang w:val="sq-AL"/>
        </w:rPr>
        <w:t xml:space="preserve"> është synimi </w:t>
      </w:r>
      <w:r w:rsidR="002B51EC" w:rsidRPr="00641640">
        <w:rPr>
          <w:rFonts w:ascii="Times New Roman" w:hAnsi="Times New Roman" w:cs="Times New Roman"/>
          <w:noProof/>
          <w:sz w:val="24"/>
          <w:szCs w:val="24"/>
          <w:lang w:val="sq-AL"/>
        </w:rPr>
        <w:t xml:space="preserve">madhor </w:t>
      </w:r>
      <w:r w:rsidRPr="00641640">
        <w:rPr>
          <w:rFonts w:ascii="Times New Roman" w:hAnsi="Times New Roman" w:cs="Times New Roman"/>
          <w:noProof/>
          <w:sz w:val="24"/>
          <w:szCs w:val="24"/>
          <w:lang w:val="sq-AL"/>
        </w:rPr>
        <w:t>politik dhe strategjik i Republikës së Shqipërisë dhe i sistem</w:t>
      </w:r>
      <w:r w:rsidR="002B51EC" w:rsidRPr="00641640">
        <w:rPr>
          <w:rFonts w:ascii="Times New Roman" w:hAnsi="Times New Roman" w:cs="Times New Roman"/>
          <w:noProof/>
          <w:sz w:val="24"/>
          <w:szCs w:val="24"/>
          <w:lang w:val="sq-AL"/>
        </w:rPr>
        <w:t>it</w:t>
      </w:r>
      <w:r w:rsidRPr="00641640">
        <w:rPr>
          <w:rFonts w:ascii="Times New Roman" w:hAnsi="Times New Roman" w:cs="Times New Roman"/>
          <w:noProof/>
          <w:sz w:val="24"/>
          <w:szCs w:val="24"/>
          <w:lang w:val="sq-AL"/>
        </w:rPr>
        <w:t xml:space="preserve"> të saj ligjor, ekonomik dhe institucional. Në këtë aspekt</w:t>
      </w:r>
      <w:r w:rsidR="002B51EC"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është </w:t>
      </w:r>
      <w:r w:rsidR="002B51EC" w:rsidRPr="00641640">
        <w:rPr>
          <w:rFonts w:ascii="Times New Roman" w:hAnsi="Times New Roman" w:cs="Times New Roman"/>
          <w:noProof/>
          <w:sz w:val="24"/>
          <w:szCs w:val="24"/>
          <w:lang w:val="sq-AL"/>
        </w:rPr>
        <w:t xml:space="preserve">prioritet </w:t>
      </w:r>
      <w:r w:rsidRPr="00641640">
        <w:rPr>
          <w:rFonts w:ascii="Times New Roman" w:hAnsi="Times New Roman" w:cs="Times New Roman"/>
          <w:noProof/>
          <w:sz w:val="24"/>
          <w:szCs w:val="24"/>
          <w:lang w:val="sq-AL"/>
        </w:rPr>
        <w:t xml:space="preserve">ngritja e instrumentave të nevojshëm për forcimin e kapaciteteve dhe përmirësimin e strukturave integruese për të përmbushur të gjitha kërkesat e </w:t>
      </w:r>
      <w:r w:rsidR="002B51EC" w:rsidRPr="00641640">
        <w:rPr>
          <w:rFonts w:ascii="Times New Roman" w:hAnsi="Times New Roman" w:cs="Times New Roman"/>
          <w:noProof/>
          <w:sz w:val="24"/>
          <w:szCs w:val="24"/>
          <w:lang w:val="sq-AL"/>
        </w:rPr>
        <w:t>procesit negociator p</w:t>
      </w:r>
      <w:r w:rsidR="00064AC5" w:rsidRPr="00641640">
        <w:rPr>
          <w:rFonts w:ascii="Times New Roman" w:hAnsi="Times New Roman" w:cs="Times New Roman"/>
          <w:noProof/>
          <w:sz w:val="24"/>
          <w:szCs w:val="24"/>
          <w:lang w:val="sq-AL"/>
        </w:rPr>
        <w:t>ë</w:t>
      </w:r>
      <w:r w:rsidR="002B51EC" w:rsidRPr="00641640">
        <w:rPr>
          <w:rFonts w:ascii="Times New Roman" w:hAnsi="Times New Roman" w:cs="Times New Roman"/>
          <w:noProof/>
          <w:sz w:val="24"/>
          <w:szCs w:val="24"/>
          <w:lang w:val="sq-AL"/>
        </w:rPr>
        <w:t>r an</w:t>
      </w:r>
      <w:r w:rsidR="00064AC5" w:rsidRPr="00641640">
        <w:rPr>
          <w:rFonts w:ascii="Times New Roman" w:hAnsi="Times New Roman" w:cs="Times New Roman"/>
          <w:noProof/>
          <w:sz w:val="24"/>
          <w:szCs w:val="24"/>
          <w:lang w:val="sq-AL"/>
        </w:rPr>
        <w:t>ë</w:t>
      </w:r>
      <w:r w:rsidR="002B51EC" w:rsidRPr="00641640">
        <w:rPr>
          <w:rFonts w:ascii="Times New Roman" w:hAnsi="Times New Roman" w:cs="Times New Roman"/>
          <w:noProof/>
          <w:sz w:val="24"/>
          <w:szCs w:val="24"/>
          <w:lang w:val="sq-AL"/>
        </w:rPr>
        <w:t>tar</w:t>
      </w:r>
      <w:r w:rsidR="00064AC5" w:rsidRPr="00641640">
        <w:rPr>
          <w:rFonts w:ascii="Times New Roman" w:hAnsi="Times New Roman" w:cs="Times New Roman"/>
          <w:noProof/>
          <w:sz w:val="24"/>
          <w:szCs w:val="24"/>
          <w:lang w:val="sq-AL"/>
        </w:rPr>
        <w:t>ë</w:t>
      </w:r>
      <w:r w:rsidR="002B51EC" w:rsidRPr="00641640">
        <w:rPr>
          <w:rFonts w:ascii="Times New Roman" w:hAnsi="Times New Roman" w:cs="Times New Roman"/>
          <w:noProof/>
          <w:sz w:val="24"/>
          <w:szCs w:val="24"/>
          <w:lang w:val="sq-AL"/>
        </w:rPr>
        <w:t>simin n</w:t>
      </w:r>
      <w:r w:rsidR="00064AC5" w:rsidRPr="00641640">
        <w:rPr>
          <w:rFonts w:ascii="Times New Roman" w:hAnsi="Times New Roman" w:cs="Times New Roman"/>
          <w:noProof/>
          <w:sz w:val="24"/>
          <w:szCs w:val="24"/>
          <w:lang w:val="sq-AL"/>
        </w:rPr>
        <w:t>ë</w:t>
      </w:r>
      <w:r w:rsidR="002B51EC" w:rsidRPr="00641640">
        <w:rPr>
          <w:rFonts w:ascii="Times New Roman" w:hAnsi="Times New Roman" w:cs="Times New Roman"/>
          <w:noProof/>
          <w:sz w:val="24"/>
          <w:szCs w:val="24"/>
          <w:lang w:val="sq-AL"/>
        </w:rPr>
        <w:t xml:space="preserve"> BE</w:t>
      </w:r>
      <w:r w:rsidR="00FD5094"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w:t>
      </w:r>
      <w:r w:rsidR="002B51EC" w:rsidRPr="00641640">
        <w:rPr>
          <w:rFonts w:ascii="Times New Roman" w:hAnsi="Times New Roman" w:cs="Times New Roman"/>
          <w:noProof/>
          <w:sz w:val="24"/>
          <w:szCs w:val="24"/>
          <w:lang w:val="sq-AL"/>
        </w:rPr>
        <w:t xml:space="preserve">Përgatitjet teknike për fazën e shqyrtimit analitik të legjislacionit dhe kapaciteteve institucionale janë bashkërenduar dhe drejtuar metodologjikisht nga Departamenti i Politikave dhe Integrimit Evropian në Kryeministri, në rolin e Sekretariatit të Integrimit Evropian, me synimin për të mbështetur strukturat negociuese gjatë procesit të integrimit. </w:t>
      </w:r>
    </w:p>
    <w:p w14:paraId="48816B99" w14:textId="7F26557B" w:rsidR="00297541" w:rsidRPr="00641640" w:rsidRDefault="00297541"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Progresi i Shqipërisë</w:t>
      </w:r>
      <w:r w:rsidR="002B51EC" w:rsidRPr="00641640">
        <w:rPr>
          <w:rFonts w:ascii="Times New Roman" w:hAnsi="Times New Roman" w:cs="Times New Roman"/>
          <w:noProof/>
          <w:sz w:val="24"/>
          <w:szCs w:val="24"/>
          <w:lang w:val="sq-AL"/>
        </w:rPr>
        <w:t xml:space="preserve"> n</w:t>
      </w:r>
      <w:r w:rsidR="00064AC5" w:rsidRPr="00641640">
        <w:rPr>
          <w:rFonts w:ascii="Times New Roman" w:hAnsi="Times New Roman" w:cs="Times New Roman"/>
          <w:noProof/>
          <w:sz w:val="24"/>
          <w:szCs w:val="24"/>
          <w:lang w:val="sq-AL"/>
        </w:rPr>
        <w:t>ë</w:t>
      </w:r>
      <w:r w:rsidR="002B51EC" w:rsidRPr="00641640">
        <w:rPr>
          <w:rFonts w:ascii="Times New Roman" w:hAnsi="Times New Roman" w:cs="Times New Roman"/>
          <w:noProof/>
          <w:sz w:val="24"/>
          <w:szCs w:val="24"/>
          <w:lang w:val="sq-AL"/>
        </w:rPr>
        <w:t xml:space="preserve"> reform</w:t>
      </w:r>
      <w:r w:rsidR="00064AC5" w:rsidRPr="00641640">
        <w:rPr>
          <w:rFonts w:ascii="Times New Roman" w:hAnsi="Times New Roman" w:cs="Times New Roman"/>
          <w:noProof/>
          <w:sz w:val="24"/>
          <w:szCs w:val="24"/>
          <w:lang w:val="sq-AL"/>
        </w:rPr>
        <w:t>ë</w:t>
      </w:r>
      <w:r w:rsidR="002B51EC" w:rsidRPr="00641640">
        <w:rPr>
          <w:rFonts w:ascii="Times New Roman" w:hAnsi="Times New Roman" w:cs="Times New Roman"/>
          <w:noProof/>
          <w:sz w:val="24"/>
          <w:szCs w:val="24"/>
          <w:lang w:val="sq-AL"/>
        </w:rPr>
        <w:t>n n</w:t>
      </w:r>
      <w:r w:rsidR="00064AC5" w:rsidRPr="00641640">
        <w:rPr>
          <w:rFonts w:ascii="Times New Roman" w:hAnsi="Times New Roman" w:cs="Times New Roman"/>
          <w:noProof/>
          <w:sz w:val="24"/>
          <w:szCs w:val="24"/>
          <w:lang w:val="sq-AL"/>
        </w:rPr>
        <w:t>ë</w:t>
      </w:r>
      <w:r w:rsidR="002B51EC" w:rsidRPr="00641640">
        <w:rPr>
          <w:rFonts w:ascii="Times New Roman" w:hAnsi="Times New Roman" w:cs="Times New Roman"/>
          <w:noProof/>
          <w:sz w:val="24"/>
          <w:szCs w:val="24"/>
          <w:lang w:val="sq-AL"/>
        </w:rPr>
        <w:t xml:space="preserve"> administrat</w:t>
      </w:r>
      <w:r w:rsidR="00064AC5" w:rsidRPr="00641640">
        <w:rPr>
          <w:rFonts w:ascii="Times New Roman" w:hAnsi="Times New Roman" w:cs="Times New Roman"/>
          <w:noProof/>
          <w:sz w:val="24"/>
          <w:szCs w:val="24"/>
          <w:lang w:val="sq-AL"/>
        </w:rPr>
        <w:t>ë</w:t>
      </w:r>
      <w:r w:rsidR="002B51EC" w:rsidRPr="00641640">
        <w:rPr>
          <w:rFonts w:ascii="Times New Roman" w:hAnsi="Times New Roman" w:cs="Times New Roman"/>
          <w:noProof/>
          <w:sz w:val="24"/>
          <w:szCs w:val="24"/>
          <w:lang w:val="sq-AL"/>
        </w:rPr>
        <w:t>n publike</w:t>
      </w:r>
      <w:r w:rsidRPr="00641640">
        <w:rPr>
          <w:rFonts w:ascii="Times New Roman" w:hAnsi="Times New Roman" w:cs="Times New Roman"/>
          <w:noProof/>
          <w:sz w:val="24"/>
          <w:szCs w:val="24"/>
          <w:lang w:val="sq-AL"/>
        </w:rPr>
        <w:t>, i reflektuar edhe në vlerësimin</w:t>
      </w:r>
      <w:r w:rsidR="002B51EC" w:rsidRPr="00641640">
        <w:rPr>
          <w:rFonts w:ascii="Times New Roman" w:hAnsi="Times New Roman" w:cs="Times New Roman"/>
          <w:noProof/>
          <w:sz w:val="24"/>
          <w:szCs w:val="24"/>
          <w:lang w:val="sq-AL"/>
        </w:rPr>
        <w:t xml:space="preserve"> m</w:t>
      </w:r>
      <w:r w:rsidR="00064AC5" w:rsidRPr="00641640">
        <w:rPr>
          <w:rFonts w:ascii="Times New Roman" w:hAnsi="Times New Roman" w:cs="Times New Roman"/>
          <w:noProof/>
          <w:sz w:val="24"/>
          <w:szCs w:val="24"/>
          <w:lang w:val="sq-AL"/>
        </w:rPr>
        <w:t>ë</w:t>
      </w:r>
      <w:r w:rsidR="002B51EC"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002B51EC" w:rsidRPr="00641640">
        <w:rPr>
          <w:rFonts w:ascii="Times New Roman" w:hAnsi="Times New Roman" w:cs="Times New Roman"/>
          <w:noProof/>
          <w:sz w:val="24"/>
          <w:szCs w:val="24"/>
          <w:lang w:val="sq-AL"/>
        </w:rPr>
        <w:t xml:space="preserve"> fundit t</w:t>
      </w:r>
      <w:r w:rsidR="00064AC5" w:rsidRPr="00641640">
        <w:rPr>
          <w:rFonts w:ascii="Times New Roman" w:hAnsi="Times New Roman" w:cs="Times New Roman"/>
          <w:noProof/>
          <w:sz w:val="24"/>
          <w:szCs w:val="24"/>
          <w:lang w:val="sq-AL"/>
        </w:rPr>
        <w:t>ë</w:t>
      </w:r>
      <w:r w:rsidR="002B51EC" w:rsidRPr="00641640">
        <w:rPr>
          <w:rFonts w:ascii="Times New Roman" w:hAnsi="Times New Roman" w:cs="Times New Roman"/>
          <w:noProof/>
          <w:sz w:val="24"/>
          <w:szCs w:val="24"/>
          <w:lang w:val="sq-AL"/>
        </w:rPr>
        <w:t xml:space="preserve"> vitit 2024 nga </w:t>
      </w:r>
      <w:r w:rsidRPr="00641640">
        <w:rPr>
          <w:rFonts w:ascii="Times New Roman" w:hAnsi="Times New Roman" w:cs="Times New Roman"/>
          <w:noProof/>
          <w:sz w:val="24"/>
          <w:szCs w:val="24"/>
          <w:lang w:val="sq-AL"/>
        </w:rPr>
        <w:t>OECD/SIGMA</w:t>
      </w:r>
      <w:r w:rsidR="002B51EC"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w:t>
      </w:r>
      <w:r w:rsidR="002B51EC" w:rsidRPr="00641640">
        <w:rPr>
          <w:rFonts w:ascii="Times New Roman" w:hAnsi="Times New Roman" w:cs="Times New Roman"/>
          <w:noProof/>
          <w:sz w:val="24"/>
          <w:szCs w:val="24"/>
          <w:lang w:val="sq-AL"/>
        </w:rPr>
        <w:t>krijon bazat p</w:t>
      </w:r>
      <w:r w:rsidR="00064AC5" w:rsidRPr="00641640">
        <w:rPr>
          <w:rFonts w:ascii="Times New Roman" w:hAnsi="Times New Roman" w:cs="Times New Roman"/>
          <w:noProof/>
          <w:sz w:val="24"/>
          <w:szCs w:val="24"/>
          <w:lang w:val="sq-AL"/>
        </w:rPr>
        <w:t>ë</w:t>
      </w:r>
      <w:r w:rsidR="002B51EC" w:rsidRPr="00641640">
        <w:rPr>
          <w:rFonts w:ascii="Times New Roman" w:hAnsi="Times New Roman" w:cs="Times New Roman"/>
          <w:noProof/>
          <w:sz w:val="24"/>
          <w:szCs w:val="24"/>
          <w:lang w:val="sq-AL"/>
        </w:rPr>
        <w:t>r konsolidimin e</w:t>
      </w:r>
      <w:r w:rsidRPr="00641640">
        <w:rPr>
          <w:rFonts w:ascii="Times New Roman" w:hAnsi="Times New Roman" w:cs="Times New Roman"/>
          <w:noProof/>
          <w:sz w:val="24"/>
          <w:szCs w:val="24"/>
          <w:lang w:val="sq-AL"/>
        </w:rPr>
        <w:t xml:space="preserve"> një sistemi politikëbërës të mirëorganizuar, </w:t>
      </w:r>
      <w:r w:rsidR="00DB78D9" w:rsidRPr="00641640">
        <w:rPr>
          <w:rFonts w:ascii="Times New Roman" w:hAnsi="Times New Roman" w:cs="Times New Roman"/>
          <w:noProof/>
          <w:sz w:val="24"/>
          <w:szCs w:val="24"/>
          <w:lang w:val="sq-AL"/>
        </w:rPr>
        <w:t>të q</w:t>
      </w:r>
      <w:r w:rsidR="00E91F0A" w:rsidRPr="00641640">
        <w:rPr>
          <w:rFonts w:ascii="Times New Roman" w:hAnsi="Times New Roman" w:cs="Times New Roman"/>
          <w:noProof/>
          <w:sz w:val="24"/>
          <w:szCs w:val="24"/>
          <w:lang w:val="sq-AL"/>
        </w:rPr>
        <w:t>e</w:t>
      </w:r>
      <w:r w:rsidR="00DB78D9" w:rsidRPr="00641640">
        <w:rPr>
          <w:rFonts w:ascii="Times New Roman" w:hAnsi="Times New Roman" w:cs="Times New Roman"/>
          <w:noProof/>
          <w:sz w:val="24"/>
          <w:szCs w:val="24"/>
          <w:lang w:val="sq-AL"/>
        </w:rPr>
        <w:t>ndrueshëm</w:t>
      </w:r>
      <w:r w:rsidRPr="00641640">
        <w:rPr>
          <w:rFonts w:ascii="Times New Roman" w:hAnsi="Times New Roman" w:cs="Times New Roman"/>
          <w:noProof/>
          <w:sz w:val="24"/>
          <w:szCs w:val="24"/>
          <w:lang w:val="sq-AL"/>
        </w:rPr>
        <w:t xml:space="preserve"> dhe kompetent, i cili është </w:t>
      </w:r>
      <w:r w:rsidR="002B51EC" w:rsidRPr="00641640">
        <w:rPr>
          <w:rFonts w:ascii="Times New Roman" w:hAnsi="Times New Roman" w:cs="Times New Roman"/>
          <w:noProof/>
          <w:sz w:val="24"/>
          <w:szCs w:val="24"/>
          <w:lang w:val="sq-AL"/>
        </w:rPr>
        <w:t xml:space="preserve">jetik </w:t>
      </w:r>
      <w:r w:rsidRPr="00641640">
        <w:rPr>
          <w:rFonts w:ascii="Times New Roman" w:hAnsi="Times New Roman" w:cs="Times New Roman"/>
          <w:noProof/>
          <w:sz w:val="24"/>
          <w:szCs w:val="24"/>
          <w:lang w:val="sq-AL"/>
        </w:rPr>
        <w:t>për zhvillimin dhe koordinimin e politikave në administratën publike.</w:t>
      </w:r>
    </w:p>
    <w:p w14:paraId="537DD0CF" w14:textId="529E5226" w:rsidR="00302B2A" w:rsidRPr="00641640" w:rsidRDefault="00302B2A"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Prej vitit 201</w:t>
      </w:r>
      <w:r w:rsidR="00F929A7" w:rsidRPr="00641640">
        <w:rPr>
          <w:rFonts w:ascii="Times New Roman" w:hAnsi="Times New Roman" w:cs="Times New Roman"/>
          <w:noProof/>
          <w:sz w:val="24"/>
          <w:szCs w:val="24"/>
          <w:lang w:val="sq-AL"/>
        </w:rPr>
        <w:t>5</w:t>
      </w:r>
      <w:r w:rsidRPr="00641640">
        <w:rPr>
          <w:rFonts w:ascii="Times New Roman" w:hAnsi="Times New Roman" w:cs="Times New Roman"/>
          <w:noProof/>
          <w:sz w:val="24"/>
          <w:szCs w:val="24"/>
          <w:lang w:val="sq-AL"/>
        </w:rPr>
        <w:t xml:space="preserve">, koordinimi i politikave zhvillohet përmes </w:t>
      </w:r>
      <w:r w:rsidR="00DB7BCB">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Mekanizmit të Menaxhimit të Integruar t</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Politikave</w:t>
      </w:r>
      <w:r w:rsidR="00DB7BCB">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(IPMG), i </w:t>
      </w:r>
      <w:r w:rsidR="00F929A7" w:rsidRPr="00641640">
        <w:rPr>
          <w:rFonts w:ascii="Times New Roman" w:hAnsi="Times New Roman" w:cs="Times New Roman"/>
          <w:noProof/>
          <w:sz w:val="24"/>
          <w:szCs w:val="24"/>
          <w:lang w:val="sq-AL"/>
        </w:rPr>
        <w:t xml:space="preserve">krijuar </w:t>
      </w:r>
      <w:r w:rsidRPr="00641640">
        <w:rPr>
          <w:rFonts w:ascii="Times New Roman" w:hAnsi="Times New Roman" w:cs="Times New Roman"/>
          <w:noProof/>
          <w:sz w:val="24"/>
          <w:szCs w:val="24"/>
          <w:lang w:val="sq-AL"/>
        </w:rPr>
        <w:t>nga Qeveria Shqiptare me synim zbatimin e qasjes sektoriale/nd</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rsektoriale p</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menaxhimin dhe bashkërendimin efektiv të politikave në fushat prioritare dhe në sektorët strategjikë.</w:t>
      </w:r>
      <w:r w:rsidRPr="00641640">
        <w:rPr>
          <w:rStyle w:val="FootnoteReference"/>
          <w:rFonts w:ascii="Times New Roman" w:hAnsi="Times New Roman" w:cs="Times New Roman"/>
          <w:noProof/>
          <w:sz w:val="24"/>
          <w:szCs w:val="24"/>
          <w:lang w:val="sq-AL"/>
        </w:rPr>
        <w:footnoteReference w:id="28"/>
      </w:r>
      <w:r w:rsidRPr="00641640">
        <w:rPr>
          <w:rFonts w:ascii="Times New Roman" w:hAnsi="Times New Roman" w:cs="Times New Roman"/>
          <w:noProof/>
          <w:sz w:val="24"/>
          <w:szCs w:val="24"/>
          <w:lang w:val="sq-AL"/>
        </w:rPr>
        <w:t xml:space="preserve"> Ky </w:t>
      </w:r>
      <w:r w:rsidR="00DB7BCB">
        <w:rPr>
          <w:rFonts w:ascii="Times New Roman" w:hAnsi="Times New Roman" w:cs="Times New Roman"/>
          <w:noProof/>
          <w:sz w:val="24"/>
          <w:szCs w:val="24"/>
          <w:lang w:val="sq-AL"/>
        </w:rPr>
        <w:t>m</w:t>
      </w:r>
      <w:r w:rsidRPr="00641640">
        <w:rPr>
          <w:rFonts w:ascii="Times New Roman" w:hAnsi="Times New Roman" w:cs="Times New Roman"/>
          <w:noProof/>
          <w:sz w:val="24"/>
          <w:szCs w:val="24"/>
          <w:lang w:val="sq-AL"/>
        </w:rPr>
        <w:t>ekaniz</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m zbatohet përmes Grupeve të Menaxhimit të Integruar të Politikave (GMIP) dhe Ekipeve të dedikuara Tematike. GMIP-të </w:t>
      </w:r>
      <w:r w:rsidR="00167343" w:rsidRPr="00641640">
        <w:rPr>
          <w:rFonts w:ascii="Times New Roman" w:hAnsi="Times New Roman" w:cs="Times New Roman"/>
          <w:noProof/>
          <w:sz w:val="24"/>
          <w:szCs w:val="24"/>
          <w:lang w:val="sq-AL"/>
        </w:rPr>
        <w:t xml:space="preserve">janë krijuar të </w:t>
      </w:r>
      <w:r w:rsidRPr="00641640">
        <w:rPr>
          <w:rFonts w:ascii="Times New Roman" w:hAnsi="Times New Roman" w:cs="Times New Roman"/>
          <w:noProof/>
          <w:sz w:val="24"/>
          <w:szCs w:val="24"/>
          <w:lang w:val="sq-AL"/>
        </w:rPr>
        <w:t>garantojnë bashkëpunim dhe vend</w:t>
      </w:r>
      <w:r w:rsidR="00931D55" w:rsidRPr="00641640">
        <w:rPr>
          <w:rFonts w:ascii="Times New Roman" w:hAnsi="Times New Roman" w:cs="Times New Roman"/>
          <w:noProof/>
          <w:sz w:val="24"/>
          <w:szCs w:val="24"/>
          <w:lang w:val="sq-AL"/>
        </w:rPr>
        <w:t>i</w:t>
      </w:r>
      <w:r w:rsidRPr="00641640">
        <w:rPr>
          <w:rFonts w:ascii="Times New Roman" w:hAnsi="Times New Roman" w:cs="Times New Roman"/>
          <w:noProof/>
          <w:sz w:val="24"/>
          <w:szCs w:val="24"/>
          <w:lang w:val="sq-AL"/>
        </w:rPr>
        <w:t xml:space="preserve">mmarrje të përbashkët në nivele të larta politike dhe menaxheriale, me qëllim planifikimin dhe koordinimin e ekzekutimit dhe monitorimit të politikave dhe programeve ndërsektoriale dhe kombëtare në fushat prioritare. Paralelisht, ekipet tematike </w:t>
      </w:r>
      <w:r w:rsidR="00167343" w:rsidRPr="00641640">
        <w:rPr>
          <w:rFonts w:ascii="Times New Roman" w:hAnsi="Times New Roman" w:cs="Times New Roman"/>
          <w:noProof/>
          <w:sz w:val="24"/>
          <w:szCs w:val="24"/>
          <w:lang w:val="sq-AL"/>
        </w:rPr>
        <w:t xml:space="preserve">pritet të </w:t>
      </w:r>
      <w:r w:rsidRPr="00641640">
        <w:rPr>
          <w:rFonts w:ascii="Times New Roman" w:hAnsi="Times New Roman" w:cs="Times New Roman"/>
          <w:noProof/>
          <w:sz w:val="24"/>
          <w:szCs w:val="24"/>
          <w:lang w:val="sq-AL"/>
        </w:rPr>
        <w:t>veprojnë për të siguruar bashkëpunim në nivel sektorial dhe me partnerët e angazhuar n</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agjend</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n për zhvillim. </w:t>
      </w:r>
      <w:r w:rsidR="005F19C5" w:rsidRPr="00641640">
        <w:rPr>
          <w:rFonts w:ascii="Times New Roman" w:hAnsi="Times New Roman" w:cs="Times New Roman"/>
          <w:noProof/>
          <w:sz w:val="24"/>
          <w:szCs w:val="24"/>
          <w:lang w:val="sq-AL"/>
        </w:rPr>
        <w:t>N</w:t>
      </w:r>
      <w:r w:rsidR="00DA5C1F"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 xml:space="preserve"> p</w:t>
      </w:r>
      <w:r w:rsidR="00DA5C1F"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rgjigje t</w:t>
      </w:r>
      <w:r w:rsidR="00DA5C1F"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 xml:space="preserve"> sfidave t</w:t>
      </w:r>
      <w:r w:rsidR="00DA5C1F"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 xml:space="preserve"> evidentuara nd</w:t>
      </w:r>
      <w:r w:rsidR="00DA5C1F"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r vite p</w:t>
      </w:r>
      <w:r w:rsidR="00DA5C1F"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r rritjen e efikasitetit t</w:t>
      </w:r>
      <w:r w:rsidR="00DA5C1F"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 xml:space="preserve"> k</w:t>
      </w:r>
      <w:r w:rsidR="00DA5C1F" w:rsidRPr="00641640">
        <w:rPr>
          <w:rFonts w:ascii="Times New Roman" w:hAnsi="Times New Roman" w:cs="Times New Roman"/>
          <w:noProof/>
          <w:sz w:val="24"/>
          <w:szCs w:val="24"/>
          <w:lang w:val="sq-AL"/>
        </w:rPr>
        <w:t>ë</w:t>
      </w:r>
      <w:r w:rsidR="005F19C5" w:rsidRPr="00641640">
        <w:rPr>
          <w:rFonts w:ascii="Times New Roman" w:hAnsi="Times New Roman" w:cs="Times New Roman"/>
          <w:noProof/>
          <w:sz w:val="24"/>
          <w:szCs w:val="24"/>
          <w:lang w:val="sq-AL"/>
        </w:rPr>
        <w:t>tij mekanizmi, n</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vitin 2023 u miratua nj</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struktur</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e rishikuar p</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zbatimin e qasjes së gjerë sektoriale/ndërsektoriale, me synimin p</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t</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rmir</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suar funksionimin e Mekanizmit. Struktura e rishikuar dhe aktualisht n</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fuqi p</w:t>
      </w:r>
      <w:r w:rsidR="003B5D54" w:rsidRPr="00641640">
        <w:rPr>
          <w:rFonts w:ascii="Times New Roman" w:hAnsi="Times New Roman" w:cs="Times New Roman"/>
          <w:noProof/>
          <w:sz w:val="24"/>
          <w:szCs w:val="24"/>
          <w:lang w:val="sq-AL"/>
        </w:rPr>
        <w:t>ë</w:t>
      </w:r>
      <w:r w:rsidR="00C64AAF" w:rsidRPr="00641640">
        <w:rPr>
          <w:rFonts w:ascii="Times New Roman" w:hAnsi="Times New Roman" w:cs="Times New Roman"/>
          <w:noProof/>
          <w:sz w:val="24"/>
          <w:szCs w:val="24"/>
          <w:lang w:val="sq-AL"/>
        </w:rPr>
        <w:t xml:space="preserve">rfshin 6 GMIP dhe </w:t>
      </w:r>
      <w:r w:rsidR="000D2744" w:rsidRPr="00641640">
        <w:rPr>
          <w:rFonts w:ascii="Times New Roman" w:hAnsi="Times New Roman" w:cs="Times New Roman"/>
          <w:noProof/>
          <w:sz w:val="24"/>
          <w:szCs w:val="24"/>
          <w:lang w:val="sq-AL"/>
        </w:rPr>
        <w:t>42</w:t>
      </w:r>
      <w:r w:rsidRPr="00641640">
        <w:rPr>
          <w:rFonts w:ascii="Times New Roman" w:hAnsi="Times New Roman" w:cs="Times New Roman"/>
          <w:noProof/>
          <w:sz w:val="24"/>
          <w:szCs w:val="24"/>
          <w:lang w:val="sq-AL"/>
        </w:rPr>
        <w:t xml:space="preserve"> Ekipe Tematike.</w:t>
      </w:r>
      <w:r w:rsidRPr="00641640">
        <w:rPr>
          <w:rStyle w:val="FootnoteReference"/>
          <w:rFonts w:ascii="Times New Roman" w:hAnsi="Times New Roman" w:cs="Times New Roman"/>
          <w:noProof/>
          <w:sz w:val="24"/>
          <w:szCs w:val="24"/>
          <w:lang w:val="sq-AL"/>
        </w:rPr>
        <w:footnoteReference w:id="29"/>
      </w:r>
      <w:r w:rsidRPr="00641640">
        <w:rPr>
          <w:rFonts w:ascii="Times New Roman" w:hAnsi="Times New Roman" w:cs="Times New Roman"/>
          <w:noProof/>
          <w:sz w:val="24"/>
          <w:szCs w:val="24"/>
          <w:lang w:val="sq-AL"/>
        </w:rPr>
        <w:t xml:space="preserve"> </w:t>
      </w:r>
    </w:p>
    <w:p w14:paraId="6777E460" w14:textId="007918F7" w:rsidR="00302B2A" w:rsidRPr="00641640" w:rsidRDefault="00302B2A"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Komiteti i Planifikimit Strategjik (KPS), i </w:t>
      </w:r>
      <w:r w:rsidR="00BE52B8" w:rsidRPr="00641640">
        <w:rPr>
          <w:rFonts w:ascii="Times New Roman" w:hAnsi="Times New Roman" w:cs="Times New Roman"/>
          <w:noProof/>
          <w:sz w:val="24"/>
          <w:szCs w:val="24"/>
          <w:lang w:val="sq-AL"/>
        </w:rPr>
        <w:t>kryesuar</w:t>
      </w:r>
      <w:r w:rsidRPr="00641640">
        <w:rPr>
          <w:rFonts w:ascii="Times New Roman" w:hAnsi="Times New Roman" w:cs="Times New Roman"/>
          <w:noProof/>
          <w:sz w:val="24"/>
          <w:szCs w:val="24"/>
          <w:lang w:val="sq-AL"/>
        </w:rPr>
        <w:t xml:space="preserve"> nga Kryeministri, </w:t>
      </w:r>
      <w:r w:rsidR="00C64AAF" w:rsidRPr="00641640">
        <w:rPr>
          <w:rFonts w:ascii="Times New Roman" w:hAnsi="Times New Roman" w:cs="Times New Roman"/>
          <w:noProof/>
          <w:sz w:val="24"/>
          <w:szCs w:val="24"/>
          <w:lang w:val="sq-AL"/>
        </w:rPr>
        <w:t>është struktura kyçe për përcaktimin e përparësive të zhvillimit të vendit dhe për harmonizimimin e planifikimit të integruar me jetësimin e këtyre përparësive.</w:t>
      </w:r>
      <w:r w:rsidR="0075778E" w:rsidRPr="00641640">
        <w:rPr>
          <w:rFonts w:ascii="Times New Roman" w:hAnsi="Times New Roman" w:cs="Times New Roman"/>
          <w:noProof/>
          <w:sz w:val="24"/>
          <w:szCs w:val="24"/>
          <w:lang w:val="sq-AL"/>
        </w:rPr>
        <w:t xml:space="preserve"> </w:t>
      </w:r>
      <w:r w:rsidR="00C64AAF" w:rsidRPr="00641640">
        <w:rPr>
          <w:rFonts w:ascii="Times New Roman" w:hAnsi="Times New Roman" w:cs="Times New Roman"/>
          <w:noProof/>
          <w:sz w:val="24"/>
          <w:szCs w:val="24"/>
          <w:lang w:val="sq-AL"/>
        </w:rPr>
        <w:t>KPS-ja luan një rol vendimtar në miratimin e vizionit, objektivave, afateve dhe kalendarëve të përgatitjes për çdo dokument strategjik, qoftë sektorial apo ndërsektorial. Përpara miratimit në Këshillin e Ministrave, dokumentet e projekt-strategjisë duhet të vlerësohen dhe të aprovohen nga KPS-ja, duke siguruar përputhshmërinë me prioritetet kombëtare. Agjencia Shtetërore për Programimin Strategjik dhe Koordinimin e Ndihmës (</w:t>
      </w:r>
      <w:r w:rsidR="00B82FB3" w:rsidRPr="00641640">
        <w:rPr>
          <w:rFonts w:ascii="Times New Roman" w:hAnsi="Times New Roman" w:cs="Times New Roman"/>
          <w:noProof/>
          <w:sz w:val="24"/>
          <w:szCs w:val="24"/>
          <w:lang w:val="sq-AL"/>
        </w:rPr>
        <w:t>Agjencia</w:t>
      </w:r>
      <w:r w:rsidR="00C64AAF" w:rsidRPr="00641640">
        <w:rPr>
          <w:rFonts w:ascii="Times New Roman" w:hAnsi="Times New Roman" w:cs="Times New Roman"/>
          <w:noProof/>
          <w:sz w:val="24"/>
          <w:szCs w:val="24"/>
          <w:lang w:val="sq-AL"/>
        </w:rPr>
        <w:t xml:space="preserve">) shërben si Sekretariati Teknik për KPS-në dhe ka për detyrë koordinimin e </w:t>
      </w:r>
      <w:r w:rsidR="00C64AAF" w:rsidRPr="00641640">
        <w:rPr>
          <w:rFonts w:ascii="Times New Roman" w:hAnsi="Times New Roman" w:cs="Times New Roman"/>
          <w:noProof/>
          <w:sz w:val="24"/>
          <w:szCs w:val="24"/>
          <w:lang w:val="sq-AL"/>
        </w:rPr>
        <w:lastRenderedPageBreak/>
        <w:t>përgjithshëm të punës për funksionimin e Grupeve të Menaxhimit të Integruar të Politikave (GMIP-ve).</w:t>
      </w:r>
      <w:r w:rsidR="00BE52B8" w:rsidRPr="00641640">
        <w:rPr>
          <w:rStyle w:val="FootnoteReference"/>
          <w:rFonts w:ascii="Times New Roman" w:hAnsi="Times New Roman" w:cs="Times New Roman"/>
          <w:noProof/>
          <w:sz w:val="24"/>
          <w:szCs w:val="24"/>
          <w:lang w:val="sq-AL"/>
        </w:rPr>
        <w:footnoteReference w:id="30"/>
      </w:r>
      <w:r w:rsidR="00BE52B8" w:rsidRPr="00641640">
        <w:rPr>
          <w:rFonts w:ascii="Times New Roman" w:hAnsi="Times New Roman" w:cs="Times New Roman"/>
          <w:noProof/>
          <w:sz w:val="24"/>
          <w:szCs w:val="24"/>
          <w:lang w:val="sq-AL"/>
        </w:rPr>
        <w:t xml:space="preserve"> </w:t>
      </w:r>
      <w:r w:rsidR="00C64AAF" w:rsidRPr="00641640">
        <w:rPr>
          <w:rFonts w:ascii="Times New Roman" w:hAnsi="Times New Roman" w:cs="Times New Roman"/>
          <w:noProof/>
          <w:sz w:val="24"/>
          <w:szCs w:val="24"/>
          <w:lang w:val="sq-AL"/>
        </w:rPr>
        <w:t>K</w:t>
      </w:r>
      <w:r w:rsidR="00785F70" w:rsidRPr="00641640">
        <w:rPr>
          <w:rFonts w:ascii="Times New Roman" w:hAnsi="Times New Roman" w:cs="Times New Roman"/>
          <w:noProof/>
          <w:sz w:val="24"/>
          <w:szCs w:val="24"/>
          <w:lang w:val="sq-AL"/>
        </w:rPr>
        <w:t>ë</w:t>
      </w:r>
      <w:r w:rsidR="00C64AAF" w:rsidRPr="00641640">
        <w:rPr>
          <w:rFonts w:ascii="Times New Roman" w:hAnsi="Times New Roman" w:cs="Times New Roman"/>
          <w:noProof/>
          <w:sz w:val="24"/>
          <w:szCs w:val="24"/>
          <w:lang w:val="sq-AL"/>
        </w:rPr>
        <w:t>to t</w:t>
      </w:r>
      <w:r w:rsidR="00785F70" w:rsidRPr="00641640">
        <w:rPr>
          <w:rFonts w:ascii="Times New Roman" w:hAnsi="Times New Roman" w:cs="Times New Roman"/>
          <w:noProof/>
          <w:sz w:val="24"/>
          <w:szCs w:val="24"/>
          <w:lang w:val="sq-AL"/>
        </w:rPr>
        <w:t>ë</w:t>
      </w:r>
      <w:r w:rsidR="00C64AAF" w:rsidRPr="00641640">
        <w:rPr>
          <w:rFonts w:ascii="Times New Roman" w:hAnsi="Times New Roman" w:cs="Times New Roman"/>
          <w:noProof/>
          <w:sz w:val="24"/>
          <w:szCs w:val="24"/>
          <w:lang w:val="sq-AL"/>
        </w:rPr>
        <w:t xml:space="preserve"> fundit </w:t>
      </w:r>
      <w:r w:rsidRPr="00641640">
        <w:rPr>
          <w:rFonts w:ascii="Times New Roman" w:hAnsi="Times New Roman" w:cs="Times New Roman"/>
          <w:noProof/>
          <w:sz w:val="24"/>
          <w:szCs w:val="24"/>
          <w:lang w:val="sq-AL"/>
        </w:rPr>
        <w:t xml:space="preserve">raportojnë </w:t>
      </w:r>
      <w:r w:rsidR="00457407" w:rsidRPr="00641640">
        <w:rPr>
          <w:rFonts w:ascii="Times New Roman" w:hAnsi="Times New Roman" w:cs="Times New Roman"/>
          <w:noProof/>
          <w:sz w:val="24"/>
          <w:szCs w:val="24"/>
          <w:lang w:val="sq-AL"/>
        </w:rPr>
        <w:t>në</w:t>
      </w:r>
      <w:r w:rsidRPr="00641640">
        <w:rPr>
          <w:rFonts w:ascii="Times New Roman" w:hAnsi="Times New Roman" w:cs="Times New Roman"/>
          <w:noProof/>
          <w:sz w:val="24"/>
          <w:szCs w:val="24"/>
          <w:lang w:val="sq-AL"/>
        </w:rPr>
        <w:t xml:space="preserve"> KPS përme</w:t>
      </w:r>
      <w:r w:rsidR="00BE52B8" w:rsidRPr="00641640">
        <w:rPr>
          <w:rFonts w:ascii="Times New Roman" w:hAnsi="Times New Roman" w:cs="Times New Roman"/>
          <w:noProof/>
          <w:sz w:val="24"/>
          <w:szCs w:val="24"/>
          <w:lang w:val="sq-AL"/>
        </w:rPr>
        <w:t>s Sekretariatit të Përgjithshëm</w:t>
      </w:r>
      <w:r w:rsidR="00C64AAF" w:rsidRPr="00641640">
        <w:rPr>
          <w:rFonts w:ascii="Times New Roman" w:hAnsi="Times New Roman" w:cs="Times New Roman"/>
          <w:noProof/>
          <w:sz w:val="24"/>
          <w:szCs w:val="24"/>
          <w:lang w:val="sq-AL"/>
        </w:rPr>
        <w:t>, duke mbështetur kështu procesin e vendimmarrjes</w:t>
      </w:r>
      <w:r w:rsidR="00BE52B8" w:rsidRPr="00641640">
        <w:rPr>
          <w:rFonts w:ascii="Times New Roman" w:hAnsi="Times New Roman" w:cs="Times New Roman"/>
          <w:noProof/>
          <w:sz w:val="24"/>
          <w:szCs w:val="24"/>
          <w:lang w:val="sq-AL"/>
        </w:rPr>
        <w:t>.</w:t>
      </w:r>
      <w:r w:rsidR="005C2AD2"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Çdo GMIP mbështetet nga një sekretariat teknik (Sekretariati Teknik), i cili krijohet me urdhër të ministrit ose drejtuesit të institucionit përkatës dhe është pjesë e institucioneve qeverisëse përgjegjëse për GMIP-të dhe Ekipet Tematike. Sekretariatet teknike raportojnë periodikisht mbi progresin e procesit dhe paraqesin çështjet që kërkojnë vendimmarrje te</w:t>
      </w:r>
      <w:r w:rsidR="000756E5" w:rsidRPr="00641640">
        <w:rPr>
          <w:rFonts w:ascii="Times New Roman" w:hAnsi="Times New Roman" w:cs="Times New Roman"/>
          <w:noProof/>
          <w:sz w:val="24"/>
          <w:szCs w:val="24"/>
          <w:lang w:val="sq-AL"/>
        </w:rPr>
        <w:t>k</w:t>
      </w:r>
      <w:r w:rsidRPr="00641640">
        <w:rPr>
          <w:rFonts w:ascii="Times New Roman" w:hAnsi="Times New Roman" w:cs="Times New Roman"/>
          <w:noProof/>
          <w:sz w:val="24"/>
          <w:szCs w:val="24"/>
          <w:lang w:val="sq-AL"/>
        </w:rPr>
        <w:t xml:space="preserve"> Sekretariati Teknik Qendror, i cili, në koordinim me sekretariatin e KPS-së, i përcjell këto çështje për vendimmarrje te</w:t>
      </w:r>
      <w:r w:rsidR="000756E5" w:rsidRPr="00641640">
        <w:rPr>
          <w:rFonts w:ascii="Times New Roman" w:hAnsi="Times New Roman" w:cs="Times New Roman"/>
          <w:noProof/>
          <w:sz w:val="24"/>
          <w:szCs w:val="24"/>
          <w:lang w:val="sq-AL"/>
        </w:rPr>
        <w:t>k</w:t>
      </w:r>
      <w:r w:rsidRPr="00641640">
        <w:rPr>
          <w:rFonts w:ascii="Times New Roman" w:hAnsi="Times New Roman" w:cs="Times New Roman"/>
          <w:noProof/>
          <w:sz w:val="24"/>
          <w:szCs w:val="24"/>
          <w:lang w:val="sq-AL"/>
        </w:rPr>
        <w:t xml:space="preserve"> KPS.</w:t>
      </w:r>
      <w:r w:rsidR="00BE52B8" w:rsidRPr="00641640">
        <w:rPr>
          <w:rFonts w:ascii="Times New Roman" w:hAnsi="Times New Roman" w:cs="Times New Roman"/>
          <w:noProof/>
          <w:sz w:val="24"/>
          <w:szCs w:val="24"/>
          <w:lang w:val="sq-AL"/>
        </w:rPr>
        <w:t xml:space="preserve"> </w:t>
      </w:r>
      <w:r w:rsidR="00B44331" w:rsidRPr="00641640">
        <w:rPr>
          <w:rFonts w:ascii="Times New Roman" w:hAnsi="Times New Roman" w:cs="Times New Roman"/>
          <w:noProof/>
          <w:sz w:val="24"/>
          <w:szCs w:val="24"/>
          <w:lang w:val="sq-AL"/>
        </w:rPr>
        <w:t>Agjencia kryen vler</w:t>
      </w:r>
      <w:r w:rsidR="00DF216F" w:rsidRPr="00641640">
        <w:rPr>
          <w:rFonts w:ascii="Times New Roman" w:hAnsi="Times New Roman" w:cs="Times New Roman"/>
          <w:noProof/>
          <w:sz w:val="24"/>
          <w:szCs w:val="24"/>
          <w:lang w:val="sq-AL"/>
        </w:rPr>
        <w:t>ë</w:t>
      </w:r>
      <w:r w:rsidR="00B44331" w:rsidRPr="00641640">
        <w:rPr>
          <w:rFonts w:ascii="Times New Roman" w:hAnsi="Times New Roman" w:cs="Times New Roman"/>
          <w:noProof/>
          <w:sz w:val="24"/>
          <w:szCs w:val="24"/>
          <w:lang w:val="sq-AL"/>
        </w:rPr>
        <w:t>simin paraprak t</w:t>
      </w:r>
      <w:r w:rsidR="00DF216F" w:rsidRPr="00641640">
        <w:rPr>
          <w:rFonts w:ascii="Times New Roman" w:hAnsi="Times New Roman" w:cs="Times New Roman"/>
          <w:noProof/>
          <w:sz w:val="24"/>
          <w:szCs w:val="24"/>
          <w:lang w:val="sq-AL"/>
        </w:rPr>
        <w:t>ë</w:t>
      </w:r>
      <w:r w:rsidR="00B44331" w:rsidRPr="00641640">
        <w:rPr>
          <w:rFonts w:ascii="Times New Roman" w:hAnsi="Times New Roman" w:cs="Times New Roman"/>
          <w:noProof/>
          <w:sz w:val="24"/>
          <w:szCs w:val="24"/>
          <w:lang w:val="sq-AL"/>
        </w:rPr>
        <w:t xml:space="preserve"> dokumenteve t</w:t>
      </w:r>
      <w:r w:rsidR="00B403AD" w:rsidRPr="00641640">
        <w:rPr>
          <w:rFonts w:ascii="Times New Roman" w:hAnsi="Times New Roman" w:cs="Times New Roman"/>
          <w:noProof/>
          <w:sz w:val="24"/>
          <w:szCs w:val="24"/>
          <w:lang w:val="sq-AL"/>
        </w:rPr>
        <w:t>ë</w:t>
      </w:r>
      <w:r w:rsidR="00B44331" w:rsidRPr="00641640">
        <w:rPr>
          <w:rFonts w:ascii="Times New Roman" w:hAnsi="Times New Roman" w:cs="Times New Roman"/>
          <w:noProof/>
          <w:sz w:val="24"/>
          <w:szCs w:val="24"/>
          <w:lang w:val="sq-AL"/>
        </w:rPr>
        <w:t xml:space="preserve"> politikave n</w:t>
      </w:r>
      <w:r w:rsidR="00DF216F" w:rsidRPr="00641640">
        <w:rPr>
          <w:rFonts w:ascii="Times New Roman" w:hAnsi="Times New Roman" w:cs="Times New Roman"/>
          <w:noProof/>
          <w:sz w:val="24"/>
          <w:szCs w:val="24"/>
          <w:lang w:val="sq-AL"/>
        </w:rPr>
        <w:t>ë</w:t>
      </w:r>
      <w:r w:rsidR="00B44331" w:rsidRPr="00641640">
        <w:rPr>
          <w:rFonts w:ascii="Times New Roman" w:hAnsi="Times New Roman" w:cs="Times New Roman"/>
          <w:noProof/>
          <w:sz w:val="24"/>
          <w:szCs w:val="24"/>
          <w:lang w:val="sq-AL"/>
        </w:rPr>
        <w:t xml:space="preserve"> p</w:t>
      </w:r>
      <w:r w:rsidR="00DF216F" w:rsidRPr="00641640">
        <w:rPr>
          <w:rFonts w:ascii="Times New Roman" w:hAnsi="Times New Roman" w:cs="Times New Roman"/>
          <w:noProof/>
          <w:sz w:val="24"/>
          <w:szCs w:val="24"/>
          <w:lang w:val="sq-AL"/>
        </w:rPr>
        <w:t>ë</w:t>
      </w:r>
      <w:r w:rsidR="00B44331" w:rsidRPr="00641640">
        <w:rPr>
          <w:rFonts w:ascii="Times New Roman" w:hAnsi="Times New Roman" w:cs="Times New Roman"/>
          <w:noProof/>
          <w:sz w:val="24"/>
          <w:szCs w:val="24"/>
          <w:lang w:val="sq-AL"/>
        </w:rPr>
        <w:t>rputhje me kuadrin themelor strategjik t</w:t>
      </w:r>
      <w:r w:rsidR="00DF216F" w:rsidRPr="00641640">
        <w:rPr>
          <w:rFonts w:ascii="Times New Roman" w:hAnsi="Times New Roman" w:cs="Times New Roman"/>
          <w:noProof/>
          <w:sz w:val="24"/>
          <w:szCs w:val="24"/>
          <w:lang w:val="sq-AL"/>
        </w:rPr>
        <w:t>ë</w:t>
      </w:r>
      <w:r w:rsidR="00B44331" w:rsidRPr="00641640">
        <w:rPr>
          <w:rFonts w:ascii="Times New Roman" w:hAnsi="Times New Roman" w:cs="Times New Roman"/>
          <w:noProof/>
          <w:sz w:val="24"/>
          <w:szCs w:val="24"/>
          <w:lang w:val="sq-AL"/>
        </w:rPr>
        <w:t xml:space="preserve"> vendit</w:t>
      </w:r>
      <w:r w:rsidR="00B403AD" w:rsidRPr="00641640">
        <w:rPr>
          <w:rFonts w:ascii="Times New Roman" w:hAnsi="Times New Roman" w:cs="Times New Roman"/>
          <w:noProof/>
          <w:sz w:val="24"/>
          <w:szCs w:val="24"/>
          <w:lang w:val="sq-AL"/>
        </w:rPr>
        <w:t>,</w:t>
      </w:r>
      <w:r w:rsidR="00B44331" w:rsidRPr="00641640">
        <w:rPr>
          <w:rFonts w:ascii="Times New Roman" w:hAnsi="Times New Roman" w:cs="Times New Roman"/>
          <w:noProof/>
          <w:sz w:val="24"/>
          <w:szCs w:val="24"/>
          <w:lang w:val="sq-AL"/>
        </w:rPr>
        <w:t xml:space="preserve"> p</w:t>
      </w:r>
      <w:r w:rsidR="00DF216F" w:rsidRPr="00641640">
        <w:rPr>
          <w:rFonts w:ascii="Times New Roman" w:hAnsi="Times New Roman" w:cs="Times New Roman"/>
          <w:noProof/>
          <w:sz w:val="24"/>
          <w:szCs w:val="24"/>
          <w:lang w:val="sq-AL"/>
        </w:rPr>
        <w:t>ë</w:t>
      </w:r>
      <w:r w:rsidR="00B44331" w:rsidRPr="00641640">
        <w:rPr>
          <w:rFonts w:ascii="Times New Roman" w:hAnsi="Times New Roman" w:cs="Times New Roman"/>
          <w:noProof/>
          <w:sz w:val="24"/>
          <w:szCs w:val="24"/>
          <w:lang w:val="sq-AL"/>
        </w:rPr>
        <w:t>rpara prezantimit t</w:t>
      </w:r>
      <w:r w:rsidR="00DF216F" w:rsidRPr="00641640">
        <w:rPr>
          <w:rFonts w:ascii="Times New Roman" w:hAnsi="Times New Roman" w:cs="Times New Roman"/>
          <w:noProof/>
          <w:sz w:val="24"/>
          <w:szCs w:val="24"/>
          <w:lang w:val="sq-AL"/>
        </w:rPr>
        <w:t>ë</w:t>
      </w:r>
      <w:r w:rsidR="00B44331" w:rsidRPr="00641640">
        <w:rPr>
          <w:rFonts w:ascii="Times New Roman" w:hAnsi="Times New Roman" w:cs="Times New Roman"/>
          <w:noProof/>
          <w:sz w:val="24"/>
          <w:szCs w:val="24"/>
          <w:lang w:val="sq-AL"/>
        </w:rPr>
        <w:t xml:space="preserve"> tyre p</w:t>
      </w:r>
      <w:r w:rsidR="00DF216F" w:rsidRPr="00641640">
        <w:rPr>
          <w:rFonts w:ascii="Times New Roman" w:hAnsi="Times New Roman" w:cs="Times New Roman"/>
          <w:noProof/>
          <w:sz w:val="24"/>
          <w:szCs w:val="24"/>
          <w:lang w:val="sq-AL"/>
        </w:rPr>
        <w:t>ë</w:t>
      </w:r>
      <w:r w:rsidR="00B44331" w:rsidRPr="00641640">
        <w:rPr>
          <w:rFonts w:ascii="Times New Roman" w:hAnsi="Times New Roman" w:cs="Times New Roman"/>
          <w:noProof/>
          <w:sz w:val="24"/>
          <w:szCs w:val="24"/>
          <w:lang w:val="sq-AL"/>
        </w:rPr>
        <w:t>r vendimmarrje n</w:t>
      </w:r>
      <w:r w:rsidR="00DF216F" w:rsidRPr="00641640">
        <w:rPr>
          <w:rFonts w:ascii="Times New Roman" w:hAnsi="Times New Roman" w:cs="Times New Roman"/>
          <w:noProof/>
          <w:sz w:val="24"/>
          <w:szCs w:val="24"/>
          <w:lang w:val="sq-AL"/>
        </w:rPr>
        <w:t>ë</w:t>
      </w:r>
      <w:r w:rsidR="00B44331" w:rsidRPr="00641640">
        <w:rPr>
          <w:rFonts w:ascii="Times New Roman" w:hAnsi="Times New Roman" w:cs="Times New Roman"/>
          <w:noProof/>
          <w:sz w:val="24"/>
          <w:szCs w:val="24"/>
          <w:lang w:val="sq-AL"/>
        </w:rPr>
        <w:t xml:space="preserve"> KPS. Agjencia </w:t>
      </w:r>
      <w:r w:rsidR="00BE52B8" w:rsidRPr="00641640">
        <w:rPr>
          <w:rFonts w:ascii="Times New Roman" w:hAnsi="Times New Roman" w:cs="Times New Roman"/>
          <w:noProof/>
          <w:sz w:val="24"/>
          <w:szCs w:val="24"/>
          <w:lang w:val="sq-AL"/>
        </w:rPr>
        <w:t>gjithashtu informon KPS-në çdo gjashtë muaj mbi ecurinë e GMIP-ve.</w:t>
      </w:r>
      <w:r w:rsidR="00C64AAF" w:rsidRPr="00641640">
        <w:rPr>
          <w:rFonts w:ascii="Times New Roman" w:hAnsi="Times New Roman" w:cs="Times New Roman"/>
          <w:noProof/>
          <w:sz w:val="24"/>
          <w:szCs w:val="24"/>
          <w:lang w:val="sq-AL"/>
        </w:rPr>
        <w:t xml:space="preserve"> </w:t>
      </w:r>
    </w:p>
    <w:p w14:paraId="0C7C2F1A" w14:textId="492CD4EF" w:rsidR="00FE68D6" w:rsidRPr="00641640" w:rsidRDefault="00FE68D6" w:rsidP="003A395D">
      <w:pPr>
        <w:spacing w:line="276" w:lineRule="auto"/>
        <w:jc w:val="both"/>
        <w:rPr>
          <w:rFonts w:ascii="Times New Roman" w:hAnsi="Times New Roman" w:cs="Times New Roman"/>
          <w:strike/>
          <w:noProof/>
          <w:sz w:val="24"/>
          <w:szCs w:val="24"/>
          <w:lang w:val="sq-AL"/>
        </w:rPr>
      </w:pPr>
      <w:r w:rsidRPr="00641640">
        <w:rPr>
          <w:rFonts w:ascii="Times New Roman" w:hAnsi="Times New Roman" w:cs="Times New Roman"/>
          <w:noProof/>
          <w:sz w:val="24"/>
          <w:szCs w:val="24"/>
          <w:lang w:val="sq-AL"/>
        </w:rPr>
        <w:t>Sistemi Informatik i Planifikimit të Integruar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Politikave (IPSIS)</w:t>
      </w:r>
      <w:r w:rsidRPr="00641640">
        <w:rPr>
          <w:rStyle w:val="FootnoteReference"/>
          <w:rFonts w:ascii="Times New Roman" w:hAnsi="Times New Roman" w:cs="Times New Roman"/>
          <w:noProof/>
          <w:sz w:val="24"/>
          <w:szCs w:val="24"/>
          <w:lang w:val="sq-AL"/>
        </w:rPr>
        <w:footnoteReference w:id="31"/>
      </w:r>
      <w:r w:rsidRPr="00641640">
        <w:rPr>
          <w:rFonts w:ascii="Times New Roman" w:hAnsi="Times New Roman" w:cs="Times New Roman"/>
          <w:noProof/>
          <w:sz w:val="24"/>
          <w:szCs w:val="24"/>
          <w:lang w:val="sq-AL"/>
        </w:rPr>
        <w:t xml:space="preserve"> </w:t>
      </w:r>
      <w:r w:rsidR="00C80205" w:rsidRPr="00641640">
        <w:rPr>
          <w:rFonts w:ascii="Times New Roman" w:hAnsi="Times New Roman" w:cs="Times New Roman"/>
          <w:noProof/>
          <w:sz w:val="24"/>
          <w:szCs w:val="24"/>
          <w:lang w:val="sq-AL"/>
        </w:rPr>
        <w:t>ë</w:t>
      </w:r>
      <w:r w:rsidR="00616080" w:rsidRPr="00641640">
        <w:rPr>
          <w:rFonts w:ascii="Times New Roman" w:hAnsi="Times New Roman" w:cs="Times New Roman"/>
          <w:noProof/>
          <w:sz w:val="24"/>
          <w:szCs w:val="24"/>
          <w:lang w:val="sq-AL"/>
        </w:rPr>
        <w:t>sht</w:t>
      </w:r>
      <w:r w:rsidR="00C80205" w:rsidRPr="00641640">
        <w:rPr>
          <w:rFonts w:ascii="Times New Roman" w:hAnsi="Times New Roman" w:cs="Times New Roman"/>
          <w:noProof/>
          <w:sz w:val="24"/>
          <w:szCs w:val="24"/>
          <w:lang w:val="sq-AL"/>
        </w:rPr>
        <w:t>ë</w:t>
      </w:r>
      <w:r w:rsidR="00616080" w:rsidRPr="00641640">
        <w:rPr>
          <w:rFonts w:ascii="Times New Roman" w:hAnsi="Times New Roman" w:cs="Times New Roman"/>
          <w:noProof/>
          <w:sz w:val="24"/>
          <w:szCs w:val="24"/>
          <w:lang w:val="sq-AL"/>
        </w:rPr>
        <w:t xml:space="preserve"> krijuar </w:t>
      </w:r>
      <w:r w:rsidRPr="00641640">
        <w:rPr>
          <w:rFonts w:ascii="Times New Roman" w:hAnsi="Times New Roman" w:cs="Times New Roman"/>
          <w:noProof/>
          <w:sz w:val="24"/>
          <w:szCs w:val="24"/>
          <w:lang w:val="sq-AL"/>
        </w:rPr>
        <w:t>si sistemi kryesor për planifikimin dhe përgatitjen e të gjitha tipologjive të dokumenteve strategjike, si dh</w:t>
      </w:r>
      <w:r w:rsidR="003C474E" w:rsidRPr="00641640">
        <w:rPr>
          <w:rFonts w:ascii="Times New Roman" w:hAnsi="Times New Roman" w:cs="Times New Roman"/>
          <w:noProof/>
          <w:sz w:val="24"/>
          <w:szCs w:val="24"/>
          <w:lang w:val="sq-AL"/>
        </w:rPr>
        <w:t>e për monitorimin e progresit n</w:t>
      </w:r>
      <w:r w:rsidR="00064AC5" w:rsidRPr="00641640">
        <w:rPr>
          <w:rFonts w:ascii="Times New Roman" w:hAnsi="Times New Roman" w:cs="Times New Roman"/>
          <w:noProof/>
          <w:sz w:val="24"/>
          <w:szCs w:val="24"/>
          <w:lang w:val="sq-AL"/>
        </w:rPr>
        <w:t>ë</w:t>
      </w:r>
      <w:r w:rsidR="003C474E" w:rsidRPr="00641640">
        <w:rPr>
          <w:rFonts w:ascii="Times New Roman" w:hAnsi="Times New Roman" w:cs="Times New Roman"/>
          <w:noProof/>
          <w:sz w:val="24"/>
          <w:szCs w:val="24"/>
          <w:lang w:val="sq-AL"/>
        </w:rPr>
        <w:t xml:space="preserve"> zbatimin e tyre, n</w:t>
      </w:r>
      <w:r w:rsidR="00064AC5" w:rsidRPr="00641640">
        <w:rPr>
          <w:rFonts w:ascii="Times New Roman" w:hAnsi="Times New Roman" w:cs="Times New Roman"/>
          <w:noProof/>
          <w:sz w:val="24"/>
          <w:szCs w:val="24"/>
          <w:lang w:val="sq-AL"/>
        </w:rPr>
        <w:t>ë</w:t>
      </w:r>
      <w:r w:rsidR="003C474E" w:rsidRPr="00641640">
        <w:rPr>
          <w:rFonts w:ascii="Times New Roman" w:hAnsi="Times New Roman" w:cs="Times New Roman"/>
          <w:noProof/>
          <w:sz w:val="24"/>
          <w:szCs w:val="24"/>
          <w:lang w:val="sq-AL"/>
        </w:rPr>
        <w:t xml:space="preserve"> p</w:t>
      </w:r>
      <w:r w:rsidR="00064AC5" w:rsidRPr="00641640">
        <w:rPr>
          <w:rFonts w:ascii="Times New Roman" w:hAnsi="Times New Roman" w:cs="Times New Roman"/>
          <w:noProof/>
          <w:sz w:val="24"/>
          <w:szCs w:val="24"/>
          <w:lang w:val="sq-AL"/>
        </w:rPr>
        <w:t>ë</w:t>
      </w:r>
      <w:r w:rsidR="003C474E" w:rsidRPr="00641640">
        <w:rPr>
          <w:rFonts w:ascii="Times New Roman" w:hAnsi="Times New Roman" w:cs="Times New Roman"/>
          <w:noProof/>
          <w:sz w:val="24"/>
          <w:szCs w:val="24"/>
          <w:lang w:val="sq-AL"/>
        </w:rPr>
        <w:t>rputhje me</w:t>
      </w:r>
      <w:r w:rsidRPr="00641640">
        <w:rPr>
          <w:rFonts w:ascii="Times New Roman" w:hAnsi="Times New Roman" w:cs="Times New Roman"/>
          <w:noProof/>
          <w:sz w:val="24"/>
          <w:szCs w:val="24"/>
          <w:lang w:val="sq-AL"/>
        </w:rPr>
        <w:t xml:space="preserve"> </w:t>
      </w:r>
      <w:r w:rsidR="003C474E" w:rsidRPr="00641640">
        <w:rPr>
          <w:rFonts w:ascii="Times New Roman" w:hAnsi="Times New Roman" w:cs="Times New Roman"/>
          <w:noProof/>
          <w:sz w:val="24"/>
          <w:szCs w:val="24"/>
          <w:lang w:val="sq-AL"/>
        </w:rPr>
        <w:t>objektivat</w:t>
      </w:r>
      <w:r w:rsidRPr="00641640">
        <w:rPr>
          <w:rFonts w:ascii="Times New Roman" w:hAnsi="Times New Roman" w:cs="Times New Roman"/>
          <w:noProof/>
          <w:sz w:val="24"/>
          <w:szCs w:val="24"/>
          <w:lang w:val="sq-AL"/>
        </w:rPr>
        <w:t xml:space="preserve"> </w:t>
      </w:r>
      <w:r w:rsidR="003C474E"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 </w:t>
      </w:r>
      <w:r w:rsidR="003C474E" w:rsidRPr="00641640">
        <w:rPr>
          <w:rFonts w:ascii="Times New Roman" w:hAnsi="Times New Roman" w:cs="Times New Roman"/>
          <w:noProof/>
          <w:sz w:val="24"/>
          <w:szCs w:val="24"/>
          <w:lang w:val="sq-AL"/>
        </w:rPr>
        <w:t>synuara.</w:t>
      </w:r>
      <w:r w:rsidRPr="00641640">
        <w:rPr>
          <w:rFonts w:ascii="Times New Roman" w:hAnsi="Times New Roman" w:cs="Times New Roman"/>
          <w:noProof/>
          <w:sz w:val="24"/>
          <w:szCs w:val="24"/>
          <w:lang w:val="sq-AL"/>
        </w:rPr>
        <w:t xml:space="preserve"> </w:t>
      </w:r>
      <w:r w:rsidR="003C474E" w:rsidRPr="00641640">
        <w:rPr>
          <w:rFonts w:ascii="Times New Roman" w:hAnsi="Times New Roman" w:cs="Times New Roman"/>
          <w:noProof/>
          <w:sz w:val="24"/>
          <w:szCs w:val="24"/>
          <w:lang w:val="sq-AL"/>
        </w:rPr>
        <w:t>Ky sistem ka p</w:t>
      </w:r>
      <w:r w:rsidR="00064AC5" w:rsidRPr="00641640">
        <w:rPr>
          <w:rFonts w:ascii="Times New Roman" w:hAnsi="Times New Roman" w:cs="Times New Roman"/>
          <w:noProof/>
          <w:sz w:val="24"/>
          <w:szCs w:val="24"/>
          <w:lang w:val="sq-AL"/>
        </w:rPr>
        <w:t>ë</w:t>
      </w:r>
      <w:r w:rsidR="003C474E" w:rsidRPr="00641640">
        <w:rPr>
          <w:rFonts w:ascii="Times New Roman" w:hAnsi="Times New Roman" w:cs="Times New Roman"/>
          <w:noProof/>
          <w:sz w:val="24"/>
          <w:szCs w:val="24"/>
          <w:lang w:val="sq-AL"/>
        </w:rPr>
        <w:t>r q</w:t>
      </w:r>
      <w:r w:rsidR="00064AC5" w:rsidRPr="00641640">
        <w:rPr>
          <w:rFonts w:ascii="Times New Roman" w:hAnsi="Times New Roman" w:cs="Times New Roman"/>
          <w:noProof/>
          <w:sz w:val="24"/>
          <w:szCs w:val="24"/>
          <w:lang w:val="sq-AL"/>
        </w:rPr>
        <w:t>ë</w:t>
      </w:r>
      <w:r w:rsidR="003C474E" w:rsidRPr="00641640">
        <w:rPr>
          <w:rFonts w:ascii="Times New Roman" w:hAnsi="Times New Roman" w:cs="Times New Roman"/>
          <w:noProof/>
          <w:sz w:val="24"/>
          <w:szCs w:val="24"/>
          <w:lang w:val="sq-AL"/>
        </w:rPr>
        <w:t xml:space="preserve">llim </w:t>
      </w:r>
      <w:r w:rsidRPr="00641640">
        <w:rPr>
          <w:rFonts w:ascii="Times New Roman" w:hAnsi="Times New Roman" w:cs="Times New Roman"/>
          <w:noProof/>
          <w:sz w:val="24"/>
          <w:szCs w:val="24"/>
          <w:lang w:val="sq-AL"/>
        </w:rPr>
        <w:t>t</w:t>
      </w:r>
      <w:r w:rsidR="003C474E" w:rsidRPr="00641640">
        <w:rPr>
          <w:rFonts w:ascii="Times New Roman" w:hAnsi="Times New Roman" w:cs="Times New Roman"/>
          <w:noProof/>
          <w:sz w:val="24"/>
          <w:szCs w:val="24"/>
          <w:lang w:val="sq-AL"/>
        </w:rPr>
        <w:t>ë siguroj</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një kornizë gjithëpërfshirëse monitorimi dhe raportimi</w:t>
      </w:r>
      <w:r w:rsidR="003C474E" w:rsidRPr="00641640">
        <w:rPr>
          <w:rFonts w:ascii="Times New Roman" w:hAnsi="Times New Roman" w:cs="Times New Roman"/>
          <w:noProof/>
          <w:sz w:val="24"/>
          <w:szCs w:val="24"/>
          <w:lang w:val="sq-AL"/>
        </w:rPr>
        <w:t>, ku</w:t>
      </w:r>
      <w:r w:rsidRPr="00641640">
        <w:rPr>
          <w:rFonts w:ascii="Times New Roman" w:hAnsi="Times New Roman" w:cs="Times New Roman"/>
          <w:noProof/>
          <w:sz w:val="24"/>
          <w:szCs w:val="24"/>
          <w:lang w:val="sq-AL"/>
        </w:rPr>
        <w:t xml:space="preserve"> të gjitha politikat dhe proceset kryesore të planifikimit funksionojnë në mënyrë kohe</w:t>
      </w:r>
      <w:r w:rsidR="003C474E" w:rsidRPr="00641640">
        <w:rPr>
          <w:rFonts w:ascii="Times New Roman" w:hAnsi="Times New Roman" w:cs="Times New Roman"/>
          <w:noProof/>
          <w:sz w:val="24"/>
          <w:szCs w:val="24"/>
          <w:lang w:val="sq-AL"/>
        </w:rPr>
        <w:t>rente, efikase dhe të integruar</w:t>
      </w:r>
      <w:r w:rsidRPr="00641640">
        <w:rPr>
          <w:rFonts w:ascii="Times New Roman" w:hAnsi="Times New Roman" w:cs="Times New Roman"/>
          <w:noProof/>
          <w:sz w:val="24"/>
          <w:szCs w:val="24"/>
          <w:lang w:val="sq-AL"/>
        </w:rPr>
        <w:t xml:space="preserve">. </w:t>
      </w:r>
    </w:p>
    <w:p w14:paraId="09901677" w14:textId="392F09B8" w:rsidR="00676A72" w:rsidRPr="00641640" w:rsidRDefault="00676A72"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rmir</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simi i m</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tejsh</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m i platform</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s IPSIS </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sht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nj</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angazhim i vazhduesh</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m i cili do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adresoj</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00944F21" w:rsidRPr="00641640">
        <w:rPr>
          <w:rFonts w:ascii="Times New Roman" w:hAnsi="Times New Roman" w:cs="Times New Roman"/>
          <w:noProof/>
          <w:sz w:val="24"/>
          <w:szCs w:val="24"/>
          <w:lang w:val="sq-AL"/>
        </w:rPr>
        <w:t xml:space="preserve">si sfidat aktuale </w:t>
      </w:r>
      <w:r w:rsidR="003B3F05" w:rsidRPr="00641640">
        <w:rPr>
          <w:rFonts w:ascii="Times New Roman" w:hAnsi="Times New Roman" w:cs="Times New Roman"/>
          <w:noProof/>
          <w:sz w:val="24"/>
          <w:szCs w:val="24"/>
          <w:lang w:val="sq-AL"/>
        </w:rPr>
        <w:t>t</w:t>
      </w:r>
      <w:r w:rsidR="00DA5C1F" w:rsidRPr="00641640">
        <w:rPr>
          <w:rFonts w:ascii="Times New Roman" w:hAnsi="Times New Roman" w:cs="Times New Roman"/>
          <w:noProof/>
          <w:sz w:val="24"/>
          <w:szCs w:val="24"/>
          <w:lang w:val="sq-AL"/>
        </w:rPr>
        <w:t>ë</w:t>
      </w:r>
      <w:r w:rsidR="003B3F05" w:rsidRPr="00641640">
        <w:rPr>
          <w:rFonts w:ascii="Times New Roman" w:hAnsi="Times New Roman" w:cs="Times New Roman"/>
          <w:noProof/>
          <w:sz w:val="24"/>
          <w:szCs w:val="24"/>
          <w:lang w:val="sq-AL"/>
        </w:rPr>
        <w:t xml:space="preserve"> identifikuara p</w:t>
      </w:r>
      <w:r w:rsidR="00DA5C1F" w:rsidRPr="00641640">
        <w:rPr>
          <w:rFonts w:ascii="Times New Roman" w:hAnsi="Times New Roman" w:cs="Times New Roman"/>
          <w:noProof/>
          <w:sz w:val="24"/>
          <w:szCs w:val="24"/>
          <w:lang w:val="sq-AL"/>
        </w:rPr>
        <w:t>ë</w:t>
      </w:r>
      <w:r w:rsidR="003B3F05" w:rsidRPr="00641640">
        <w:rPr>
          <w:rFonts w:ascii="Times New Roman" w:hAnsi="Times New Roman" w:cs="Times New Roman"/>
          <w:noProof/>
          <w:sz w:val="24"/>
          <w:szCs w:val="24"/>
          <w:lang w:val="sq-AL"/>
        </w:rPr>
        <w:t>rgjat</w:t>
      </w:r>
      <w:r w:rsidR="00DA5C1F" w:rsidRPr="00641640">
        <w:rPr>
          <w:rFonts w:ascii="Times New Roman" w:hAnsi="Times New Roman" w:cs="Times New Roman"/>
          <w:noProof/>
          <w:sz w:val="24"/>
          <w:szCs w:val="24"/>
          <w:lang w:val="sq-AL"/>
        </w:rPr>
        <w:t>ë</w:t>
      </w:r>
      <w:r w:rsidR="003B3F05" w:rsidRPr="00641640">
        <w:rPr>
          <w:rFonts w:ascii="Times New Roman" w:hAnsi="Times New Roman" w:cs="Times New Roman"/>
          <w:noProof/>
          <w:sz w:val="24"/>
          <w:szCs w:val="24"/>
          <w:lang w:val="sq-AL"/>
        </w:rPr>
        <w:t xml:space="preserve"> viteve </w:t>
      </w:r>
      <w:r w:rsidR="00944F21" w:rsidRPr="00641640">
        <w:rPr>
          <w:rFonts w:ascii="Times New Roman" w:hAnsi="Times New Roman" w:cs="Times New Roman"/>
          <w:noProof/>
          <w:sz w:val="24"/>
          <w:szCs w:val="24"/>
          <w:lang w:val="sq-AL"/>
        </w:rPr>
        <w:t>n</w:t>
      </w:r>
      <w:r w:rsidR="003B5D54" w:rsidRPr="00641640">
        <w:rPr>
          <w:rFonts w:ascii="Times New Roman" w:hAnsi="Times New Roman" w:cs="Times New Roman"/>
          <w:noProof/>
          <w:sz w:val="24"/>
          <w:szCs w:val="24"/>
          <w:lang w:val="sq-AL"/>
        </w:rPr>
        <w:t>ë</w:t>
      </w:r>
      <w:r w:rsidR="00944F21" w:rsidRPr="00641640">
        <w:rPr>
          <w:rFonts w:ascii="Times New Roman" w:hAnsi="Times New Roman" w:cs="Times New Roman"/>
          <w:noProof/>
          <w:sz w:val="24"/>
          <w:szCs w:val="24"/>
          <w:lang w:val="sq-AL"/>
        </w:rPr>
        <w:t xml:space="preserve"> garantimin e funksionalitetit t</w:t>
      </w:r>
      <w:r w:rsidR="003B5D54" w:rsidRPr="00641640">
        <w:rPr>
          <w:rFonts w:ascii="Times New Roman" w:hAnsi="Times New Roman" w:cs="Times New Roman"/>
          <w:noProof/>
          <w:sz w:val="24"/>
          <w:szCs w:val="24"/>
          <w:lang w:val="sq-AL"/>
        </w:rPr>
        <w:t>ë</w:t>
      </w:r>
      <w:r w:rsidR="00944F21" w:rsidRPr="00641640">
        <w:rPr>
          <w:rFonts w:ascii="Times New Roman" w:hAnsi="Times New Roman" w:cs="Times New Roman"/>
          <w:noProof/>
          <w:sz w:val="24"/>
          <w:szCs w:val="24"/>
          <w:lang w:val="sq-AL"/>
        </w:rPr>
        <w:t xml:space="preserve"> plot</w:t>
      </w:r>
      <w:r w:rsidR="003B5D54" w:rsidRPr="00641640">
        <w:rPr>
          <w:rFonts w:ascii="Times New Roman" w:hAnsi="Times New Roman" w:cs="Times New Roman"/>
          <w:noProof/>
          <w:sz w:val="24"/>
          <w:szCs w:val="24"/>
          <w:lang w:val="sq-AL"/>
        </w:rPr>
        <w:t>ë</w:t>
      </w:r>
      <w:r w:rsidR="00944F21" w:rsidRPr="00641640">
        <w:rPr>
          <w:rFonts w:ascii="Times New Roman" w:hAnsi="Times New Roman" w:cs="Times New Roman"/>
          <w:noProof/>
          <w:sz w:val="24"/>
          <w:szCs w:val="24"/>
          <w:lang w:val="sq-AL"/>
        </w:rPr>
        <w:t xml:space="preserve"> t</w:t>
      </w:r>
      <w:r w:rsidR="003B5D54" w:rsidRPr="00641640">
        <w:rPr>
          <w:rFonts w:ascii="Times New Roman" w:hAnsi="Times New Roman" w:cs="Times New Roman"/>
          <w:noProof/>
          <w:sz w:val="24"/>
          <w:szCs w:val="24"/>
          <w:lang w:val="sq-AL"/>
        </w:rPr>
        <w:t>ë</w:t>
      </w:r>
      <w:r w:rsidR="00944F21" w:rsidRPr="00641640">
        <w:rPr>
          <w:rFonts w:ascii="Times New Roman" w:hAnsi="Times New Roman" w:cs="Times New Roman"/>
          <w:noProof/>
          <w:sz w:val="24"/>
          <w:szCs w:val="24"/>
          <w:lang w:val="sq-AL"/>
        </w:rPr>
        <w:t xml:space="preserve"> </w:t>
      </w:r>
      <w:r w:rsidR="00922A5A" w:rsidRPr="00641640">
        <w:rPr>
          <w:rFonts w:ascii="Times New Roman" w:hAnsi="Times New Roman" w:cs="Times New Roman"/>
          <w:noProof/>
          <w:sz w:val="24"/>
          <w:szCs w:val="24"/>
          <w:lang w:val="sq-AL"/>
        </w:rPr>
        <w:t>s</w:t>
      </w:r>
      <w:r w:rsidR="00944F21" w:rsidRPr="00641640">
        <w:rPr>
          <w:rFonts w:ascii="Times New Roman" w:hAnsi="Times New Roman" w:cs="Times New Roman"/>
          <w:noProof/>
          <w:sz w:val="24"/>
          <w:szCs w:val="24"/>
          <w:lang w:val="sq-AL"/>
        </w:rPr>
        <w:t xml:space="preserve">istemit, </w:t>
      </w:r>
      <w:r w:rsidR="00834433" w:rsidRPr="00641640">
        <w:rPr>
          <w:rFonts w:ascii="Times New Roman" w:hAnsi="Times New Roman" w:cs="Times New Roman"/>
          <w:noProof/>
          <w:sz w:val="24"/>
          <w:szCs w:val="24"/>
          <w:lang w:val="sq-AL"/>
        </w:rPr>
        <w:t>ashtu edhe</w:t>
      </w:r>
      <w:r w:rsidR="00811F50" w:rsidRPr="00641640">
        <w:rPr>
          <w:rFonts w:ascii="Times New Roman" w:hAnsi="Times New Roman" w:cs="Times New Roman"/>
          <w:noProof/>
          <w:sz w:val="24"/>
          <w:szCs w:val="24"/>
          <w:lang w:val="sq-AL"/>
        </w:rPr>
        <w:t xml:space="preserve"> duke reflektuar përmirësimet strukturore</w:t>
      </w:r>
      <w:r w:rsidRPr="00641640">
        <w:rPr>
          <w:rFonts w:ascii="Times New Roman" w:hAnsi="Times New Roman" w:cs="Times New Roman"/>
          <w:noProof/>
          <w:sz w:val="24"/>
          <w:szCs w:val="24"/>
          <w:lang w:val="sq-AL"/>
        </w:rPr>
        <w:t xml:space="preserve"> të Grupeve të Menaxhimit të Integruar të Politikave në modulet e IPSIS. </w:t>
      </w:r>
    </w:p>
    <w:p w14:paraId="5E21F424" w14:textId="17C71D6E" w:rsidR="00C64AAF" w:rsidRPr="00641640" w:rsidRDefault="00C64AAF"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Një tjetër zhvillim i rëndësishëm në koordinimin e politikave është hartimi dhe miratimi i Dokumentit të Politikave Prioritare (DPP), i cili ka për qëllim të ofrojë një orientim më të qartë dhe efektiv mbi politikat prioritare. Ky dokument synon të garantoj</w:t>
      </w:r>
      <w:r w:rsidR="006E735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shpërndarjen më efektive të burimeve dhe linjëzimin e vendimmarrjes strategjike.</w:t>
      </w:r>
      <w:r w:rsidRPr="00641640">
        <w:rPr>
          <w:rFonts w:ascii="Times New Roman" w:hAnsi="Times New Roman" w:cs="Times New Roman"/>
          <w:noProof/>
          <w:sz w:val="24"/>
          <w:szCs w:val="24"/>
          <w:vertAlign w:val="superscript"/>
          <w:lang w:val="sq-AL"/>
        </w:rPr>
        <w:footnoteReference w:id="32"/>
      </w:r>
      <w:r w:rsidRPr="00641640">
        <w:rPr>
          <w:rFonts w:ascii="Times New Roman" w:hAnsi="Times New Roman" w:cs="Times New Roman"/>
          <w:noProof/>
          <w:sz w:val="24"/>
          <w:szCs w:val="24"/>
          <w:lang w:val="sq-AL"/>
        </w:rPr>
        <w:t xml:space="preserve"> DPP-ja është një nga komponentët kyç të procesit të planifikimit të integruar, duke garantuar një ndërlidhje më të mirë ndërmjet strategjive kombëtare dhe burimeve financiare të disponueshme. Një element i rendësishëm i DPP-së dhe njëherësh pjesë integrale e procesit të vendimmarrjes, është edhe Lista Unike e Projekteve me Rëndësi Kombëtare (</w:t>
      </w:r>
      <w:r w:rsidRPr="00641640">
        <w:rPr>
          <w:rFonts w:ascii="Times New Roman" w:hAnsi="Times New Roman" w:cs="Times New Roman"/>
          <w:i/>
          <w:noProof/>
          <w:sz w:val="24"/>
          <w:szCs w:val="24"/>
          <w:lang w:val="sq-AL"/>
        </w:rPr>
        <w:t>National Single Pipeline Project)</w:t>
      </w:r>
      <w:r w:rsidRPr="00641640">
        <w:rPr>
          <w:rFonts w:ascii="Times New Roman" w:hAnsi="Times New Roman" w:cs="Times New Roman"/>
          <w:noProof/>
          <w:sz w:val="24"/>
          <w:szCs w:val="24"/>
          <w:lang w:val="sq-AL"/>
        </w:rPr>
        <w:t xml:space="preserve">, e cila përditësohet </w:t>
      </w:r>
      <w:r w:rsidR="00294D7E" w:rsidRPr="00641640">
        <w:rPr>
          <w:rFonts w:ascii="Times New Roman" w:hAnsi="Times New Roman" w:cs="Times New Roman"/>
          <w:noProof/>
          <w:sz w:val="24"/>
          <w:szCs w:val="24"/>
          <w:lang w:val="sq-AL"/>
        </w:rPr>
        <w:t>çdo tre muaj</w:t>
      </w:r>
      <w:r w:rsidRPr="00641640">
        <w:rPr>
          <w:rFonts w:ascii="Times New Roman" w:hAnsi="Times New Roman" w:cs="Times New Roman"/>
          <w:noProof/>
          <w:sz w:val="24"/>
          <w:szCs w:val="24"/>
          <w:lang w:val="sq-AL"/>
        </w:rPr>
        <w:t xml:space="preserve">. Kjo listë ka për qëllim forcimin e procesit të menaxhimit të financave publike, si dhe procedurave që lidhen me propozimin dhe miratimin e projekteve të investimeve publike, të cilat janë klasifikuar si projekte strategjike. Prej miratimit të saj fillestar në vitin 2023, kjo listë është përditësuar për herë të fundit në </w:t>
      </w:r>
      <w:r w:rsidR="00294D7E" w:rsidRPr="00641640">
        <w:rPr>
          <w:rFonts w:ascii="Times New Roman" w:hAnsi="Times New Roman" w:cs="Times New Roman"/>
          <w:noProof/>
          <w:sz w:val="24"/>
          <w:szCs w:val="24"/>
          <w:lang w:val="sq-AL"/>
        </w:rPr>
        <w:t xml:space="preserve">shkurt </w:t>
      </w:r>
      <w:r w:rsidRPr="00641640">
        <w:rPr>
          <w:rFonts w:ascii="Times New Roman" w:hAnsi="Times New Roman" w:cs="Times New Roman"/>
          <w:noProof/>
          <w:sz w:val="24"/>
          <w:szCs w:val="24"/>
          <w:lang w:val="sq-AL"/>
        </w:rPr>
        <w:t>202</w:t>
      </w:r>
      <w:r w:rsidR="00294D7E" w:rsidRPr="00641640">
        <w:rPr>
          <w:rFonts w:ascii="Times New Roman" w:hAnsi="Times New Roman" w:cs="Times New Roman"/>
          <w:noProof/>
          <w:sz w:val="24"/>
          <w:szCs w:val="24"/>
          <w:lang w:val="sq-AL"/>
        </w:rPr>
        <w:t>5</w:t>
      </w:r>
      <w:r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vertAlign w:val="superscript"/>
          <w:lang w:val="sq-AL"/>
        </w:rPr>
        <w:footnoteReference w:id="33"/>
      </w:r>
      <w:r w:rsidRPr="00641640">
        <w:rPr>
          <w:rFonts w:ascii="Times New Roman" w:hAnsi="Times New Roman" w:cs="Times New Roman"/>
          <w:noProof/>
          <w:sz w:val="24"/>
          <w:szCs w:val="24"/>
          <w:lang w:val="sq-AL"/>
        </w:rPr>
        <w:t xml:space="preserve"> </w:t>
      </w:r>
    </w:p>
    <w:p w14:paraId="0C8E8C94" w14:textId="114B44BE" w:rsidR="001B5DC9" w:rsidRPr="00641640" w:rsidRDefault="00BA7636" w:rsidP="003A395D">
      <w:pPr>
        <w:spacing w:line="276" w:lineRule="auto"/>
        <w:jc w:val="both"/>
        <w:rPr>
          <w:rFonts w:ascii="Times New Roman" w:hAnsi="Times New Roman" w:cs="Times New Roman"/>
          <w:noProof/>
          <w:sz w:val="24"/>
          <w:szCs w:val="24"/>
          <w:lang w:val="sq-AL"/>
        </w:rPr>
      </w:pPr>
      <w:r w:rsidRPr="003F3DE2">
        <w:rPr>
          <w:rFonts w:ascii="Times New Roman" w:hAnsi="Times New Roman" w:cs="Times New Roman"/>
          <w:noProof/>
          <w:sz w:val="24"/>
          <w:szCs w:val="24"/>
          <w:lang w:val="sq-AL"/>
        </w:rPr>
        <w:lastRenderedPageBreak/>
        <w:t>N</w:t>
      </w:r>
      <w:r w:rsidR="002B51EC" w:rsidRPr="003F3DE2">
        <w:rPr>
          <w:rFonts w:ascii="Times New Roman" w:hAnsi="Times New Roman" w:cs="Times New Roman"/>
          <w:noProof/>
          <w:sz w:val="24"/>
          <w:szCs w:val="24"/>
          <w:lang w:val="sq-AL"/>
        </w:rPr>
        <w:t>gjash</w:t>
      </w:r>
      <w:r w:rsidR="00064AC5" w:rsidRPr="003F3DE2">
        <w:rPr>
          <w:rFonts w:ascii="Times New Roman" w:hAnsi="Times New Roman" w:cs="Times New Roman"/>
          <w:noProof/>
          <w:sz w:val="24"/>
          <w:szCs w:val="24"/>
          <w:lang w:val="sq-AL"/>
        </w:rPr>
        <w:t>ë</w:t>
      </w:r>
      <w:r w:rsidR="002B51EC" w:rsidRPr="003F3DE2">
        <w:rPr>
          <w:rFonts w:ascii="Times New Roman" w:hAnsi="Times New Roman" w:cs="Times New Roman"/>
          <w:noProof/>
          <w:sz w:val="24"/>
          <w:szCs w:val="24"/>
          <w:lang w:val="sq-AL"/>
        </w:rPr>
        <w:t>m</w:t>
      </w:r>
      <w:r w:rsidRPr="003F3DE2">
        <w:rPr>
          <w:rFonts w:ascii="Times New Roman" w:hAnsi="Times New Roman" w:cs="Times New Roman"/>
          <w:noProof/>
          <w:sz w:val="24"/>
          <w:szCs w:val="24"/>
          <w:lang w:val="sq-AL"/>
        </w:rPr>
        <w:t xml:space="preserve">, sa </w:t>
      </w:r>
      <w:r w:rsidR="002B51EC" w:rsidRPr="003F3DE2">
        <w:rPr>
          <w:rFonts w:ascii="Times New Roman" w:hAnsi="Times New Roman" w:cs="Times New Roman"/>
          <w:noProof/>
          <w:sz w:val="24"/>
          <w:szCs w:val="24"/>
          <w:lang w:val="sq-AL"/>
        </w:rPr>
        <w:t>u</w:t>
      </w:r>
      <w:r w:rsidRPr="003F3DE2">
        <w:rPr>
          <w:rFonts w:ascii="Times New Roman" w:hAnsi="Times New Roman" w:cs="Times New Roman"/>
          <w:noProof/>
          <w:sz w:val="24"/>
          <w:szCs w:val="24"/>
          <w:lang w:val="sq-AL"/>
        </w:rPr>
        <w:t xml:space="preserve"> përket funksioneve të </w:t>
      </w:r>
      <w:r w:rsidR="003D243B" w:rsidRPr="003F3DE2">
        <w:rPr>
          <w:rFonts w:ascii="Times New Roman" w:hAnsi="Times New Roman" w:cs="Times New Roman"/>
          <w:noProof/>
          <w:sz w:val="24"/>
          <w:szCs w:val="24"/>
          <w:lang w:val="sq-AL"/>
        </w:rPr>
        <w:t xml:space="preserve">Qendrës së </w:t>
      </w:r>
      <w:r w:rsidR="001B5DC9" w:rsidRPr="003F3DE2">
        <w:rPr>
          <w:rFonts w:ascii="Times New Roman" w:hAnsi="Times New Roman" w:cs="Times New Roman"/>
          <w:noProof/>
          <w:sz w:val="24"/>
          <w:szCs w:val="24"/>
          <w:lang w:val="sq-AL"/>
        </w:rPr>
        <w:t>Qeveris</w:t>
      </w:r>
      <w:r w:rsidR="003D243B" w:rsidRPr="003F3DE2">
        <w:rPr>
          <w:rFonts w:ascii="Times New Roman" w:hAnsi="Times New Roman" w:cs="Times New Roman"/>
          <w:noProof/>
          <w:sz w:val="24"/>
          <w:szCs w:val="24"/>
          <w:lang w:val="sq-AL"/>
        </w:rPr>
        <w:t>ë</w:t>
      </w:r>
      <w:r w:rsidR="001B5DC9" w:rsidRPr="003F3DE2">
        <w:rPr>
          <w:rFonts w:ascii="Times New Roman" w:hAnsi="Times New Roman" w:cs="Times New Roman"/>
          <w:noProof/>
          <w:sz w:val="24"/>
          <w:szCs w:val="24"/>
          <w:lang w:val="sq-AL"/>
        </w:rPr>
        <w:t xml:space="preserve"> </w:t>
      </w:r>
      <w:r w:rsidRPr="003F3DE2">
        <w:rPr>
          <w:rFonts w:ascii="Times New Roman" w:hAnsi="Times New Roman" w:cs="Times New Roman"/>
          <w:noProof/>
          <w:sz w:val="24"/>
          <w:szCs w:val="24"/>
          <w:lang w:val="sq-AL"/>
        </w:rPr>
        <w:t xml:space="preserve">(CoG), funksionet kritike i janë caktuar </w:t>
      </w:r>
      <w:r w:rsidR="003D243B" w:rsidRPr="003F3DE2">
        <w:rPr>
          <w:rFonts w:ascii="Times New Roman" w:hAnsi="Times New Roman" w:cs="Times New Roman"/>
          <w:noProof/>
          <w:sz w:val="24"/>
          <w:szCs w:val="24"/>
          <w:lang w:val="sq-AL"/>
        </w:rPr>
        <w:t xml:space="preserve">Qendrës së Qeverisë </w:t>
      </w:r>
      <w:r w:rsidR="00E64924" w:rsidRPr="003F3DE2">
        <w:rPr>
          <w:rFonts w:ascii="Times New Roman" w:hAnsi="Times New Roman" w:cs="Times New Roman"/>
          <w:noProof/>
          <w:sz w:val="24"/>
          <w:szCs w:val="24"/>
          <w:lang w:val="sq-AL"/>
        </w:rPr>
        <w:t>përmes</w:t>
      </w:r>
      <w:r w:rsidRPr="003F3DE2">
        <w:rPr>
          <w:rFonts w:ascii="Times New Roman" w:hAnsi="Times New Roman" w:cs="Times New Roman"/>
          <w:noProof/>
          <w:sz w:val="24"/>
          <w:szCs w:val="24"/>
          <w:lang w:val="sq-AL"/>
        </w:rPr>
        <w:t xml:space="preserve"> </w:t>
      </w:r>
      <w:r w:rsidR="002D5CC5">
        <w:rPr>
          <w:rFonts w:ascii="Times New Roman" w:hAnsi="Times New Roman" w:cs="Times New Roman"/>
          <w:noProof/>
          <w:sz w:val="24"/>
          <w:szCs w:val="24"/>
          <w:lang w:val="sq-AL"/>
        </w:rPr>
        <w:t>l</w:t>
      </w:r>
      <w:r w:rsidRPr="003F3DE2">
        <w:rPr>
          <w:rFonts w:ascii="Times New Roman" w:hAnsi="Times New Roman" w:cs="Times New Roman"/>
          <w:noProof/>
          <w:sz w:val="24"/>
          <w:szCs w:val="24"/>
          <w:lang w:val="sq-AL"/>
        </w:rPr>
        <w:t>igji</w:t>
      </w:r>
      <w:r w:rsidR="001B5DC9" w:rsidRPr="003F3DE2">
        <w:rPr>
          <w:rFonts w:ascii="Times New Roman" w:hAnsi="Times New Roman" w:cs="Times New Roman"/>
          <w:noProof/>
          <w:sz w:val="24"/>
          <w:szCs w:val="24"/>
          <w:lang w:val="sq-AL"/>
        </w:rPr>
        <w:t>t</w:t>
      </w:r>
      <w:r w:rsidRPr="003F3DE2">
        <w:rPr>
          <w:rFonts w:ascii="Times New Roman" w:hAnsi="Times New Roman" w:cs="Times New Roman"/>
          <w:noProof/>
          <w:sz w:val="24"/>
          <w:szCs w:val="24"/>
          <w:lang w:val="sq-AL"/>
        </w:rPr>
        <w:t xml:space="preserve"> </w:t>
      </w:r>
      <w:r w:rsidR="002D5CC5">
        <w:rPr>
          <w:rFonts w:ascii="Times New Roman" w:hAnsi="Times New Roman" w:cs="Times New Roman"/>
          <w:noProof/>
          <w:sz w:val="24"/>
          <w:szCs w:val="24"/>
          <w:lang w:val="sq-AL"/>
        </w:rPr>
        <w:t>“</w:t>
      </w:r>
      <w:r w:rsidR="002D5CC5" w:rsidRPr="00A24808">
        <w:rPr>
          <w:rFonts w:ascii="Times New Roman" w:hAnsi="Times New Roman" w:cs="Times New Roman"/>
          <w:noProof/>
          <w:sz w:val="24"/>
          <w:szCs w:val="24"/>
          <w:lang w:val="sq-AL"/>
        </w:rPr>
        <w:t>P</w:t>
      </w:r>
      <w:r w:rsidRPr="00A24808">
        <w:rPr>
          <w:rFonts w:ascii="Times New Roman" w:hAnsi="Times New Roman" w:cs="Times New Roman"/>
          <w:noProof/>
          <w:sz w:val="24"/>
          <w:szCs w:val="24"/>
          <w:lang w:val="sq-AL"/>
        </w:rPr>
        <w:t xml:space="preserve">ër </w:t>
      </w:r>
      <w:r w:rsidR="002D5CC5" w:rsidRPr="00A24808">
        <w:rPr>
          <w:rFonts w:ascii="Times New Roman" w:hAnsi="Times New Roman" w:cs="Times New Roman"/>
          <w:noProof/>
          <w:sz w:val="24"/>
          <w:szCs w:val="24"/>
          <w:lang w:val="sq-AL"/>
        </w:rPr>
        <w:t>o</w:t>
      </w:r>
      <w:r w:rsidRPr="00A24808">
        <w:rPr>
          <w:rFonts w:ascii="Times New Roman" w:hAnsi="Times New Roman" w:cs="Times New Roman"/>
          <w:noProof/>
          <w:sz w:val="24"/>
          <w:szCs w:val="24"/>
          <w:lang w:val="sq-AL"/>
        </w:rPr>
        <w:t>rganiz</w:t>
      </w:r>
      <w:r w:rsidR="001B5DC9" w:rsidRPr="00A24808">
        <w:rPr>
          <w:rFonts w:ascii="Times New Roman" w:hAnsi="Times New Roman" w:cs="Times New Roman"/>
          <w:noProof/>
          <w:sz w:val="24"/>
          <w:szCs w:val="24"/>
          <w:lang w:val="sq-AL"/>
        </w:rPr>
        <w:t xml:space="preserve">imin dhe </w:t>
      </w:r>
      <w:r w:rsidR="002D5CC5" w:rsidRPr="00A24808">
        <w:rPr>
          <w:rFonts w:ascii="Times New Roman" w:hAnsi="Times New Roman" w:cs="Times New Roman"/>
          <w:noProof/>
          <w:sz w:val="24"/>
          <w:szCs w:val="24"/>
          <w:lang w:val="sq-AL"/>
        </w:rPr>
        <w:t>f</w:t>
      </w:r>
      <w:r w:rsidR="001B5DC9" w:rsidRPr="00A24808">
        <w:rPr>
          <w:rFonts w:ascii="Times New Roman" w:hAnsi="Times New Roman" w:cs="Times New Roman"/>
          <w:noProof/>
          <w:sz w:val="24"/>
          <w:szCs w:val="24"/>
          <w:lang w:val="sq-AL"/>
        </w:rPr>
        <w:t>unksionimin e</w:t>
      </w:r>
      <w:r w:rsidRPr="00A24808">
        <w:rPr>
          <w:rFonts w:ascii="Times New Roman" w:hAnsi="Times New Roman" w:cs="Times New Roman"/>
          <w:noProof/>
          <w:sz w:val="24"/>
          <w:szCs w:val="24"/>
          <w:lang w:val="sq-AL"/>
        </w:rPr>
        <w:t xml:space="preserve"> Këshilli</w:t>
      </w:r>
      <w:r w:rsidR="001B5DC9" w:rsidRPr="00A24808">
        <w:rPr>
          <w:rFonts w:ascii="Times New Roman" w:hAnsi="Times New Roman" w:cs="Times New Roman"/>
          <w:noProof/>
          <w:sz w:val="24"/>
          <w:szCs w:val="24"/>
          <w:lang w:val="sq-AL"/>
        </w:rPr>
        <w:t>t të</w:t>
      </w:r>
      <w:r w:rsidRPr="00A24808">
        <w:rPr>
          <w:rFonts w:ascii="Times New Roman" w:hAnsi="Times New Roman" w:cs="Times New Roman"/>
          <w:noProof/>
          <w:sz w:val="24"/>
          <w:szCs w:val="24"/>
          <w:lang w:val="sq-AL"/>
        </w:rPr>
        <w:t xml:space="preserve"> Ministrave</w:t>
      </w:r>
      <w:r w:rsidR="002D5CC5">
        <w:rPr>
          <w:rFonts w:ascii="Times New Roman" w:hAnsi="Times New Roman" w:cs="Times New Roman"/>
          <w:noProof/>
          <w:sz w:val="24"/>
          <w:szCs w:val="24"/>
          <w:lang w:val="sq-AL"/>
        </w:rPr>
        <w:t>”</w:t>
      </w:r>
      <w:r w:rsidR="0051773F" w:rsidRPr="003F3DE2">
        <w:rPr>
          <w:rStyle w:val="FootnoteReference"/>
          <w:rFonts w:ascii="Times New Roman" w:hAnsi="Times New Roman" w:cs="Times New Roman"/>
          <w:noProof/>
          <w:sz w:val="24"/>
          <w:szCs w:val="24"/>
          <w:lang w:val="sq-AL"/>
        </w:rPr>
        <w:footnoteReference w:id="34"/>
      </w:r>
      <w:r w:rsidRPr="003F3DE2">
        <w:rPr>
          <w:rFonts w:ascii="Times New Roman" w:hAnsi="Times New Roman" w:cs="Times New Roman"/>
          <w:noProof/>
          <w:sz w:val="24"/>
          <w:szCs w:val="24"/>
          <w:lang w:val="sq-AL"/>
        </w:rPr>
        <w:t xml:space="preserve"> dhe Rregullore</w:t>
      </w:r>
      <w:r w:rsidR="006603E6" w:rsidRPr="003F3DE2">
        <w:rPr>
          <w:rFonts w:ascii="Times New Roman" w:hAnsi="Times New Roman" w:cs="Times New Roman"/>
          <w:noProof/>
          <w:sz w:val="24"/>
          <w:szCs w:val="24"/>
          <w:lang w:val="sq-AL"/>
        </w:rPr>
        <w:t>s</w:t>
      </w:r>
      <w:r w:rsidRPr="003F3DE2">
        <w:rPr>
          <w:rFonts w:ascii="Times New Roman" w:hAnsi="Times New Roman" w:cs="Times New Roman"/>
          <w:noProof/>
          <w:sz w:val="24"/>
          <w:szCs w:val="24"/>
          <w:lang w:val="sq-AL"/>
        </w:rPr>
        <w:t xml:space="preserve"> </w:t>
      </w:r>
      <w:r w:rsidR="006603E6" w:rsidRPr="003F3DE2">
        <w:rPr>
          <w:rFonts w:ascii="Times New Roman" w:hAnsi="Times New Roman" w:cs="Times New Roman"/>
          <w:noProof/>
          <w:sz w:val="24"/>
          <w:szCs w:val="24"/>
          <w:lang w:val="sq-AL"/>
        </w:rPr>
        <w:t>së</w:t>
      </w:r>
      <w:r w:rsidRPr="003F3DE2">
        <w:rPr>
          <w:rFonts w:ascii="Times New Roman" w:hAnsi="Times New Roman" w:cs="Times New Roman"/>
          <w:noProof/>
          <w:sz w:val="24"/>
          <w:szCs w:val="24"/>
          <w:lang w:val="sq-AL"/>
        </w:rPr>
        <w:t xml:space="preserve"> K</w:t>
      </w:r>
      <w:r w:rsidR="00064AC5" w:rsidRPr="003F3DE2">
        <w:rPr>
          <w:rFonts w:ascii="Times New Roman" w:hAnsi="Times New Roman" w:cs="Times New Roman"/>
          <w:noProof/>
          <w:sz w:val="24"/>
          <w:szCs w:val="24"/>
          <w:lang w:val="sq-AL"/>
        </w:rPr>
        <w:t>ë</w:t>
      </w:r>
      <w:r w:rsidR="002B51EC" w:rsidRPr="003F3DE2">
        <w:rPr>
          <w:rFonts w:ascii="Times New Roman" w:hAnsi="Times New Roman" w:cs="Times New Roman"/>
          <w:noProof/>
          <w:sz w:val="24"/>
          <w:szCs w:val="24"/>
          <w:lang w:val="sq-AL"/>
        </w:rPr>
        <w:t>shillit t</w:t>
      </w:r>
      <w:r w:rsidR="00064AC5" w:rsidRPr="003F3DE2">
        <w:rPr>
          <w:rFonts w:ascii="Times New Roman" w:hAnsi="Times New Roman" w:cs="Times New Roman"/>
          <w:noProof/>
          <w:sz w:val="24"/>
          <w:szCs w:val="24"/>
          <w:lang w:val="sq-AL"/>
        </w:rPr>
        <w:t>ë</w:t>
      </w:r>
      <w:r w:rsidR="002B51EC" w:rsidRPr="003F3DE2">
        <w:rPr>
          <w:rFonts w:ascii="Times New Roman" w:hAnsi="Times New Roman" w:cs="Times New Roman"/>
          <w:noProof/>
          <w:sz w:val="24"/>
          <w:szCs w:val="24"/>
          <w:lang w:val="sq-AL"/>
        </w:rPr>
        <w:t xml:space="preserve"> Ministrave.</w:t>
      </w:r>
      <w:r w:rsidR="0051773F" w:rsidRPr="003F3DE2">
        <w:rPr>
          <w:rStyle w:val="FootnoteReference"/>
          <w:rFonts w:ascii="Times New Roman" w:hAnsi="Times New Roman" w:cs="Times New Roman"/>
          <w:noProof/>
          <w:sz w:val="24"/>
          <w:szCs w:val="24"/>
          <w:lang w:val="sq-AL"/>
        </w:rPr>
        <w:footnoteReference w:id="35"/>
      </w:r>
      <w:r w:rsidRPr="003F3DE2">
        <w:rPr>
          <w:rFonts w:ascii="Times New Roman" w:hAnsi="Times New Roman" w:cs="Times New Roman"/>
          <w:noProof/>
          <w:sz w:val="24"/>
          <w:szCs w:val="24"/>
          <w:lang w:val="sq-AL"/>
        </w:rPr>
        <w:t xml:space="preserve"> </w:t>
      </w:r>
      <w:r w:rsidR="002B51EC" w:rsidRPr="006C694E">
        <w:rPr>
          <w:rFonts w:ascii="Times New Roman" w:hAnsi="Times New Roman" w:cs="Times New Roman"/>
          <w:noProof/>
          <w:sz w:val="24"/>
          <w:szCs w:val="24"/>
          <w:lang w:val="sq-AL"/>
        </w:rPr>
        <w:t>Krahas tyre, nj</w:t>
      </w:r>
      <w:r w:rsidR="00064AC5"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 xml:space="preserve"> seri </w:t>
      </w:r>
      <w:r w:rsidR="003770DA" w:rsidRPr="006C694E">
        <w:rPr>
          <w:rFonts w:ascii="Times New Roman" w:hAnsi="Times New Roman" w:cs="Times New Roman"/>
          <w:noProof/>
          <w:sz w:val="24"/>
          <w:szCs w:val="24"/>
          <w:lang w:val="sq-AL"/>
        </w:rPr>
        <w:t>u</w:t>
      </w:r>
      <w:r w:rsidRPr="006C694E">
        <w:rPr>
          <w:rFonts w:ascii="Times New Roman" w:hAnsi="Times New Roman" w:cs="Times New Roman"/>
          <w:noProof/>
          <w:sz w:val="24"/>
          <w:szCs w:val="24"/>
          <w:lang w:val="sq-AL"/>
        </w:rPr>
        <w:t>dhëzime</w:t>
      </w:r>
      <w:r w:rsidR="002B51EC" w:rsidRPr="006C694E">
        <w:rPr>
          <w:rFonts w:ascii="Times New Roman" w:hAnsi="Times New Roman" w:cs="Times New Roman"/>
          <w:noProof/>
          <w:sz w:val="24"/>
          <w:szCs w:val="24"/>
          <w:lang w:val="sq-AL"/>
        </w:rPr>
        <w:t>sh</w:t>
      </w:r>
      <w:r w:rsidRPr="006C694E">
        <w:rPr>
          <w:rFonts w:ascii="Times New Roman" w:hAnsi="Times New Roman" w:cs="Times New Roman"/>
          <w:noProof/>
          <w:sz w:val="24"/>
          <w:szCs w:val="24"/>
          <w:lang w:val="sq-AL"/>
        </w:rPr>
        <w:t xml:space="preserve"> </w:t>
      </w:r>
      <w:r w:rsidR="002B51EC" w:rsidRPr="006C694E">
        <w:rPr>
          <w:rFonts w:ascii="Times New Roman" w:hAnsi="Times New Roman" w:cs="Times New Roman"/>
          <w:noProof/>
          <w:sz w:val="24"/>
          <w:szCs w:val="24"/>
          <w:lang w:val="sq-AL"/>
        </w:rPr>
        <w:t>jan</w:t>
      </w:r>
      <w:r w:rsidR="00064AC5"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 xml:space="preserve"> n</w:t>
      </w:r>
      <w:r w:rsidR="00064AC5" w:rsidRPr="006C694E">
        <w:rPr>
          <w:rFonts w:ascii="Times New Roman" w:hAnsi="Times New Roman" w:cs="Times New Roman"/>
          <w:noProof/>
          <w:sz w:val="24"/>
          <w:szCs w:val="24"/>
          <w:lang w:val="sq-AL"/>
        </w:rPr>
        <w:t>ë</w:t>
      </w:r>
      <w:r w:rsidR="002B51EC" w:rsidRPr="006C694E">
        <w:rPr>
          <w:rFonts w:ascii="Times New Roman" w:hAnsi="Times New Roman" w:cs="Times New Roman"/>
          <w:noProof/>
          <w:sz w:val="24"/>
          <w:szCs w:val="24"/>
          <w:lang w:val="sq-AL"/>
        </w:rPr>
        <w:t xml:space="preserve"> dispozicion </w:t>
      </w:r>
      <w:r w:rsidRPr="006C694E">
        <w:rPr>
          <w:rFonts w:ascii="Times New Roman" w:hAnsi="Times New Roman" w:cs="Times New Roman"/>
          <w:noProof/>
          <w:sz w:val="24"/>
          <w:szCs w:val="24"/>
          <w:lang w:val="sq-AL"/>
        </w:rPr>
        <w:t xml:space="preserve">për </w:t>
      </w:r>
      <w:r w:rsidR="003770DA" w:rsidRPr="006C694E">
        <w:rPr>
          <w:rFonts w:ascii="Times New Roman" w:hAnsi="Times New Roman" w:cs="Times New Roman"/>
          <w:noProof/>
          <w:sz w:val="24"/>
          <w:szCs w:val="24"/>
          <w:lang w:val="sq-AL"/>
        </w:rPr>
        <w:t>m</w:t>
      </w:r>
      <w:r w:rsidRPr="006C694E">
        <w:rPr>
          <w:rFonts w:ascii="Times New Roman" w:hAnsi="Times New Roman" w:cs="Times New Roman"/>
          <w:noProof/>
          <w:sz w:val="24"/>
          <w:szCs w:val="24"/>
          <w:lang w:val="sq-AL"/>
        </w:rPr>
        <w:t>inistritë dhe organet e tjera qeveritare për t</w:t>
      </w:r>
      <w:r w:rsidR="003770DA" w:rsidRPr="006C694E">
        <w:rPr>
          <w:rFonts w:ascii="Times New Roman" w:hAnsi="Times New Roman" w:cs="Times New Roman"/>
          <w:noProof/>
          <w:sz w:val="24"/>
          <w:szCs w:val="24"/>
          <w:lang w:val="sq-AL"/>
        </w:rPr>
        <w:t>’</w:t>
      </w:r>
      <w:r w:rsidRPr="006C694E">
        <w:rPr>
          <w:rFonts w:ascii="Times New Roman" w:hAnsi="Times New Roman" w:cs="Times New Roman"/>
          <w:noProof/>
          <w:sz w:val="24"/>
          <w:szCs w:val="24"/>
          <w:lang w:val="sq-AL"/>
        </w:rPr>
        <w:t>i mbështetur ato në hartimin e</w:t>
      </w:r>
      <w:r w:rsidR="001B5DC9" w:rsidRPr="006C694E">
        <w:rPr>
          <w:rFonts w:ascii="Times New Roman" w:hAnsi="Times New Roman" w:cs="Times New Roman"/>
          <w:noProof/>
          <w:sz w:val="24"/>
          <w:szCs w:val="24"/>
          <w:lang w:val="sq-AL"/>
        </w:rPr>
        <w:t xml:space="preserve"> </w:t>
      </w:r>
      <w:r w:rsidRPr="006C694E">
        <w:rPr>
          <w:rFonts w:ascii="Times New Roman" w:hAnsi="Times New Roman" w:cs="Times New Roman"/>
          <w:noProof/>
          <w:sz w:val="24"/>
          <w:szCs w:val="24"/>
          <w:lang w:val="sq-AL"/>
        </w:rPr>
        <w:t xml:space="preserve">legjislacionit, </w:t>
      </w:r>
      <w:r w:rsidRPr="00641640">
        <w:rPr>
          <w:rFonts w:ascii="Times New Roman" w:hAnsi="Times New Roman" w:cs="Times New Roman"/>
          <w:noProof/>
          <w:sz w:val="24"/>
          <w:szCs w:val="24"/>
          <w:lang w:val="sq-AL"/>
        </w:rPr>
        <w:t xml:space="preserve">zhvillimin e </w:t>
      </w:r>
      <w:r w:rsidR="003770DA" w:rsidRPr="00641640">
        <w:rPr>
          <w:rFonts w:ascii="Times New Roman" w:hAnsi="Times New Roman" w:cs="Times New Roman"/>
          <w:noProof/>
          <w:sz w:val="24"/>
          <w:szCs w:val="24"/>
          <w:lang w:val="sq-AL"/>
        </w:rPr>
        <w:t>p</w:t>
      </w:r>
      <w:r w:rsidR="005B51AA" w:rsidRPr="00641640">
        <w:rPr>
          <w:rFonts w:ascii="Times New Roman" w:hAnsi="Times New Roman" w:cs="Times New Roman"/>
          <w:noProof/>
          <w:sz w:val="24"/>
          <w:szCs w:val="24"/>
          <w:lang w:val="sq-AL"/>
        </w:rPr>
        <w:t>lanit t</w:t>
      </w:r>
      <w:r w:rsidR="00064AC5" w:rsidRPr="00641640">
        <w:rPr>
          <w:rFonts w:ascii="Times New Roman" w:hAnsi="Times New Roman" w:cs="Times New Roman"/>
          <w:noProof/>
          <w:sz w:val="24"/>
          <w:szCs w:val="24"/>
          <w:lang w:val="sq-AL"/>
        </w:rPr>
        <w:t>ë</w:t>
      </w:r>
      <w:r w:rsidR="005B51AA" w:rsidRPr="00641640">
        <w:rPr>
          <w:rFonts w:ascii="Times New Roman" w:hAnsi="Times New Roman" w:cs="Times New Roman"/>
          <w:noProof/>
          <w:sz w:val="24"/>
          <w:szCs w:val="24"/>
          <w:lang w:val="sq-AL"/>
        </w:rPr>
        <w:t xml:space="preserve"> </w:t>
      </w:r>
      <w:r w:rsidR="003770DA" w:rsidRPr="00641640">
        <w:rPr>
          <w:rFonts w:ascii="Times New Roman" w:hAnsi="Times New Roman" w:cs="Times New Roman"/>
          <w:noProof/>
          <w:sz w:val="24"/>
          <w:szCs w:val="24"/>
          <w:lang w:val="sq-AL"/>
        </w:rPr>
        <w:t>a</w:t>
      </w:r>
      <w:r w:rsidR="005B51AA" w:rsidRPr="00641640">
        <w:rPr>
          <w:rFonts w:ascii="Times New Roman" w:hAnsi="Times New Roman" w:cs="Times New Roman"/>
          <w:noProof/>
          <w:sz w:val="24"/>
          <w:szCs w:val="24"/>
          <w:lang w:val="sq-AL"/>
        </w:rPr>
        <w:t>kteve</w:t>
      </w:r>
      <w:r w:rsidR="00F129F2"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monitorimin e zbatimit të buxhetit të shtetit dhe investimeve publike</w:t>
      </w:r>
      <w:r w:rsidR="00F129F2" w:rsidRPr="00641640">
        <w:rPr>
          <w:rFonts w:ascii="Times New Roman" w:hAnsi="Times New Roman" w:cs="Times New Roman"/>
          <w:noProof/>
          <w:sz w:val="24"/>
          <w:szCs w:val="24"/>
          <w:lang w:val="sq-AL"/>
        </w:rPr>
        <w:t xml:space="preserve">, si dhe në përgatitjen e dokumentave politikë në kuadër të integrimit evropian. </w:t>
      </w:r>
    </w:p>
    <w:p w14:paraId="561587D4" w14:textId="193FC707" w:rsidR="005C2AD2" w:rsidRPr="00641640" w:rsidRDefault="009A3874" w:rsidP="001B5DC9">
      <w:pPr>
        <w:jc w:val="both"/>
        <w:rPr>
          <w:rFonts w:ascii="Times New Roman" w:hAnsi="Times New Roman" w:cs="Times New Roman"/>
          <w:noProof/>
          <w:lang w:val="sq-AL"/>
        </w:rPr>
      </w:pPr>
      <w:r w:rsidRPr="00641640">
        <w:rPr>
          <w:rFonts w:ascii="Times New Roman" w:hAnsi="Times New Roman" w:cs="Times New Roman"/>
          <w:noProof/>
        </w:rPr>
        <w:drawing>
          <wp:inline distT="0" distB="0" distL="0" distR="0" wp14:anchorId="294DEE6D" wp14:editId="64B7420E">
            <wp:extent cx="5942330" cy="2316876"/>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330" cy="2316876"/>
                    </a:xfrm>
                    <a:prstGeom prst="rect">
                      <a:avLst/>
                    </a:prstGeom>
                    <a:noFill/>
                    <a:ln>
                      <a:noFill/>
                    </a:ln>
                  </pic:spPr>
                </pic:pic>
              </a:graphicData>
            </a:graphic>
          </wp:inline>
        </w:drawing>
      </w:r>
    </w:p>
    <w:p w14:paraId="6137D065" w14:textId="372FE0CF" w:rsidR="000200AA" w:rsidRPr="00641640" w:rsidRDefault="00856F26" w:rsidP="00591A91">
      <w:pPr>
        <w:pStyle w:val="Caption"/>
        <w:jc w:val="both"/>
        <w:rPr>
          <w:rFonts w:ascii="Times New Roman" w:hAnsi="Times New Roman" w:cs="Times New Roman"/>
          <w:noProof/>
          <w:sz w:val="20"/>
          <w:szCs w:val="20"/>
          <w:lang w:val="sq-AL"/>
        </w:rPr>
      </w:pPr>
      <w:r w:rsidRPr="00641640">
        <w:rPr>
          <w:rFonts w:ascii="Times New Roman" w:hAnsi="Times New Roman" w:cs="Times New Roman"/>
          <w:noProof/>
          <w:sz w:val="20"/>
          <w:szCs w:val="20"/>
          <w:lang w:val="sq-AL"/>
        </w:rPr>
        <w:t xml:space="preserve">Figura </w:t>
      </w:r>
      <w:r w:rsidR="004139EE" w:rsidRPr="00641640">
        <w:rPr>
          <w:rFonts w:ascii="Times New Roman" w:hAnsi="Times New Roman" w:cs="Times New Roman"/>
          <w:noProof/>
          <w:sz w:val="20"/>
          <w:szCs w:val="20"/>
          <w:lang w:val="sq-AL"/>
        </w:rPr>
        <w:t xml:space="preserve">3. </w:t>
      </w:r>
      <w:r w:rsidR="009A3874" w:rsidRPr="00641640">
        <w:rPr>
          <w:rFonts w:ascii="Times New Roman" w:hAnsi="Times New Roman" w:cs="Times New Roman"/>
          <w:noProof/>
          <w:sz w:val="20"/>
          <w:szCs w:val="20"/>
          <w:lang w:val="sq-AL"/>
        </w:rPr>
        <w:t>Perceptimi i efektivitetit t</w:t>
      </w:r>
      <w:r w:rsidR="00DA5C1F" w:rsidRPr="00641640">
        <w:rPr>
          <w:rFonts w:ascii="Times New Roman" w:hAnsi="Times New Roman" w:cs="Times New Roman"/>
          <w:noProof/>
          <w:sz w:val="20"/>
          <w:szCs w:val="20"/>
          <w:lang w:val="sq-AL"/>
        </w:rPr>
        <w:t>ë</w:t>
      </w:r>
      <w:r w:rsidR="009A3874" w:rsidRPr="00641640">
        <w:rPr>
          <w:rFonts w:ascii="Times New Roman" w:hAnsi="Times New Roman" w:cs="Times New Roman"/>
          <w:noProof/>
          <w:sz w:val="20"/>
          <w:szCs w:val="20"/>
          <w:lang w:val="sq-AL"/>
        </w:rPr>
        <w:t xml:space="preserve"> Qendr</w:t>
      </w:r>
      <w:r w:rsidR="00DA5C1F" w:rsidRPr="00641640">
        <w:rPr>
          <w:rFonts w:ascii="Times New Roman" w:hAnsi="Times New Roman" w:cs="Times New Roman"/>
          <w:noProof/>
          <w:sz w:val="20"/>
          <w:szCs w:val="20"/>
          <w:lang w:val="sq-AL"/>
        </w:rPr>
        <w:t>ë</w:t>
      </w:r>
      <w:r w:rsidR="009A3874" w:rsidRPr="00641640">
        <w:rPr>
          <w:rFonts w:ascii="Times New Roman" w:hAnsi="Times New Roman" w:cs="Times New Roman"/>
          <w:noProof/>
          <w:sz w:val="20"/>
          <w:szCs w:val="20"/>
          <w:lang w:val="sq-AL"/>
        </w:rPr>
        <w:t>s s</w:t>
      </w:r>
      <w:r w:rsidR="00DA5C1F" w:rsidRPr="00641640">
        <w:rPr>
          <w:rFonts w:ascii="Times New Roman" w:hAnsi="Times New Roman" w:cs="Times New Roman"/>
          <w:noProof/>
          <w:sz w:val="20"/>
          <w:szCs w:val="20"/>
          <w:lang w:val="sq-AL"/>
        </w:rPr>
        <w:t>ë</w:t>
      </w:r>
      <w:r w:rsidR="009A3874" w:rsidRPr="00641640">
        <w:rPr>
          <w:rFonts w:ascii="Times New Roman" w:hAnsi="Times New Roman" w:cs="Times New Roman"/>
          <w:noProof/>
          <w:sz w:val="20"/>
          <w:szCs w:val="20"/>
          <w:lang w:val="sq-AL"/>
        </w:rPr>
        <w:t xml:space="preserve"> Qeverisjes (CoG) n</w:t>
      </w:r>
      <w:r w:rsidR="00DA5C1F" w:rsidRPr="00641640">
        <w:rPr>
          <w:rFonts w:ascii="Times New Roman" w:hAnsi="Times New Roman" w:cs="Times New Roman"/>
          <w:noProof/>
          <w:sz w:val="20"/>
          <w:szCs w:val="20"/>
          <w:lang w:val="sq-AL"/>
        </w:rPr>
        <w:t>ë</w:t>
      </w:r>
      <w:r w:rsidR="009A3874" w:rsidRPr="00641640">
        <w:rPr>
          <w:rFonts w:ascii="Times New Roman" w:hAnsi="Times New Roman" w:cs="Times New Roman"/>
          <w:noProof/>
          <w:sz w:val="20"/>
          <w:szCs w:val="20"/>
          <w:lang w:val="sq-AL"/>
        </w:rPr>
        <w:t xml:space="preserve"> koordinimin e politikave sipas n</w:t>
      </w:r>
      <w:r w:rsidR="00DA5C1F" w:rsidRPr="00641640">
        <w:rPr>
          <w:rFonts w:ascii="Times New Roman" w:hAnsi="Times New Roman" w:cs="Times New Roman"/>
          <w:noProof/>
          <w:sz w:val="20"/>
          <w:szCs w:val="20"/>
          <w:lang w:val="sq-AL"/>
        </w:rPr>
        <w:t>ë</w:t>
      </w:r>
      <w:r w:rsidR="009A3874" w:rsidRPr="00641640">
        <w:rPr>
          <w:rFonts w:ascii="Times New Roman" w:hAnsi="Times New Roman" w:cs="Times New Roman"/>
          <w:noProof/>
          <w:sz w:val="20"/>
          <w:szCs w:val="20"/>
          <w:lang w:val="sq-AL"/>
        </w:rPr>
        <w:t>pun</w:t>
      </w:r>
      <w:r w:rsidR="00DA5C1F" w:rsidRPr="00641640">
        <w:rPr>
          <w:rFonts w:ascii="Times New Roman" w:hAnsi="Times New Roman" w:cs="Times New Roman"/>
          <w:noProof/>
          <w:sz w:val="20"/>
          <w:szCs w:val="20"/>
          <w:lang w:val="sq-AL"/>
        </w:rPr>
        <w:t>ë</w:t>
      </w:r>
      <w:r w:rsidR="009A3874" w:rsidRPr="00641640">
        <w:rPr>
          <w:rFonts w:ascii="Times New Roman" w:hAnsi="Times New Roman" w:cs="Times New Roman"/>
          <w:noProof/>
          <w:sz w:val="20"/>
          <w:szCs w:val="20"/>
          <w:lang w:val="sq-AL"/>
        </w:rPr>
        <w:t>sve civil</w:t>
      </w:r>
      <w:r w:rsidR="00DA5C1F" w:rsidRPr="00641640">
        <w:rPr>
          <w:rFonts w:ascii="Times New Roman" w:hAnsi="Times New Roman" w:cs="Times New Roman"/>
          <w:noProof/>
          <w:sz w:val="20"/>
          <w:szCs w:val="20"/>
          <w:lang w:val="sq-AL"/>
        </w:rPr>
        <w:t>ë</w:t>
      </w:r>
      <w:r w:rsidR="009A3874" w:rsidRPr="00641640">
        <w:rPr>
          <w:rFonts w:ascii="Times New Roman" w:hAnsi="Times New Roman" w:cs="Times New Roman"/>
          <w:noProof/>
          <w:sz w:val="20"/>
          <w:szCs w:val="20"/>
          <w:lang w:val="sq-AL"/>
        </w:rPr>
        <w:t xml:space="preserve"> n</w:t>
      </w:r>
      <w:r w:rsidR="00DA5C1F" w:rsidRPr="00641640">
        <w:rPr>
          <w:rFonts w:ascii="Times New Roman" w:hAnsi="Times New Roman" w:cs="Times New Roman"/>
          <w:noProof/>
          <w:sz w:val="20"/>
          <w:szCs w:val="20"/>
          <w:lang w:val="sq-AL"/>
        </w:rPr>
        <w:t>ë</w:t>
      </w:r>
      <w:r w:rsidR="009A3874" w:rsidRPr="00641640">
        <w:rPr>
          <w:rFonts w:ascii="Times New Roman" w:hAnsi="Times New Roman" w:cs="Times New Roman"/>
          <w:noProof/>
          <w:sz w:val="20"/>
          <w:szCs w:val="20"/>
          <w:lang w:val="sq-AL"/>
        </w:rPr>
        <w:t xml:space="preserve"> Shqip</w:t>
      </w:r>
      <w:r w:rsidR="00DA5C1F" w:rsidRPr="00641640">
        <w:rPr>
          <w:rFonts w:ascii="Times New Roman" w:hAnsi="Times New Roman" w:cs="Times New Roman"/>
          <w:noProof/>
          <w:sz w:val="20"/>
          <w:szCs w:val="20"/>
          <w:lang w:val="sq-AL"/>
        </w:rPr>
        <w:t>ë</w:t>
      </w:r>
      <w:r w:rsidR="009A3874" w:rsidRPr="00641640">
        <w:rPr>
          <w:rFonts w:ascii="Times New Roman" w:hAnsi="Times New Roman" w:cs="Times New Roman"/>
          <w:noProof/>
          <w:sz w:val="20"/>
          <w:szCs w:val="20"/>
          <w:lang w:val="sq-AL"/>
        </w:rPr>
        <w:t>ri krahasuar me rajonin e Ballkanit Per</w:t>
      </w:r>
      <w:r w:rsidR="00DA5C1F" w:rsidRPr="00641640">
        <w:rPr>
          <w:rFonts w:ascii="Times New Roman" w:hAnsi="Times New Roman" w:cs="Times New Roman"/>
          <w:noProof/>
          <w:sz w:val="20"/>
          <w:szCs w:val="20"/>
          <w:lang w:val="sq-AL"/>
        </w:rPr>
        <w:t>ë</w:t>
      </w:r>
      <w:r w:rsidR="009A3874" w:rsidRPr="00641640">
        <w:rPr>
          <w:rFonts w:ascii="Times New Roman" w:hAnsi="Times New Roman" w:cs="Times New Roman"/>
          <w:noProof/>
          <w:sz w:val="20"/>
          <w:szCs w:val="20"/>
          <w:lang w:val="sq-AL"/>
        </w:rPr>
        <w:t>ndimor (SIGMA 2024)</w:t>
      </w:r>
    </w:p>
    <w:p w14:paraId="4979BB08" w14:textId="77777777" w:rsidR="00591A91" w:rsidRPr="00641640" w:rsidRDefault="00591A91" w:rsidP="00591A91">
      <w:pPr>
        <w:spacing w:after="0"/>
        <w:jc w:val="both"/>
        <w:rPr>
          <w:rFonts w:ascii="Times New Roman" w:hAnsi="Times New Roman" w:cs="Times New Roman"/>
          <w:noProof/>
          <w:sz w:val="24"/>
          <w:szCs w:val="24"/>
          <w:lang w:val="sq-AL"/>
        </w:rPr>
      </w:pPr>
    </w:p>
    <w:p w14:paraId="7FDEF3F9" w14:textId="42D03B24" w:rsidR="004F7072" w:rsidRPr="00641640" w:rsidRDefault="005C5049" w:rsidP="003A395D">
      <w:pPr>
        <w:spacing w:line="276" w:lineRule="auto"/>
        <w:jc w:val="both"/>
        <w:rPr>
          <w:rStyle w:val="normaltextrun"/>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Sa i takon politik</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b</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rjes s</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bazuar n</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dh</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na, si nj</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dimension i r</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nd</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sish</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m i cil</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sis</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planifikimit </w:t>
      </w:r>
      <w:r w:rsidR="00297541" w:rsidRPr="00641640">
        <w:rPr>
          <w:rFonts w:ascii="Times New Roman" w:hAnsi="Times New Roman" w:cs="Times New Roman"/>
          <w:noProof/>
          <w:sz w:val="24"/>
          <w:szCs w:val="24"/>
          <w:lang w:val="sq-AL"/>
        </w:rPr>
        <w:t>dhe koordinimi</w:t>
      </w:r>
      <w:r w:rsidRPr="00641640">
        <w:rPr>
          <w:rFonts w:ascii="Times New Roman" w:hAnsi="Times New Roman" w:cs="Times New Roman"/>
          <w:noProof/>
          <w:sz w:val="24"/>
          <w:szCs w:val="24"/>
          <w:lang w:val="sq-AL"/>
        </w:rPr>
        <w:t>t t</w:t>
      </w:r>
      <w:r w:rsidR="003B5D54" w:rsidRPr="00641640">
        <w:rPr>
          <w:rFonts w:ascii="Times New Roman" w:hAnsi="Times New Roman" w:cs="Times New Roman"/>
          <w:noProof/>
          <w:sz w:val="24"/>
          <w:szCs w:val="24"/>
          <w:lang w:val="sq-AL"/>
        </w:rPr>
        <w:t>ë</w:t>
      </w:r>
      <w:r w:rsidR="00297541" w:rsidRPr="00641640">
        <w:rPr>
          <w:rFonts w:ascii="Times New Roman" w:hAnsi="Times New Roman" w:cs="Times New Roman"/>
          <w:noProof/>
          <w:sz w:val="24"/>
          <w:szCs w:val="24"/>
          <w:lang w:val="sq-AL"/>
        </w:rPr>
        <w:t xml:space="preserve"> politikave</w:t>
      </w:r>
      <w:r w:rsidRPr="00641640">
        <w:rPr>
          <w:rFonts w:ascii="Times New Roman" w:hAnsi="Times New Roman" w:cs="Times New Roman"/>
          <w:noProof/>
          <w:sz w:val="24"/>
          <w:szCs w:val="24"/>
          <w:lang w:val="sq-AL"/>
        </w:rPr>
        <w:t>, Shqip</w:t>
      </w:r>
      <w:r w:rsidR="003B5D54"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ria </w:t>
      </w:r>
      <w:r w:rsidR="00297541" w:rsidRPr="00641640">
        <w:rPr>
          <w:rFonts w:ascii="Times New Roman" w:hAnsi="Times New Roman" w:cs="Times New Roman"/>
          <w:noProof/>
          <w:sz w:val="24"/>
          <w:szCs w:val="24"/>
          <w:lang w:val="sq-AL"/>
        </w:rPr>
        <w:t xml:space="preserve">pozicionohet mjaft mirë </w:t>
      </w:r>
      <w:r w:rsidRPr="00641640">
        <w:rPr>
          <w:rFonts w:ascii="Times New Roman" w:hAnsi="Times New Roman" w:cs="Times New Roman"/>
          <w:noProof/>
          <w:sz w:val="24"/>
          <w:szCs w:val="24"/>
          <w:lang w:val="sq-AL"/>
        </w:rPr>
        <w:t>krahasuar me mesataren rajonale.</w:t>
      </w:r>
      <w:r w:rsidR="00F129F2" w:rsidRPr="00641640">
        <w:rPr>
          <w:rFonts w:ascii="Times New Roman" w:hAnsi="Times New Roman" w:cs="Times New Roman"/>
          <w:noProof/>
          <w:sz w:val="24"/>
          <w:szCs w:val="24"/>
          <w:lang w:val="sq-AL"/>
        </w:rPr>
        <w:t xml:space="preserve"> </w:t>
      </w:r>
      <w:r w:rsidR="003B5D54" w:rsidRPr="00641640">
        <w:rPr>
          <w:rStyle w:val="eop"/>
          <w:rFonts w:ascii="Times New Roman" w:hAnsi="Times New Roman" w:cs="Times New Roman"/>
          <w:noProof/>
          <w:color w:val="000000"/>
          <w:sz w:val="24"/>
          <w:szCs w:val="24"/>
          <w:lang w:val="sq-AL"/>
        </w:rPr>
        <w:t xml:space="preserve">Në vitet e fundit, </w:t>
      </w:r>
      <w:r w:rsidR="003B5D54" w:rsidRPr="00641640">
        <w:rPr>
          <w:rStyle w:val="normaltextrun"/>
          <w:rFonts w:ascii="Times New Roman" w:hAnsi="Times New Roman" w:cs="Times New Roman"/>
          <w:noProof/>
          <w:sz w:val="24"/>
          <w:szCs w:val="24"/>
          <w:lang w:val="sq-AL"/>
        </w:rPr>
        <w:t>z</w:t>
      </w:r>
      <w:r w:rsidR="001C56AC" w:rsidRPr="00641640">
        <w:rPr>
          <w:rStyle w:val="normaltextrun"/>
          <w:rFonts w:ascii="Times New Roman" w:hAnsi="Times New Roman" w:cs="Times New Roman"/>
          <w:noProof/>
          <w:sz w:val="24"/>
          <w:szCs w:val="24"/>
          <w:lang w:val="sq-AL"/>
        </w:rPr>
        <w:t xml:space="preserve">batimi i </w:t>
      </w:r>
      <w:r w:rsidRPr="00641640">
        <w:rPr>
          <w:rStyle w:val="normaltextrun"/>
          <w:rFonts w:ascii="Times New Roman" w:hAnsi="Times New Roman" w:cs="Times New Roman"/>
          <w:noProof/>
          <w:sz w:val="24"/>
          <w:szCs w:val="24"/>
          <w:lang w:val="sq-AL"/>
        </w:rPr>
        <w:t xml:space="preserve">kuadrit rregullator </w:t>
      </w:r>
      <w:r w:rsidR="001C56AC" w:rsidRPr="00641640">
        <w:rPr>
          <w:rStyle w:val="normaltextrun"/>
          <w:rFonts w:ascii="Times New Roman" w:hAnsi="Times New Roman" w:cs="Times New Roman"/>
          <w:noProof/>
          <w:sz w:val="24"/>
          <w:szCs w:val="24"/>
          <w:lang w:val="sq-AL"/>
        </w:rPr>
        <w:t xml:space="preserve">të </w:t>
      </w:r>
      <w:r w:rsidRPr="00641640">
        <w:rPr>
          <w:rStyle w:val="normaltextrun"/>
          <w:rFonts w:ascii="Times New Roman" w:hAnsi="Times New Roman" w:cs="Times New Roman"/>
          <w:noProof/>
          <w:sz w:val="24"/>
          <w:szCs w:val="24"/>
          <w:lang w:val="sq-AL"/>
        </w:rPr>
        <w:t>V</w:t>
      </w:r>
      <w:r w:rsidR="001C56AC" w:rsidRPr="00641640">
        <w:rPr>
          <w:rStyle w:val="normaltextrun"/>
          <w:rFonts w:ascii="Times New Roman" w:hAnsi="Times New Roman" w:cs="Times New Roman"/>
          <w:noProof/>
          <w:sz w:val="24"/>
          <w:szCs w:val="24"/>
          <w:lang w:val="sq-AL"/>
        </w:rPr>
        <w:t xml:space="preserve">lerësimit të </w:t>
      </w:r>
      <w:r w:rsidRPr="00641640">
        <w:rPr>
          <w:rStyle w:val="normaltextrun"/>
          <w:rFonts w:ascii="Times New Roman" w:hAnsi="Times New Roman" w:cs="Times New Roman"/>
          <w:noProof/>
          <w:sz w:val="24"/>
          <w:szCs w:val="24"/>
          <w:lang w:val="sq-AL"/>
        </w:rPr>
        <w:t>N</w:t>
      </w:r>
      <w:r w:rsidR="001C56AC" w:rsidRPr="00641640">
        <w:rPr>
          <w:rStyle w:val="normaltextrun"/>
          <w:rFonts w:ascii="Times New Roman" w:hAnsi="Times New Roman" w:cs="Times New Roman"/>
          <w:noProof/>
          <w:sz w:val="24"/>
          <w:szCs w:val="24"/>
          <w:lang w:val="sq-AL"/>
        </w:rPr>
        <w:t xml:space="preserve">dikimit </w:t>
      </w:r>
      <w:r w:rsidRPr="00641640">
        <w:rPr>
          <w:rStyle w:val="normaltextrun"/>
          <w:rFonts w:ascii="Times New Roman" w:hAnsi="Times New Roman" w:cs="Times New Roman"/>
          <w:noProof/>
          <w:sz w:val="24"/>
          <w:szCs w:val="24"/>
          <w:lang w:val="sq-AL"/>
        </w:rPr>
        <w:t>R</w:t>
      </w:r>
      <w:r w:rsidR="001C56AC" w:rsidRPr="00641640">
        <w:rPr>
          <w:rStyle w:val="normaltextrun"/>
          <w:rFonts w:ascii="Times New Roman" w:hAnsi="Times New Roman" w:cs="Times New Roman"/>
          <w:noProof/>
          <w:sz w:val="24"/>
          <w:szCs w:val="24"/>
          <w:lang w:val="sq-AL"/>
        </w:rPr>
        <w:t>regullator (VNR/RIA) ka ndikuar në rritjen e cilësisë dhe efektivitetin e hartimit të politikave</w:t>
      </w:r>
      <w:r w:rsidRPr="00641640">
        <w:rPr>
          <w:rStyle w:val="normaltextrun"/>
          <w:rFonts w:ascii="Times New Roman" w:hAnsi="Times New Roman" w:cs="Times New Roman"/>
          <w:noProof/>
          <w:sz w:val="24"/>
          <w:szCs w:val="24"/>
          <w:lang w:val="sq-AL"/>
        </w:rPr>
        <w:t xml:space="preserve"> dhe </w:t>
      </w:r>
      <w:r w:rsidR="001C56AC" w:rsidRPr="00641640">
        <w:rPr>
          <w:rStyle w:val="normaltextrun"/>
          <w:rFonts w:ascii="Times New Roman" w:hAnsi="Times New Roman" w:cs="Times New Roman"/>
          <w:noProof/>
          <w:sz w:val="24"/>
          <w:szCs w:val="24"/>
          <w:lang w:val="sq-AL"/>
        </w:rPr>
        <w:t>legjislacionit në vend</w:t>
      </w:r>
      <w:r w:rsidRPr="00641640">
        <w:rPr>
          <w:rStyle w:val="normaltextrun"/>
          <w:rFonts w:ascii="Times New Roman" w:hAnsi="Times New Roman" w:cs="Times New Roman"/>
          <w:noProof/>
          <w:sz w:val="24"/>
          <w:szCs w:val="24"/>
          <w:lang w:val="sq-AL"/>
        </w:rPr>
        <w:t>,</w:t>
      </w:r>
      <w:r w:rsidR="001C56AC" w:rsidRPr="00641640">
        <w:rPr>
          <w:rStyle w:val="normaltextrun"/>
          <w:rFonts w:ascii="Times New Roman" w:hAnsi="Times New Roman" w:cs="Times New Roman"/>
          <w:noProof/>
          <w:sz w:val="24"/>
          <w:szCs w:val="24"/>
          <w:lang w:val="sq-AL"/>
        </w:rPr>
        <w:t xml:space="preserve"> duke </w:t>
      </w:r>
      <w:r w:rsidRPr="00641640">
        <w:rPr>
          <w:rStyle w:val="normaltextrun"/>
          <w:rFonts w:ascii="Times New Roman" w:hAnsi="Times New Roman" w:cs="Times New Roman"/>
          <w:noProof/>
          <w:sz w:val="24"/>
          <w:szCs w:val="24"/>
          <w:lang w:val="sq-AL"/>
        </w:rPr>
        <w:t>mund</w:t>
      </w:r>
      <w:r w:rsidR="003B5D54" w:rsidRPr="00641640">
        <w:rPr>
          <w:rStyle w:val="normaltextrun"/>
          <w:rFonts w:ascii="Times New Roman" w:hAnsi="Times New Roman" w:cs="Times New Roman"/>
          <w:noProof/>
          <w:sz w:val="24"/>
          <w:szCs w:val="24"/>
          <w:lang w:val="sq-AL"/>
        </w:rPr>
        <w:t>ë</w:t>
      </w:r>
      <w:r w:rsidRPr="00641640">
        <w:rPr>
          <w:rStyle w:val="normaltextrun"/>
          <w:rFonts w:ascii="Times New Roman" w:hAnsi="Times New Roman" w:cs="Times New Roman"/>
          <w:noProof/>
          <w:sz w:val="24"/>
          <w:szCs w:val="24"/>
          <w:lang w:val="sq-AL"/>
        </w:rPr>
        <w:t>suar</w:t>
      </w:r>
      <w:r w:rsidR="001C56AC" w:rsidRPr="00641640">
        <w:rPr>
          <w:rStyle w:val="normaltextrun"/>
          <w:rFonts w:ascii="Times New Roman" w:hAnsi="Times New Roman" w:cs="Times New Roman"/>
          <w:noProof/>
          <w:sz w:val="24"/>
          <w:szCs w:val="24"/>
          <w:lang w:val="sq-AL"/>
        </w:rPr>
        <w:t xml:space="preserve"> që ndërhyrja </w:t>
      </w:r>
      <w:r w:rsidRPr="00641640">
        <w:rPr>
          <w:rStyle w:val="normaltextrun"/>
          <w:rFonts w:ascii="Times New Roman" w:hAnsi="Times New Roman" w:cs="Times New Roman"/>
          <w:noProof/>
          <w:sz w:val="24"/>
          <w:szCs w:val="24"/>
          <w:lang w:val="sq-AL"/>
        </w:rPr>
        <w:t xml:space="preserve">rregullatore </w:t>
      </w:r>
      <w:r w:rsidR="001C56AC" w:rsidRPr="00641640">
        <w:rPr>
          <w:rStyle w:val="normaltextrun"/>
          <w:rFonts w:ascii="Times New Roman" w:hAnsi="Times New Roman" w:cs="Times New Roman"/>
          <w:noProof/>
          <w:sz w:val="24"/>
          <w:szCs w:val="24"/>
          <w:lang w:val="sq-AL"/>
        </w:rPr>
        <w:t xml:space="preserve">e </w:t>
      </w:r>
      <w:r w:rsidRPr="00641640">
        <w:rPr>
          <w:rStyle w:val="normaltextrun"/>
          <w:rFonts w:ascii="Times New Roman" w:hAnsi="Times New Roman" w:cs="Times New Roman"/>
          <w:noProof/>
          <w:sz w:val="24"/>
          <w:szCs w:val="24"/>
          <w:lang w:val="sq-AL"/>
        </w:rPr>
        <w:t>Q</w:t>
      </w:r>
      <w:r w:rsidR="001C56AC" w:rsidRPr="00641640">
        <w:rPr>
          <w:rStyle w:val="normaltextrun"/>
          <w:rFonts w:ascii="Times New Roman" w:hAnsi="Times New Roman" w:cs="Times New Roman"/>
          <w:noProof/>
          <w:sz w:val="24"/>
          <w:szCs w:val="24"/>
          <w:lang w:val="sq-AL"/>
        </w:rPr>
        <w:t xml:space="preserve">everisë të </w:t>
      </w:r>
      <w:r w:rsidR="003B5D54" w:rsidRPr="00641640">
        <w:rPr>
          <w:rStyle w:val="normaltextrun"/>
          <w:rFonts w:ascii="Times New Roman" w:hAnsi="Times New Roman" w:cs="Times New Roman"/>
          <w:noProof/>
          <w:sz w:val="24"/>
          <w:szCs w:val="24"/>
          <w:lang w:val="sq-AL"/>
        </w:rPr>
        <w:t xml:space="preserve">fokusohet </w:t>
      </w:r>
      <w:r w:rsidR="001C56AC" w:rsidRPr="00641640">
        <w:rPr>
          <w:rStyle w:val="normaltextrun"/>
          <w:rFonts w:ascii="Times New Roman" w:hAnsi="Times New Roman" w:cs="Times New Roman"/>
          <w:noProof/>
          <w:sz w:val="24"/>
          <w:szCs w:val="24"/>
          <w:lang w:val="sq-AL"/>
        </w:rPr>
        <w:t>aty ku është e nevojshme</w:t>
      </w:r>
      <w:r w:rsidR="003B5D54" w:rsidRPr="00641640">
        <w:rPr>
          <w:rStyle w:val="normaltextrun"/>
          <w:rFonts w:ascii="Times New Roman" w:hAnsi="Times New Roman" w:cs="Times New Roman"/>
          <w:noProof/>
          <w:sz w:val="24"/>
          <w:szCs w:val="24"/>
          <w:lang w:val="sq-AL"/>
        </w:rPr>
        <w:t>. Ky proces ka mundësuar</w:t>
      </w:r>
      <w:r w:rsidR="001C56AC" w:rsidRPr="00641640">
        <w:rPr>
          <w:rStyle w:val="normaltextrun"/>
          <w:rFonts w:ascii="Times New Roman" w:hAnsi="Times New Roman" w:cs="Times New Roman"/>
          <w:noProof/>
          <w:sz w:val="24"/>
          <w:szCs w:val="24"/>
          <w:lang w:val="sq-AL"/>
        </w:rPr>
        <w:t xml:space="preserve"> rezultate më të mira me një barrë dhe kosto minimale rregullatore e administrative, </w:t>
      </w:r>
      <w:r w:rsidR="003B5D54" w:rsidRPr="00641640">
        <w:rPr>
          <w:rStyle w:val="normaltextrun"/>
          <w:rFonts w:ascii="Times New Roman" w:hAnsi="Times New Roman" w:cs="Times New Roman"/>
          <w:noProof/>
          <w:sz w:val="24"/>
          <w:szCs w:val="24"/>
          <w:lang w:val="sq-AL"/>
        </w:rPr>
        <w:t>përmes</w:t>
      </w:r>
      <w:r w:rsidR="001C56AC" w:rsidRPr="00641640">
        <w:rPr>
          <w:rStyle w:val="normaltextrun"/>
          <w:rFonts w:ascii="Times New Roman" w:hAnsi="Times New Roman" w:cs="Times New Roman"/>
          <w:noProof/>
          <w:sz w:val="24"/>
          <w:szCs w:val="24"/>
          <w:lang w:val="sq-AL"/>
        </w:rPr>
        <w:t xml:space="preserve"> analizave </w:t>
      </w:r>
      <w:r w:rsidR="001C56AC" w:rsidRPr="00641640">
        <w:rPr>
          <w:rStyle w:val="normaltextrun"/>
          <w:rFonts w:ascii="Times New Roman" w:hAnsi="Times New Roman" w:cs="Times New Roman"/>
          <w:i/>
          <w:noProof/>
          <w:sz w:val="24"/>
          <w:szCs w:val="24"/>
          <w:lang w:val="sq-AL"/>
        </w:rPr>
        <w:t>ex-ante</w:t>
      </w:r>
      <w:r w:rsidR="001C56AC" w:rsidRPr="00641640">
        <w:rPr>
          <w:rStyle w:val="normaltextrun"/>
          <w:rFonts w:ascii="Times New Roman" w:hAnsi="Times New Roman" w:cs="Times New Roman"/>
          <w:noProof/>
          <w:sz w:val="24"/>
          <w:szCs w:val="24"/>
          <w:lang w:val="sq-AL"/>
        </w:rPr>
        <w:t xml:space="preserve"> të vlerësimit të projektligjeve</w:t>
      </w:r>
      <w:r w:rsidR="003B5D54" w:rsidRPr="00641640">
        <w:rPr>
          <w:rStyle w:val="normaltextrun"/>
          <w:rFonts w:ascii="Times New Roman" w:hAnsi="Times New Roman" w:cs="Times New Roman"/>
          <w:noProof/>
          <w:sz w:val="24"/>
          <w:szCs w:val="24"/>
          <w:lang w:val="sq-AL"/>
        </w:rPr>
        <w:t xml:space="preserve"> paraprakisht</w:t>
      </w:r>
      <w:r w:rsidR="001C56AC" w:rsidRPr="00641640">
        <w:rPr>
          <w:rStyle w:val="normaltextrun"/>
          <w:rFonts w:ascii="Times New Roman" w:hAnsi="Times New Roman" w:cs="Times New Roman"/>
          <w:noProof/>
          <w:sz w:val="24"/>
          <w:szCs w:val="24"/>
          <w:lang w:val="sq-AL"/>
        </w:rPr>
        <w:t xml:space="preserve"> miratimit të tyre.</w:t>
      </w:r>
      <w:r w:rsidR="001C56AC" w:rsidRPr="00641640" w:rsidDel="005B51AA">
        <w:rPr>
          <w:rStyle w:val="normaltextrun"/>
          <w:rFonts w:ascii="Times New Roman" w:hAnsi="Times New Roman" w:cs="Times New Roman"/>
          <w:noProof/>
          <w:sz w:val="24"/>
          <w:szCs w:val="24"/>
          <w:lang w:val="sq-AL"/>
        </w:rPr>
        <w:t xml:space="preserve"> </w:t>
      </w:r>
    </w:p>
    <w:p w14:paraId="3F6AEF75" w14:textId="7FEAEDCC" w:rsidR="004F7072" w:rsidRPr="00641640" w:rsidRDefault="004F7072" w:rsidP="003A395D">
      <w:pPr>
        <w:spacing w:line="276" w:lineRule="auto"/>
        <w:jc w:val="both"/>
        <w:rPr>
          <w:rStyle w:val="normaltextrun"/>
          <w:rFonts w:ascii="Times New Roman" w:hAnsi="Times New Roman" w:cs="Times New Roman"/>
          <w:noProof/>
          <w:sz w:val="24"/>
          <w:szCs w:val="24"/>
          <w:lang w:val="sq-AL"/>
        </w:rPr>
      </w:pPr>
      <w:r w:rsidRPr="00641640">
        <w:rPr>
          <w:rStyle w:val="normaltextrun"/>
          <w:rFonts w:ascii="Times New Roman" w:hAnsi="Times New Roman" w:cs="Times New Roman"/>
          <w:noProof/>
          <w:sz w:val="24"/>
          <w:szCs w:val="24"/>
          <w:lang w:val="sq-AL"/>
        </w:rPr>
        <w:t>Megjithat</w:t>
      </w:r>
      <w:r w:rsidR="001161DE" w:rsidRPr="00641640">
        <w:rPr>
          <w:rStyle w:val="normaltextrun"/>
          <w:rFonts w:ascii="Times New Roman" w:hAnsi="Times New Roman" w:cs="Times New Roman"/>
          <w:noProof/>
          <w:sz w:val="24"/>
          <w:szCs w:val="24"/>
          <w:lang w:val="sq-AL"/>
        </w:rPr>
        <w:t>ë</w:t>
      </w:r>
      <w:r w:rsidRPr="00641640">
        <w:rPr>
          <w:rStyle w:val="normaltextrun"/>
          <w:rFonts w:ascii="Times New Roman" w:hAnsi="Times New Roman" w:cs="Times New Roman"/>
          <w:noProof/>
          <w:sz w:val="24"/>
          <w:szCs w:val="24"/>
          <w:lang w:val="sq-AL"/>
        </w:rPr>
        <w:t>, n</w:t>
      </w:r>
      <w:r w:rsidR="001161DE" w:rsidRPr="00641640">
        <w:rPr>
          <w:rStyle w:val="normaltextrun"/>
          <w:rFonts w:ascii="Times New Roman" w:hAnsi="Times New Roman" w:cs="Times New Roman"/>
          <w:noProof/>
          <w:sz w:val="24"/>
          <w:szCs w:val="24"/>
          <w:lang w:val="sq-AL"/>
        </w:rPr>
        <w:t>ë</w:t>
      </w:r>
      <w:r w:rsidRPr="00641640">
        <w:rPr>
          <w:rStyle w:val="normaltextrun"/>
          <w:rFonts w:ascii="Times New Roman" w:hAnsi="Times New Roman" w:cs="Times New Roman"/>
          <w:noProof/>
          <w:sz w:val="24"/>
          <w:szCs w:val="24"/>
          <w:lang w:val="sq-AL"/>
        </w:rPr>
        <w:t xml:space="preserve"> </w:t>
      </w:r>
      <w:r w:rsidR="001161DE" w:rsidRPr="00641640">
        <w:rPr>
          <w:rStyle w:val="normaltextrun"/>
          <w:rFonts w:ascii="Times New Roman" w:hAnsi="Times New Roman" w:cs="Times New Roman"/>
          <w:noProof/>
          <w:sz w:val="24"/>
          <w:szCs w:val="24"/>
          <w:lang w:val="sq-AL"/>
        </w:rPr>
        <w:t xml:space="preserve">kuadër të përpjekjeve për përmirësimin e mëtejshëm të procesit, disa elemente të identifikuara që duhet të prioritizohen janë përmirësimi i </w:t>
      </w:r>
      <w:r w:rsidRPr="00641640">
        <w:rPr>
          <w:rStyle w:val="normaltextrun"/>
          <w:rFonts w:ascii="Times New Roman" w:hAnsi="Times New Roman" w:cs="Times New Roman"/>
          <w:noProof/>
          <w:sz w:val="24"/>
          <w:szCs w:val="24"/>
          <w:lang w:val="sq-AL"/>
        </w:rPr>
        <w:t xml:space="preserve">aftësive </w:t>
      </w:r>
      <w:r w:rsidR="001161DE" w:rsidRPr="00641640">
        <w:rPr>
          <w:rStyle w:val="normaltextrun"/>
          <w:rFonts w:ascii="Times New Roman" w:hAnsi="Times New Roman" w:cs="Times New Roman"/>
          <w:noProof/>
          <w:sz w:val="24"/>
          <w:szCs w:val="24"/>
          <w:lang w:val="sq-AL"/>
        </w:rPr>
        <w:t xml:space="preserve">analitike dhe ekspertizës mbi procesin RIA në ministritë e linjës, rritja e aftësive dhe njohurive të rrjetit të nëpunësve të ngarkuar me procesin RIA sa i takon gjetjes së të dhënave, si dhe përmirësimi i zbatimit </w:t>
      </w:r>
      <w:r w:rsidRPr="00641640">
        <w:rPr>
          <w:rStyle w:val="normaltextrun"/>
          <w:rFonts w:ascii="Times New Roman" w:hAnsi="Times New Roman" w:cs="Times New Roman"/>
          <w:noProof/>
          <w:sz w:val="24"/>
          <w:szCs w:val="24"/>
          <w:lang w:val="sq-AL"/>
        </w:rPr>
        <w:t>praktik të aspekteve të ndryshme të Metodologjisë së Vlerësimit të Ndikimit.</w:t>
      </w:r>
    </w:p>
    <w:p w14:paraId="33A2196E" w14:textId="03011845" w:rsidR="0086237F" w:rsidRPr="00641640" w:rsidRDefault="003B5D54" w:rsidP="003A395D">
      <w:pPr>
        <w:spacing w:line="276" w:lineRule="auto"/>
        <w:jc w:val="both"/>
        <w:rPr>
          <w:rStyle w:val="normaltextrun"/>
          <w:rFonts w:ascii="Times New Roman" w:hAnsi="Times New Roman" w:cs="Times New Roman"/>
          <w:noProof/>
          <w:sz w:val="24"/>
          <w:szCs w:val="24"/>
          <w:lang w:val="sq-AL"/>
        </w:rPr>
      </w:pPr>
      <w:r w:rsidRPr="00641640">
        <w:rPr>
          <w:rStyle w:val="normaltextrun"/>
          <w:rFonts w:ascii="Times New Roman" w:hAnsi="Times New Roman" w:cs="Times New Roman"/>
          <w:noProof/>
          <w:sz w:val="24"/>
          <w:szCs w:val="24"/>
          <w:lang w:val="sq-AL"/>
        </w:rPr>
        <w:t>P</w:t>
      </w:r>
      <w:r w:rsidR="001C56AC" w:rsidRPr="00641640">
        <w:rPr>
          <w:rStyle w:val="normaltextrun"/>
          <w:rFonts w:ascii="Times New Roman" w:hAnsi="Times New Roman" w:cs="Times New Roman"/>
          <w:noProof/>
          <w:sz w:val="24"/>
          <w:szCs w:val="24"/>
          <w:lang w:val="sq-AL"/>
        </w:rPr>
        <w:t xml:space="preserve">ërmirësimi i cilësisë së raporteve RIA </w:t>
      </w:r>
      <w:r w:rsidRPr="00641640">
        <w:rPr>
          <w:rStyle w:val="normaltextrun"/>
          <w:rFonts w:ascii="Times New Roman" w:hAnsi="Times New Roman" w:cs="Times New Roman"/>
          <w:noProof/>
          <w:sz w:val="24"/>
          <w:szCs w:val="24"/>
          <w:lang w:val="sq-AL"/>
        </w:rPr>
        <w:t xml:space="preserve">është rezultat i drejtpërdrejtë i </w:t>
      </w:r>
      <w:r w:rsidR="001C56AC" w:rsidRPr="00641640">
        <w:rPr>
          <w:rStyle w:val="normaltextrun"/>
          <w:rFonts w:ascii="Times New Roman" w:hAnsi="Times New Roman" w:cs="Times New Roman"/>
          <w:noProof/>
          <w:sz w:val="24"/>
          <w:szCs w:val="24"/>
          <w:lang w:val="sq-AL"/>
        </w:rPr>
        <w:t>asistencë</w:t>
      </w:r>
      <w:r w:rsidRPr="00641640">
        <w:rPr>
          <w:rStyle w:val="normaltextrun"/>
          <w:rFonts w:ascii="Times New Roman" w:hAnsi="Times New Roman" w:cs="Times New Roman"/>
          <w:noProof/>
          <w:sz w:val="24"/>
          <w:szCs w:val="24"/>
          <w:lang w:val="sq-AL"/>
        </w:rPr>
        <w:t>s</w:t>
      </w:r>
      <w:r w:rsidR="001C56AC" w:rsidRPr="00641640">
        <w:rPr>
          <w:rStyle w:val="normaltextrun"/>
          <w:rFonts w:ascii="Times New Roman" w:hAnsi="Times New Roman" w:cs="Times New Roman"/>
          <w:noProof/>
          <w:sz w:val="24"/>
          <w:szCs w:val="24"/>
          <w:lang w:val="sq-AL"/>
        </w:rPr>
        <w:t xml:space="preserve"> dhe punë</w:t>
      </w:r>
      <w:r w:rsidRPr="00641640">
        <w:rPr>
          <w:rStyle w:val="normaltextrun"/>
          <w:rFonts w:ascii="Times New Roman" w:hAnsi="Times New Roman" w:cs="Times New Roman"/>
          <w:noProof/>
          <w:sz w:val="24"/>
          <w:szCs w:val="24"/>
          <w:lang w:val="sq-AL"/>
        </w:rPr>
        <w:t>s</w:t>
      </w:r>
      <w:r w:rsidR="001C56AC" w:rsidRPr="00641640">
        <w:rPr>
          <w:rStyle w:val="normaltextrun"/>
          <w:rFonts w:ascii="Times New Roman" w:hAnsi="Times New Roman" w:cs="Times New Roman"/>
          <w:noProof/>
          <w:sz w:val="24"/>
          <w:szCs w:val="24"/>
          <w:lang w:val="sq-AL"/>
        </w:rPr>
        <w:t xml:space="preserve"> koordinuese </w:t>
      </w:r>
      <w:r w:rsidRPr="00641640">
        <w:rPr>
          <w:rStyle w:val="normaltextrun"/>
          <w:rFonts w:ascii="Times New Roman" w:hAnsi="Times New Roman" w:cs="Times New Roman"/>
          <w:noProof/>
          <w:sz w:val="24"/>
          <w:szCs w:val="24"/>
          <w:lang w:val="sq-AL"/>
        </w:rPr>
        <w:t xml:space="preserve">të kryer nga </w:t>
      </w:r>
      <w:r w:rsidR="00C13242" w:rsidRPr="00641640">
        <w:rPr>
          <w:rStyle w:val="normaltextrun"/>
          <w:rFonts w:ascii="Times New Roman" w:hAnsi="Times New Roman" w:cs="Times New Roman"/>
          <w:noProof/>
          <w:sz w:val="24"/>
          <w:szCs w:val="24"/>
          <w:lang w:val="sq-AL"/>
        </w:rPr>
        <w:t>n</w:t>
      </w:r>
      <w:r w:rsidR="001C56AC" w:rsidRPr="00641640">
        <w:rPr>
          <w:rStyle w:val="normaltextrun"/>
          <w:rFonts w:ascii="Times New Roman" w:hAnsi="Times New Roman" w:cs="Times New Roman"/>
          <w:noProof/>
          <w:sz w:val="24"/>
          <w:szCs w:val="24"/>
          <w:lang w:val="sq-AL"/>
        </w:rPr>
        <w:t xml:space="preserve">jësia </w:t>
      </w:r>
      <w:r w:rsidR="00C13242" w:rsidRPr="00641640">
        <w:rPr>
          <w:rStyle w:val="normaltextrun"/>
          <w:rFonts w:ascii="Times New Roman" w:hAnsi="Times New Roman" w:cs="Times New Roman"/>
          <w:noProof/>
          <w:sz w:val="24"/>
          <w:szCs w:val="24"/>
          <w:lang w:val="sq-AL"/>
        </w:rPr>
        <w:t>përkatëse e p</w:t>
      </w:r>
      <w:r w:rsidR="001C56AC" w:rsidRPr="00641640">
        <w:rPr>
          <w:rStyle w:val="normaltextrun"/>
          <w:rFonts w:ascii="Times New Roman" w:hAnsi="Times New Roman" w:cs="Times New Roman"/>
          <w:noProof/>
          <w:sz w:val="24"/>
          <w:szCs w:val="24"/>
          <w:lang w:val="sq-AL"/>
        </w:rPr>
        <w:t xml:space="preserve">rogramimit të </w:t>
      </w:r>
      <w:r w:rsidR="00C13242" w:rsidRPr="00641640">
        <w:rPr>
          <w:rStyle w:val="normaltextrun"/>
          <w:rFonts w:ascii="Times New Roman" w:hAnsi="Times New Roman" w:cs="Times New Roman"/>
          <w:noProof/>
          <w:sz w:val="24"/>
          <w:szCs w:val="24"/>
          <w:lang w:val="sq-AL"/>
        </w:rPr>
        <w:t>a</w:t>
      </w:r>
      <w:r w:rsidR="001C56AC" w:rsidRPr="00641640">
        <w:rPr>
          <w:rStyle w:val="normaltextrun"/>
          <w:rFonts w:ascii="Times New Roman" w:hAnsi="Times New Roman" w:cs="Times New Roman"/>
          <w:noProof/>
          <w:sz w:val="24"/>
          <w:szCs w:val="24"/>
          <w:lang w:val="sq-AL"/>
        </w:rPr>
        <w:t xml:space="preserve">kteve </w:t>
      </w:r>
      <w:r w:rsidR="00C13242" w:rsidRPr="00641640">
        <w:rPr>
          <w:rStyle w:val="normaltextrun"/>
          <w:rFonts w:ascii="Times New Roman" w:hAnsi="Times New Roman" w:cs="Times New Roman"/>
          <w:noProof/>
          <w:sz w:val="24"/>
          <w:szCs w:val="24"/>
          <w:lang w:val="sq-AL"/>
        </w:rPr>
        <w:t>r</w:t>
      </w:r>
      <w:r w:rsidR="001C56AC" w:rsidRPr="00641640">
        <w:rPr>
          <w:rStyle w:val="normaltextrun"/>
          <w:rFonts w:ascii="Times New Roman" w:hAnsi="Times New Roman" w:cs="Times New Roman"/>
          <w:noProof/>
          <w:sz w:val="24"/>
          <w:szCs w:val="24"/>
          <w:lang w:val="sq-AL"/>
        </w:rPr>
        <w:t>regullatore dhe RIA</w:t>
      </w:r>
      <w:r w:rsidR="00E5575B" w:rsidRPr="00641640">
        <w:rPr>
          <w:rStyle w:val="normaltextrun"/>
          <w:rFonts w:ascii="Times New Roman" w:hAnsi="Times New Roman" w:cs="Times New Roman"/>
          <w:noProof/>
          <w:sz w:val="24"/>
          <w:szCs w:val="24"/>
          <w:lang w:val="sq-AL"/>
        </w:rPr>
        <w:t xml:space="preserve"> në </w:t>
      </w:r>
      <w:r w:rsidR="00E5575B" w:rsidRPr="00641640">
        <w:rPr>
          <w:rStyle w:val="normaltextrun"/>
          <w:rFonts w:ascii="Times New Roman" w:hAnsi="Times New Roman" w:cs="Times New Roman"/>
          <w:noProof/>
          <w:sz w:val="24"/>
          <w:szCs w:val="24"/>
          <w:lang w:val="sq-AL"/>
        </w:rPr>
        <w:lastRenderedPageBreak/>
        <w:t>Kryeministri</w:t>
      </w:r>
      <w:r w:rsidRPr="00641640">
        <w:rPr>
          <w:rStyle w:val="normaltextrun"/>
          <w:rFonts w:ascii="Times New Roman" w:hAnsi="Times New Roman" w:cs="Times New Roman"/>
          <w:noProof/>
          <w:sz w:val="24"/>
          <w:szCs w:val="24"/>
          <w:lang w:val="sq-AL"/>
        </w:rPr>
        <w:t>,</w:t>
      </w:r>
      <w:r w:rsidR="001C56AC" w:rsidRPr="00641640">
        <w:rPr>
          <w:rStyle w:val="normaltextrun"/>
          <w:rFonts w:ascii="Times New Roman" w:hAnsi="Times New Roman" w:cs="Times New Roman"/>
          <w:noProof/>
          <w:sz w:val="24"/>
          <w:szCs w:val="24"/>
          <w:lang w:val="sq-AL"/>
        </w:rPr>
        <w:t xml:space="preserve"> si dhe </w:t>
      </w:r>
      <w:r w:rsidRPr="00641640">
        <w:rPr>
          <w:rStyle w:val="normaltextrun"/>
          <w:rFonts w:ascii="Times New Roman" w:hAnsi="Times New Roman" w:cs="Times New Roman"/>
          <w:noProof/>
          <w:sz w:val="24"/>
          <w:szCs w:val="24"/>
          <w:lang w:val="sq-AL"/>
        </w:rPr>
        <w:t xml:space="preserve">i </w:t>
      </w:r>
      <w:r w:rsidR="001C56AC" w:rsidRPr="00641640">
        <w:rPr>
          <w:rStyle w:val="normaltextrun"/>
          <w:rFonts w:ascii="Times New Roman" w:hAnsi="Times New Roman" w:cs="Times New Roman"/>
          <w:noProof/>
          <w:sz w:val="24"/>
          <w:szCs w:val="24"/>
          <w:lang w:val="sq-AL"/>
        </w:rPr>
        <w:t>njohuri</w:t>
      </w:r>
      <w:r w:rsidRPr="00641640">
        <w:rPr>
          <w:rStyle w:val="normaltextrun"/>
          <w:rFonts w:ascii="Times New Roman" w:hAnsi="Times New Roman" w:cs="Times New Roman"/>
          <w:noProof/>
          <w:sz w:val="24"/>
          <w:szCs w:val="24"/>
          <w:lang w:val="sq-AL"/>
        </w:rPr>
        <w:t>ve</w:t>
      </w:r>
      <w:r w:rsidR="001C56AC" w:rsidRPr="00641640">
        <w:rPr>
          <w:rStyle w:val="normaltextrun"/>
          <w:rFonts w:ascii="Times New Roman" w:hAnsi="Times New Roman" w:cs="Times New Roman"/>
          <w:noProof/>
          <w:sz w:val="24"/>
          <w:szCs w:val="24"/>
          <w:lang w:val="sq-AL"/>
        </w:rPr>
        <w:t xml:space="preserve"> që kanë mbi këtë </w:t>
      </w:r>
      <w:r w:rsidR="007E0064" w:rsidRPr="00641640">
        <w:rPr>
          <w:rStyle w:val="normaltextrun"/>
          <w:rFonts w:ascii="Times New Roman" w:hAnsi="Times New Roman" w:cs="Times New Roman"/>
          <w:noProof/>
          <w:sz w:val="24"/>
          <w:szCs w:val="24"/>
          <w:lang w:val="sq-AL"/>
        </w:rPr>
        <w:t>proces</w:t>
      </w:r>
      <w:r w:rsidR="001C56AC" w:rsidRPr="00641640">
        <w:rPr>
          <w:rStyle w:val="normaltextrun"/>
          <w:rFonts w:ascii="Times New Roman" w:hAnsi="Times New Roman" w:cs="Times New Roman"/>
          <w:noProof/>
          <w:sz w:val="24"/>
          <w:szCs w:val="24"/>
          <w:lang w:val="sq-AL"/>
        </w:rPr>
        <w:t xml:space="preserve"> zyrtarët e përfshirë në hartimin e </w:t>
      </w:r>
      <w:r w:rsidRPr="00641640">
        <w:rPr>
          <w:rStyle w:val="normaltextrun"/>
          <w:rFonts w:ascii="Times New Roman" w:hAnsi="Times New Roman" w:cs="Times New Roman"/>
          <w:noProof/>
          <w:sz w:val="24"/>
          <w:szCs w:val="24"/>
          <w:lang w:val="sq-AL"/>
        </w:rPr>
        <w:t>këtyre r</w:t>
      </w:r>
      <w:r w:rsidR="001C56AC" w:rsidRPr="00641640">
        <w:rPr>
          <w:rStyle w:val="normaltextrun"/>
          <w:rFonts w:ascii="Times New Roman" w:hAnsi="Times New Roman" w:cs="Times New Roman"/>
          <w:noProof/>
          <w:sz w:val="24"/>
          <w:szCs w:val="24"/>
          <w:lang w:val="sq-AL"/>
        </w:rPr>
        <w:t>aporteve.   </w:t>
      </w:r>
    </w:p>
    <w:p w14:paraId="04581EB5" w14:textId="114335C9" w:rsidR="00572F32" w:rsidRPr="00641640" w:rsidRDefault="00572F32" w:rsidP="003A395D">
      <w:pPr>
        <w:pStyle w:val="paragraph"/>
        <w:spacing w:before="0" w:beforeAutospacing="0" w:after="240" w:afterAutospacing="0" w:line="276" w:lineRule="auto"/>
        <w:jc w:val="both"/>
        <w:textAlignment w:val="baseline"/>
        <w:rPr>
          <w:rStyle w:val="normaltextrun"/>
          <w:noProof/>
          <w:lang w:val="sq-AL"/>
        </w:rPr>
      </w:pPr>
      <w:r w:rsidRPr="00641640">
        <w:rPr>
          <w:rStyle w:val="normaltextrun"/>
          <w:noProof/>
          <w:lang w:val="sq-AL"/>
        </w:rPr>
        <w:t xml:space="preserve">Konsultimi publik </w:t>
      </w:r>
      <w:r w:rsidR="003B5D54" w:rsidRPr="00641640">
        <w:rPr>
          <w:rStyle w:val="normaltextrun"/>
          <w:noProof/>
          <w:lang w:val="sq-AL"/>
        </w:rPr>
        <w:t>përbën</w:t>
      </w:r>
      <w:r w:rsidRPr="00641640">
        <w:rPr>
          <w:rStyle w:val="normaltextrun"/>
          <w:noProof/>
          <w:lang w:val="sq-AL"/>
        </w:rPr>
        <w:t xml:space="preserve"> një komponent </w:t>
      </w:r>
      <w:r w:rsidR="003B5D54" w:rsidRPr="00641640">
        <w:rPr>
          <w:rStyle w:val="normaltextrun"/>
          <w:noProof/>
          <w:lang w:val="sq-AL"/>
        </w:rPr>
        <w:t>thelbësor të kritereve për përmbushjen e reformave të kërkuara si pjesë e detyrimeve të Shqipërisë në kuadër të G</w:t>
      </w:r>
      <w:r w:rsidR="005B51AA" w:rsidRPr="00641640">
        <w:rPr>
          <w:rStyle w:val="normaltextrun"/>
          <w:noProof/>
          <w:lang w:val="sq-AL"/>
        </w:rPr>
        <w:t>rup</w:t>
      </w:r>
      <w:r w:rsidR="00E5575B" w:rsidRPr="00641640">
        <w:rPr>
          <w:rStyle w:val="normaltextrun"/>
          <w:noProof/>
          <w:lang w:val="sq-AL"/>
        </w:rPr>
        <w:t>k</w:t>
      </w:r>
      <w:r w:rsidR="005B51AA" w:rsidRPr="00641640">
        <w:rPr>
          <w:rStyle w:val="normaltextrun"/>
          <w:noProof/>
          <w:lang w:val="sq-AL"/>
        </w:rPr>
        <w:t xml:space="preserve">apitujve </w:t>
      </w:r>
      <w:r w:rsidR="003B5D54" w:rsidRPr="00641640">
        <w:rPr>
          <w:rStyle w:val="normaltextrun"/>
          <w:noProof/>
          <w:lang w:val="sq-AL"/>
        </w:rPr>
        <w:t>I</w:t>
      </w:r>
      <w:r w:rsidRPr="00641640">
        <w:rPr>
          <w:rStyle w:val="normaltextrun"/>
          <w:noProof/>
          <w:lang w:val="sq-AL"/>
        </w:rPr>
        <w:t xml:space="preserve"> </w:t>
      </w:r>
      <w:r w:rsidR="003B5D54" w:rsidRPr="00641640">
        <w:rPr>
          <w:rStyle w:val="normaltextrun"/>
          <w:noProof/>
          <w:lang w:val="sq-AL"/>
        </w:rPr>
        <w:t>“Themeloret”.</w:t>
      </w:r>
      <w:r w:rsidRPr="00641640">
        <w:rPr>
          <w:rStyle w:val="normaltextrun"/>
          <w:noProof/>
          <w:lang w:val="sq-AL"/>
        </w:rPr>
        <w:t xml:space="preserve"> Ky proces </w:t>
      </w:r>
      <w:r w:rsidR="003B5D54" w:rsidRPr="00641640">
        <w:rPr>
          <w:rStyle w:val="normaltextrun"/>
          <w:noProof/>
          <w:lang w:val="sq-AL"/>
        </w:rPr>
        <w:t>është parakusht</w:t>
      </w:r>
      <w:r w:rsidRPr="00641640">
        <w:rPr>
          <w:rStyle w:val="normaltextrun"/>
          <w:noProof/>
          <w:lang w:val="sq-AL"/>
        </w:rPr>
        <w:t xml:space="preserve"> jo vetëm </w:t>
      </w:r>
      <w:r w:rsidR="003B5D54" w:rsidRPr="00641640">
        <w:rPr>
          <w:rStyle w:val="normaltextrun"/>
          <w:noProof/>
          <w:lang w:val="sq-AL"/>
        </w:rPr>
        <w:t>për përmirësimin e</w:t>
      </w:r>
      <w:r w:rsidRPr="00641640">
        <w:rPr>
          <w:rStyle w:val="normaltextrun"/>
          <w:noProof/>
          <w:lang w:val="sq-AL"/>
        </w:rPr>
        <w:t xml:space="preserve"> </w:t>
      </w:r>
      <w:r w:rsidR="003B5D54" w:rsidRPr="00641640">
        <w:rPr>
          <w:rStyle w:val="normaltextrun"/>
          <w:noProof/>
          <w:lang w:val="sq-AL"/>
        </w:rPr>
        <w:t>performancës së</w:t>
      </w:r>
      <w:r w:rsidRPr="00641640">
        <w:rPr>
          <w:rStyle w:val="normaltextrun"/>
          <w:noProof/>
          <w:lang w:val="sq-AL"/>
        </w:rPr>
        <w:t xml:space="preserve"> administratës publike</w:t>
      </w:r>
      <w:r w:rsidR="003B5D54" w:rsidRPr="00641640">
        <w:rPr>
          <w:rStyle w:val="normaltextrun"/>
          <w:noProof/>
          <w:lang w:val="sq-AL"/>
        </w:rPr>
        <w:t>,</w:t>
      </w:r>
      <w:r w:rsidRPr="00641640">
        <w:rPr>
          <w:rStyle w:val="normaltextrun"/>
          <w:noProof/>
          <w:lang w:val="sq-AL"/>
        </w:rPr>
        <w:t xml:space="preserve"> por </w:t>
      </w:r>
      <w:r w:rsidR="007E0064" w:rsidRPr="00641640">
        <w:rPr>
          <w:rStyle w:val="normaltextrun"/>
          <w:noProof/>
          <w:lang w:val="sq-AL"/>
        </w:rPr>
        <w:t>e</w:t>
      </w:r>
      <w:r w:rsidRPr="00641640">
        <w:rPr>
          <w:rStyle w:val="normaltextrun"/>
          <w:noProof/>
          <w:lang w:val="sq-AL"/>
        </w:rPr>
        <w:t xml:space="preserve">dhe </w:t>
      </w:r>
      <w:r w:rsidR="00FB537D" w:rsidRPr="00641640">
        <w:rPr>
          <w:rStyle w:val="normaltextrun"/>
          <w:noProof/>
          <w:lang w:val="sq-AL"/>
        </w:rPr>
        <w:t>për</w:t>
      </w:r>
      <w:r w:rsidRPr="00641640">
        <w:rPr>
          <w:rStyle w:val="normaltextrun"/>
          <w:noProof/>
          <w:lang w:val="sq-AL"/>
        </w:rPr>
        <w:t xml:space="preserve"> funksionimin e institucioneve demokratike. </w:t>
      </w:r>
    </w:p>
    <w:p w14:paraId="439EA8D2" w14:textId="52A1C099" w:rsidR="00572F32" w:rsidRPr="00641640" w:rsidRDefault="00572F32" w:rsidP="003A395D">
      <w:pPr>
        <w:pStyle w:val="paragraph"/>
        <w:spacing w:before="0" w:beforeAutospacing="0" w:after="240" w:afterAutospacing="0" w:line="276" w:lineRule="auto"/>
        <w:jc w:val="both"/>
        <w:textAlignment w:val="baseline"/>
        <w:rPr>
          <w:rStyle w:val="normaltextrun"/>
          <w:noProof/>
          <w:lang w:val="sq-AL"/>
        </w:rPr>
      </w:pPr>
      <w:r w:rsidRPr="00641640">
        <w:rPr>
          <w:rStyle w:val="normaltextrun"/>
          <w:noProof/>
          <w:lang w:val="sq-AL"/>
        </w:rPr>
        <w:t xml:space="preserve">Me qëllim adresimin e rekomandimeve </w:t>
      </w:r>
      <w:r w:rsidR="003B5D54" w:rsidRPr="00641640">
        <w:rPr>
          <w:rStyle w:val="normaltextrun"/>
          <w:noProof/>
          <w:lang w:val="sq-AL"/>
        </w:rPr>
        <w:t>të</w:t>
      </w:r>
      <w:r w:rsidRPr="00641640">
        <w:rPr>
          <w:rStyle w:val="normaltextrun"/>
          <w:noProof/>
          <w:lang w:val="sq-AL"/>
        </w:rPr>
        <w:t xml:space="preserve"> procesi</w:t>
      </w:r>
      <w:r w:rsidR="003B5D54" w:rsidRPr="00641640">
        <w:rPr>
          <w:rStyle w:val="normaltextrun"/>
          <w:noProof/>
          <w:lang w:val="sq-AL"/>
        </w:rPr>
        <w:t>t</w:t>
      </w:r>
      <w:r w:rsidRPr="00641640">
        <w:rPr>
          <w:rStyle w:val="normaltextrun"/>
          <w:noProof/>
          <w:lang w:val="sq-AL"/>
        </w:rPr>
        <w:t xml:space="preserve"> </w:t>
      </w:r>
      <w:r w:rsidR="003B5D54" w:rsidRPr="00641640">
        <w:rPr>
          <w:rStyle w:val="normaltextrun"/>
          <w:noProof/>
          <w:lang w:val="sq-AL"/>
        </w:rPr>
        <w:t xml:space="preserve">të shqyrtimit analitik të legjislacionit dhe kapaciteteve institucionale, </w:t>
      </w:r>
      <w:r w:rsidR="00FA1F93" w:rsidRPr="00641640">
        <w:rPr>
          <w:rStyle w:val="normaltextrun"/>
          <w:noProof/>
          <w:lang w:val="sq-AL"/>
        </w:rPr>
        <w:t xml:space="preserve">si </w:t>
      </w:r>
      <w:r w:rsidRPr="00641640">
        <w:rPr>
          <w:rStyle w:val="normaltextrun"/>
          <w:noProof/>
          <w:lang w:val="sq-AL"/>
        </w:rPr>
        <w:t xml:space="preserve">dhe </w:t>
      </w:r>
      <w:r w:rsidR="003B5D54" w:rsidRPr="00641640">
        <w:rPr>
          <w:rStyle w:val="normaltextrun"/>
          <w:noProof/>
          <w:lang w:val="sq-AL"/>
        </w:rPr>
        <w:t xml:space="preserve">ndërgjegjësimin dhe </w:t>
      </w:r>
      <w:r w:rsidRPr="00641640">
        <w:rPr>
          <w:rStyle w:val="normaltextrun"/>
          <w:noProof/>
          <w:lang w:val="sq-AL"/>
        </w:rPr>
        <w:t xml:space="preserve">forcimin e kulturës </w:t>
      </w:r>
      <w:r w:rsidR="003B5D54" w:rsidRPr="00641640">
        <w:rPr>
          <w:rStyle w:val="normaltextrun"/>
          <w:noProof/>
          <w:lang w:val="sq-AL"/>
        </w:rPr>
        <w:t xml:space="preserve">rreth këtij </w:t>
      </w:r>
      <w:r w:rsidRPr="00641640">
        <w:rPr>
          <w:rStyle w:val="normaltextrun"/>
          <w:noProof/>
          <w:lang w:val="sq-AL"/>
        </w:rPr>
        <w:t xml:space="preserve">procesi, </w:t>
      </w:r>
      <w:r w:rsidR="003B5D54" w:rsidRPr="00641640">
        <w:rPr>
          <w:rStyle w:val="normaltextrun"/>
          <w:noProof/>
          <w:lang w:val="sq-AL"/>
        </w:rPr>
        <w:t xml:space="preserve">përmirësimi i </w:t>
      </w:r>
      <w:r w:rsidRPr="00641640">
        <w:rPr>
          <w:rStyle w:val="normaltextrun"/>
          <w:noProof/>
          <w:lang w:val="sq-AL"/>
        </w:rPr>
        <w:t>konsultimi</w:t>
      </w:r>
      <w:r w:rsidR="003B5D54" w:rsidRPr="00641640">
        <w:rPr>
          <w:rStyle w:val="normaltextrun"/>
          <w:noProof/>
          <w:lang w:val="sq-AL"/>
        </w:rPr>
        <w:t>t</w:t>
      </w:r>
      <w:r w:rsidRPr="00641640">
        <w:rPr>
          <w:rStyle w:val="normaltextrun"/>
          <w:noProof/>
          <w:lang w:val="sq-AL"/>
        </w:rPr>
        <w:t xml:space="preserve"> publik është integruar në </w:t>
      </w:r>
      <w:r w:rsidR="00C13242" w:rsidRPr="00641640">
        <w:rPr>
          <w:rStyle w:val="normaltextrun"/>
          <w:noProof/>
          <w:lang w:val="sq-AL"/>
        </w:rPr>
        <w:t>u</w:t>
      </w:r>
      <w:r w:rsidRPr="00641640">
        <w:rPr>
          <w:rStyle w:val="normaltextrun"/>
          <w:noProof/>
          <w:lang w:val="sq-AL"/>
        </w:rPr>
        <w:t xml:space="preserve">dhërrëfyesit </w:t>
      </w:r>
      <w:r w:rsidR="003B5D54" w:rsidRPr="00641640">
        <w:rPr>
          <w:rStyle w:val="normaltextrun"/>
          <w:noProof/>
          <w:lang w:val="sq-AL"/>
        </w:rPr>
        <w:t>përkatës të</w:t>
      </w:r>
      <w:r w:rsidRPr="00641640">
        <w:rPr>
          <w:rStyle w:val="normaltextrun"/>
          <w:noProof/>
          <w:lang w:val="sq-AL"/>
        </w:rPr>
        <w:t xml:space="preserve"> </w:t>
      </w:r>
      <w:r w:rsidRPr="00F055A5">
        <w:rPr>
          <w:rStyle w:val="normaltextrun"/>
          <w:noProof/>
          <w:lang w:val="sq-AL"/>
        </w:rPr>
        <w:t>Refo</w:t>
      </w:r>
      <w:r w:rsidR="003B5D54" w:rsidRPr="00F055A5">
        <w:rPr>
          <w:rStyle w:val="normaltextrun"/>
          <w:noProof/>
          <w:lang w:val="sq-AL"/>
        </w:rPr>
        <w:t>r</w:t>
      </w:r>
      <w:r w:rsidRPr="00F055A5">
        <w:rPr>
          <w:rStyle w:val="normaltextrun"/>
          <w:noProof/>
          <w:lang w:val="sq-AL"/>
        </w:rPr>
        <w:t>më</w:t>
      </w:r>
      <w:r w:rsidR="003B5D54" w:rsidRPr="00F055A5">
        <w:rPr>
          <w:rStyle w:val="normaltextrun"/>
          <w:noProof/>
          <w:lang w:val="sq-AL"/>
        </w:rPr>
        <w:t>s së</w:t>
      </w:r>
      <w:r w:rsidRPr="00F055A5">
        <w:rPr>
          <w:rStyle w:val="normaltextrun"/>
          <w:noProof/>
          <w:lang w:val="sq-AL"/>
        </w:rPr>
        <w:t xml:space="preserve"> Administratës Publike dhe </w:t>
      </w:r>
      <w:r w:rsidR="00F3708A" w:rsidRPr="00F055A5">
        <w:rPr>
          <w:rStyle w:val="normaltextrun"/>
          <w:noProof/>
          <w:lang w:val="sq-AL"/>
        </w:rPr>
        <w:t>F</w:t>
      </w:r>
      <w:r w:rsidRPr="00F055A5">
        <w:rPr>
          <w:rStyle w:val="normaltextrun"/>
          <w:noProof/>
          <w:lang w:val="sq-AL"/>
        </w:rPr>
        <w:t>unksionimi</w:t>
      </w:r>
      <w:r w:rsidR="003B5D54" w:rsidRPr="00F055A5">
        <w:rPr>
          <w:rStyle w:val="normaltextrun"/>
          <w:noProof/>
          <w:lang w:val="sq-AL"/>
        </w:rPr>
        <w:t>t të</w:t>
      </w:r>
      <w:r w:rsidRPr="00F055A5">
        <w:rPr>
          <w:rStyle w:val="normaltextrun"/>
          <w:noProof/>
          <w:lang w:val="sq-AL"/>
        </w:rPr>
        <w:t xml:space="preserve"> Institucioneve Demokratike 2023-2030. S</w:t>
      </w:r>
      <w:r w:rsidRPr="00641640">
        <w:rPr>
          <w:rStyle w:val="normaltextrun"/>
          <w:noProof/>
          <w:lang w:val="sq-AL"/>
        </w:rPr>
        <w:t xml:space="preserve">igurimi i një qasjeje gjithëpërfshirëse për fuqizimin e shoqërisë civile dhe rritjen e përgjegjshmërisë dhe llogaridhënies së institucioneve </w:t>
      </w:r>
      <w:r w:rsidR="003B5D54" w:rsidRPr="00641640">
        <w:rPr>
          <w:rStyle w:val="normaltextrun"/>
          <w:noProof/>
          <w:lang w:val="sq-AL"/>
        </w:rPr>
        <w:t>q</w:t>
      </w:r>
      <w:r w:rsidR="00C13242" w:rsidRPr="00641640">
        <w:rPr>
          <w:rStyle w:val="normaltextrun"/>
          <w:noProof/>
          <w:lang w:val="sq-AL"/>
        </w:rPr>
        <w:t>e</w:t>
      </w:r>
      <w:r w:rsidR="003B5D54" w:rsidRPr="00641640">
        <w:rPr>
          <w:rStyle w:val="normaltextrun"/>
          <w:noProof/>
          <w:lang w:val="sq-AL"/>
        </w:rPr>
        <w:t>ndrojnë</w:t>
      </w:r>
      <w:r w:rsidRPr="00641640">
        <w:rPr>
          <w:rStyle w:val="normaltextrun"/>
          <w:noProof/>
          <w:lang w:val="sq-AL"/>
        </w:rPr>
        <w:t xml:space="preserve"> në themel të masave të ndërmarra</w:t>
      </w:r>
      <w:r w:rsidR="003B5D54" w:rsidRPr="00641640">
        <w:rPr>
          <w:rStyle w:val="normaltextrun"/>
          <w:noProof/>
          <w:lang w:val="sq-AL"/>
        </w:rPr>
        <w:t xml:space="preserve"> në këtë drejtim</w:t>
      </w:r>
      <w:r w:rsidRPr="00641640">
        <w:rPr>
          <w:rStyle w:val="normaltextrun"/>
          <w:noProof/>
          <w:lang w:val="sq-AL"/>
        </w:rPr>
        <w:t xml:space="preserve">. </w:t>
      </w:r>
    </w:p>
    <w:p w14:paraId="17B7D611" w14:textId="0A45F3C7" w:rsidR="0086237F" w:rsidRPr="00641640" w:rsidRDefault="003B5D54" w:rsidP="003A395D">
      <w:pPr>
        <w:pStyle w:val="paragraph"/>
        <w:spacing w:before="0" w:beforeAutospacing="0" w:after="240" w:afterAutospacing="0" w:line="276" w:lineRule="auto"/>
        <w:jc w:val="both"/>
        <w:textAlignment w:val="baseline"/>
        <w:rPr>
          <w:b/>
          <w:bCs/>
          <w:i/>
          <w:iCs/>
          <w:noProof/>
          <w:lang w:val="sq-AL"/>
        </w:rPr>
      </w:pPr>
      <w:r w:rsidRPr="00641640">
        <w:rPr>
          <w:rStyle w:val="normaltextrun"/>
          <w:noProof/>
          <w:lang w:val="sq-AL"/>
        </w:rPr>
        <w:t>Garantimi i transparencës dhe frymës së bashkëpunimit mes autoriteteve publike luan një rol thelbësor në</w:t>
      </w:r>
      <w:r w:rsidR="00572F32" w:rsidRPr="00641640">
        <w:rPr>
          <w:rStyle w:val="normaltextrun"/>
          <w:noProof/>
          <w:lang w:val="sq-AL"/>
        </w:rPr>
        <w:t xml:space="preserve"> rritjen e pjesëmarrjes së publikut dhe aktorëve të tjerë në procesin e konsultimit </w:t>
      </w:r>
      <w:r w:rsidRPr="00641640">
        <w:rPr>
          <w:rStyle w:val="normaltextrun"/>
          <w:noProof/>
          <w:lang w:val="sq-AL"/>
        </w:rPr>
        <w:t>publik. Për këtë qëllim, monitorimi i publikimit të projekt-akteve dhe dokumenteve shoqëruese për konsultim</w:t>
      </w:r>
      <w:r w:rsidR="00572F32" w:rsidRPr="00641640">
        <w:rPr>
          <w:rStyle w:val="normaltextrun"/>
          <w:noProof/>
          <w:lang w:val="sq-AL"/>
        </w:rPr>
        <w:t xml:space="preserve"> </w:t>
      </w:r>
      <w:r w:rsidRPr="00641640">
        <w:rPr>
          <w:rStyle w:val="normaltextrun"/>
          <w:noProof/>
          <w:lang w:val="sq-AL"/>
        </w:rPr>
        <w:t xml:space="preserve">kryhet periodikisht në baza javore nga </w:t>
      </w:r>
      <w:r w:rsidR="00AE57F6" w:rsidRPr="00641640">
        <w:rPr>
          <w:rStyle w:val="normaltextrun"/>
          <w:noProof/>
          <w:lang w:val="sq-AL"/>
        </w:rPr>
        <w:t>njësia përkatëse e programimit të akteve rregullatore dhe RIA në Kryeministri</w:t>
      </w:r>
      <w:r w:rsidR="00572F32" w:rsidRPr="00641640">
        <w:rPr>
          <w:rStyle w:val="normaltextrun"/>
          <w:noProof/>
          <w:lang w:val="sq-AL"/>
        </w:rPr>
        <w:t>, në kuadër të përpjekjeve të vazhdueshme për përmirësimin dhe promovimin e këtij procesi dhe në zbatim të rekomandimeve të Komisionit Evropian</w:t>
      </w:r>
      <w:r w:rsidRPr="00641640">
        <w:rPr>
          <w:rStyle w:val="normaltextrun"/>
          <w:noProof/>
          <w:lang w:val="sq-AL"/>
        </w:rPr>
        <w:t>.</w:t>
      </w:r>
      <w:r w:rsidR="00572F32" w:rsidRPr="00641640">
        <w:rPr>
          <w:rStyle w:val="normaltextrun"/>
          <w:noProof/>
          <w:lang w:val="sq-AL"/>
        </w:rPr>
        <w:t xml:space="preserve"> </w:t>
      </w:r>
      <w:r w:rsidRPr="00641640">
        <w:rPr>
          <w:rStyle w:val="normaltextrun"/>
          <w:noProof/>
          <w:lang w:val="sq-AL"/>
        </w:rPr>
        <w:t xml:space="preserve">Gjithashtu, </w:t>
      </w:r>
      <w:r w:rsidR="00A11713" w:rsidRPr="00641640">
        <w:rPr>
          <w:rStyle w:val="normaltextrun"/>
          <w:noProof/>
          <w:lang w:val="sq-AL"/>
        </w:rPr>
        <w:t>n</w:t>
      </w:r>
      <w:r w:rsidRPr="00641640">
        <w:rPr>
          <w:rStyle w:val="normaltextrun"/>
          <w:noProof/>
          <w:lang w:val="sq-AL"/>
        </w:rPr>
        <w:t xml:space="preserve">jësia </w:t>
      </w:r>
      <w:r w:rsidR="00572F32" w:rsidRPr="00641640">
        <w:rPr>
          <w:rStyle w:val="normaltextrun"/>
          <w:noProof/>
          <w:lang w:val="sq-AL"/>
        </w:rPr>
        <w:t>është angazhuar për organizimin e seancave trajnuese</w:t>
      </w:r>
      <w:r w:rsidRPr="00641640">
        <w:rPr>
          <w:rStyle w:val="normaltextrun"/>
          <w:noProof/>
          <w:lang w:val="sq-AL"/>
        </w:rPr>
        <w:t xml:space="preserve"> në bashkëpunim me partnerët ndërkombëtarë,</w:t>
      </w:r>
      <w:r w:rsidR="00572F32" w:rsidRPr="00641640">
        <w:rPr>
          <w:rStyle w:val="normaltextrun"/>
          <w:noProof/>
          <w:lang w:val="sq-AL"/>
        </w:rPr>
        <w:t xml:space="preserve"> me qëllim rritjen e kapaciteteve të funksionarëve publikë përgjegjës për të </w:t>
      </w:r>
      <w:r w:rsidRPr="00641640">
        <w:rPr>
          <w:rStyle w:val="normaltextrun"/>
          <w:noProof/>
          <w:lang w:val="sq-AL"/>
        </w:rPr>
        <w:t xml:space="preserve">kryer </w:t>
      </w:r>
      <w:r w:rsidR="00572F32" w:rsidRPr="00641640">
        <w:rPr>
          <w:rStyle w:val="normaltextrun"/>
          <w:noProof/>
          <w:lang w:val="sq-AL"/>
        </w:rPr>
        <w:t xml:space="preserve">këtë </w:t>
      </w:r>
      <w:r w:rsidRPr="00641640">
        <w:rPr>
          <w:rStyle w:val="normaltextrun"/>
          <w:noProof/>
          <w:lang w:val="sq-AL"/>
        </w:rPr>
        <w:t xml:space="preserve">process me efikasitet dhe në përmbushje të kritereve ligjore dhe rregullatore. </w:t>
      </w:r>
    </w:p>
    <w:p w14:paraId="45F4E80E" w14:textId="6717D0F3" w:rsidR="005E734B" w:rsidRPr="00641640" w:rsidRDefault="005E734B" w:rsidP="003A395D">
      <w:pPr>
        <w:spacing w:line="276" w:lineRule="auto"/>
        <w:jc w:val="both"/>
        <w:rPr>
          <w:rFonts w:ascii="Times New Roman" w:hAnsi="Times New Roman" w:cs="Times New Roman"/>
          <w:b/>
          <w:bCs/>
          <w:i/>
          <w:iCs/>
          <w:noProof/>
          <w:sz w:val="24"/>
          <w:szCs w:val="24"/>
          <w:lang w:val="sq-AL"/>
        </w:rPr>
      </w:pPr>
      <w:r w:rsidRPr="00641640">
        <w:rPr>
          <w:rFonts w:ascii="Times New Roman" w:hAnsi="Times New Roman" w:cs="Times New Roman"/>
          <w:b/>
          <w:bCs/>
          <w:i/>
          <w:iCs/>
          <w:noProof/>
          <w:sz w:val="24"/>
          <w:szCs w:val="24"/>
          <w:lang w:val="sq-AL"/>
        </w:rPr>
        <w:t>Sfidat</w:t>
      </w:r>
    </w:p>
    <w:p w14:paraId="1A3784A1" w14:textId="6A112FFE" w:rsidR="00B27BA7" w:rsidRPr="00641640" w:rsidRDefault="003E27B5"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w:t>
      </w:r>
      <w:r w:rsidR="003B5D54" w:rsidRPr="00641640">
        <w:rPr>
          <w:rFonts w:ascii="Times New Roman" w:hAnsi="Times New Roman" w:cs="Times New Roman"/>
          <w:noProof/>
          <w:sz w:val="24"/>
          <w:szCs w:val="24"/>
          <w:lang w:val="sq-AL"/>
        </w:rPr>
        <w:t>erformanca e administratës publike shqiptare është përmirësuar ndjeshëm në vitet e fundit, falë prioritizimit të reformës në administratën publike dhe miratimit të një kuadri të detajuar ligjor, rregullator dhe institucional</w:t>
      </w:r>
      <w:r w:rsidRPr="00641640">
        <w:rPr>
          <w:rFonts w:ascii="Times New Roman" w:hAnsi="Times New Roman" w:cs="Times New Roman"/>
          <w:noProof/>
          <w:sz w:val="24"/>
          <w:szCs w:val="24"/>
          <w:lang w:val="sq-AL"/>
        </w:rPr>
        <w:t>. Për të mbështetur më tej këto arritje dhe për të përballuar sfidat e identifikuara në proces, nevojiten disa përmirësime të mëtejshme.</w:t>
      </w:r>
      <w:r w:rsidR="00EF0180" w:rsidRPr="00641640">
        <w:rPr>
          <w:rFonts w:ascii="Times New Roman" w:hAnsi="Times New Roman" w:cs="Times New Roman"/>
          <w:noProof/>
          <w:sz w:val="24"/>
          <w:szCs w:val="24"/>
          <w:lang w:val="sq-AL"/>
        </w:rPr>
        <w:t xml:space="preserve"> </w:t>
      </w:r>
      <w:r w:rsidR="003B5D54" w:rsidRPr="00641640">
        <w:rPr>
          <w:rFonts w:ascii="Times New Roman" w:hAnsi="Times New Roman" w:cs="Times New Roman"/>
          <w:noProof/>
          <w:sz w:val="24"/>
          <w:szCs w:val="24"/>
          <w:lang w:val="sq-AL"/>
        </w:rPr>
        <w:t>Këto sfida identifikohen si nga vlerësimet e brendshme ndërinstitucionale për progresin e zbatimit të reformës në administratën publike, ashtu edhe b</w:t>
      </w:r>
      <w:r w:rsidR="004A5D17" w:rsidRPr="00641640">
        <w:rPr>
          <w:rFonts w:ascii="Times New Roman" w:hAnsi="Times New Roman" w:cs="Times New Roman"/>
          <w:noProof/>
          <w:sz w:val="24"/>
          <w:szCs w:val="24"/>
          <w:lang w:val="sq-AL"/>
        </w:rPr>
        <w:t xml:space="preserve">azuar në raportet ndërkombëtare, </w:t>
      </w:r>
      <w:r w:rsidR="003B5D54" w:rsidRPr="00641640">
        <w:rPr>
          <w:rFonts w:ascii="Times New Roman" w:hAnsi="Times New Roman" w:cs="Times New Roman"/>
          <w:noProof/>
          <w:sz w:val="24"/>
          <w:szCs w:val="24"/>
          <w:lang w:val="sq-AL"/>
        </w:rPr>
        <w:t xml:space="preserve">ku </w:t>
      </w:r>
      <w:r w:rsidR="003A14BD">
        <w:rPr>
          <w:rFonts w:ascii="Times New Roman" w:hAnsi="Times New Roman" w:cs="Times New Roman"/>
          <w:noProof/>
          <w:sz w:val="24"/>
          <w:szCs w:val="24"/>
          <w:lang w:val="sq-AL"/>
        </w:rPr>
        <w:t>r</w:t>
      </w:r>
      <w:r w:rsidR="003B5D54" w:rsidRPr="00641640">
        <w:rPr>
          <w:rFonts w:ascii="Times New Roman" w:hAnsi="Times New Roman" w:cs="Times New Roman"/>
          <w:noProof/>
          <w:sz w:val="24"/>
          <w:szCs w:val="24"/>
          <w:lang w:val="sq-AL"/>
        </w:rPr>
        <w:t xml:space="preserve">aportet e Komisionit Evropian dhe OECD/SIGMA-s zënë rolin qendror. </w:t>
      </w:r>
    </w:p>
    <w:p w14:paraId="45B6B885" w14:textId="26325774" w:rsidR="00F129F2" w:rsidRPr="00641640" w:rsidRDefault="00F129F2" w:rsidP="003A395D">
      <w:pPr>
        <w:spacing w:line="276" w:lineRule="auto"/>
        <w:jc w:val="both"/>
        <w:rPr>
          <w:rStyle w:val="eop"/>
          <w:rFonts w:ascii="Times New Roman" w:hAnsi="Times New Roman" w:cs="Times New Roman"/>
          <w:noProof/>
          <w:sz w:val="24"/>
          <w:szCs w:val="24"/>
          <w:lang w:val="sq-AL"/>
        </w:rPr>
      </w:pPr>
      <w:r w:rsidRPr="00641640">
        <w:rPr>
          <w:rStyle w:val="eop"/>
          <w:rFonts w:ascii="Times New Roman" w:hAnsi="Times New Roman" w:cs="Times New Roman"/>
          <w:noProof/>
          <w:sz w:val="24"/>
          <w:szCs w:val="24"/>
          <w:lang w:val="sq-AL"/>
        </w:rPr>
        <w:t xml:space="preserve">Sikurse reflektuar edhe më sipër, në përgjithësi strukturat organizative dhe menaxhuese për RAP janë krijuar dhe janë operacionale. Megjithatë, </w:t>
      </w:r>
      <w:r w:rsidR="00B342B3" w:rsidRPr="00641640">
        <w:rPr>
          <w:rStyle w:val="eop"/>
          <w:rFonts w:ascii="Times New Roman" w:hAnsi="Times New Roman" w:cs="Times New Roman"/>
          <w:noProof/>
          <w:sz w:val="24"/>
          <w:szCs w:val="24"/>
          <w:lang w:val="sq-AL"/>
        </w:rPr>
        <w:t>masat e ardhshme duhet të vlerësojnë mundësinë për thjeshtimin dhe rritjen e efikasitetit të arkitekturës</w:t>
      </w:r>
      <w:r w:rsidRPr="00641640">
        <w:rPr>
          <w:rStyle w:val="eop"/>
          <w:rFonts w:ascii="Times New Roman" w:hAnsi="Times New Roman" w:cs="Times New Roman"/>
          <w:noProof/>
          <w:sz w:val="24"/>
          <w:szCs w:val="24"/>
          <w:lang w:val="sq-AL"/>
        </w:rPr>
        <w:t xml:space="preserve"> </w:t>
      </w:r>
      <w:r w:rsidR="00B342B3" w:rsidRPr="00641640">
        <w:rPr>
          <w:rStyle w:val="eop"/>
          <w:rFonts w:ascii="Times New Roman" w:hAnsi="Times New Roman" w:cs="Times New Roman"/>
          <w:noProof/>
          <w:sz w:val="24"/>
          <w:szCs w:val="24"/>
          <w:lang w:val="sq-AL"/>
        </w:rPr>
        <w:t>së</w:t>
      </w:r>
      <w:r w:rsidRPr="00641640">
        <w:rPr>
          <w:rStyle w:val="eop"/>
          <w:rFonts w:ascii="Times New Roman" w:hAnsi="Times New Roman" w:cs="Times New Roman"/>
          <w:noProof/>
          <w:sz w:val="24"/>
          <w:szCs w:val="24"/>
          <w:lang w:val="sq-AL"/>
        </w:rPr>
        <w:t xml:space="preserve"> përgjithshme </w:t>
      </w:r>
      <w:r w:rsidR="00B342B3" w:rsidRPr="00641640">
        <w:rPr>
          <w:rStyle w:val="eop"/>
          <w:rFonts w:ascii="Times New Roman" w:hAnsi="Times New Roman" w:cs="Times New Roman"/>
          <w:noProof/>
          <w:sz w:val="24"/>
          <w:szCs w:val="24"/>
          <w:lang w:val="sq-AL"/>
        </w:rPr>
        <w:t>të</w:t>
      </w:r>
      <w:r w:rsidRPr="00641640">
        <w:rPr>
          <w:rStyle w:val="eop"/>
          <w:rFonts w:ascii="Times New Roman" w:hAnsi="Times New Roman" w:cs="Times New Roman"/>
          <w:noProof/>
          <w:sz w:val="24"/>
          <w:szCs w:val="24"/>
          <w:lang w:val="sq-AL"/>
        </w:rPr>
        <w:t xml:space="preserve"> Grupeve të Menaxhimit të Politikave të Integruara (GMIP) për të koordinuar dhe udhëhequr zbatimin në nivel administrativ të reformës në administr</w:t>
      </w:r>
      <w:r w:rsidR="00B342B3" w:rsidRPr="00641640">
        <w:rPr>
          <w:rStyle w:val="eop"/>
          <w:rFonts w:ascii="Times New Roman" w:hAnsi="Times New Roman" w:cs="Times New Roman"/>
          <w:noProof/>
          <w:sz w:val="24"/>
          <w:szCs w:val="24"/>
          <w:lang w:val="sq-AL"/>
        </w:rPr>
        <w:t>atën publike.</w:t>
      </w:r>
    </w:p>
    <w:p w14:paraId="7CAEB22D" w14:textId="4CC260FC" w:rsidR="00502F6A" w:rsidRPr="00641640" w:rsidRDefault="00502F6A" w:rsidP="003A395D">
      <w:pPr>
        <w:spacing w:before="100" w:beforeAutospacing="1" w:after="100" w:afterAutospacing="1"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lastRenderedPageBreak/>
        <w:t>Një nga prioritetet kryesore është garantimi i një vendimmarrjeje të q</w:t>
      </w:r>
      <w:r w:rsidR="00454649" w:rsidRPr="00641640">
        <w:rPr>
          <w:rFonts w:ascii="Times New Roman" w:eastAsia="Times New Roman" w:hAnsi="Times New Roman" w:cs="Times New Roman"/>
          <w:noProof/>
          <w:sz w:val="24"/>
          <w:szCs w:val="24"/>
          <w:lang w:val="sq-AL"/>
        </w:rPr>
        <w:t>e</w:t>
      </w:r>
      <w:r w:rsidRPr="00641640">
        <w:rPr>
          <w:rFonts w:ascii="Times New Roman" w:eastAsia="Times New Roman" w:hAnsi="Times New Roman" w:cs="Times New Roman"/>
          <w:noProof/>
          <w:sz w:val="24"/>
          <w:szCs w:val="24"/>
          <w:lang w:val="sq-AL"/>
        </w:rPr>
        <w:t>ndrueshme dhe të mirëkoordinuar për zhvillimin e politikave, përmes plotësimit të kuadrit ekzistues ligjor dhe institucional. Ky përmirësim do të mundësojë një cilësi më të lartë në planifikimin dhe zbatimin e politikave në nivel kombëtar.</w:t>
      </w:r>
      <w:r w:rsidR="003E27B5" w:rsidRPr="00641640">
        <w:rPr>
          <w:rFonts w:ascii="Times New Roman" w:eastAsia="Times New Roman" w:hAnsi="Times New Roman" w:cs="Times New Roman"/>
          <w:noProof/>
          <w:sz w:val="24"/>
          <w:szCs w:val="24"/>
          <w:lang w:val="sq-AL"/>
        </w:rPr>
        <w:t xml:space="preserve"> </w:t>
      </w:r>
      <w:r w:rsidRPr="00641640">
        <w:rPr>
          <w:rFonts w:ascii="Times New Roman" w:eastAsia="Times New Roman" w:hAnsi="Times New Roman" w:cs="Times New Roman"/>
          <w:noProof/>
          <w:sz w:val="24"/>
          <w:szCs w:val="24"/>
          <w:lang w:val="sq-AL"/>
        </w:rPr>
        <w:t>Një tjetër objektiv është krijimi i një funksioni të dedikuar për kontrollin e cilësisë, që do të mbështesë përmirësimin e kornizës strategjike dhe zbatimin e dokumenteve ligjore e strategjike të rëndësishme, duke u mbështetur në të dhëna dhe në Vlerësime të Ndikimit Rregullator. Kjo do të lehtësojë harmonizimin e dokumenteve të ndryshme strategjike dhe përafrimin e tyre me standardet evropiane.</w:t>
      </w:r>
    </w:p>
    <w:p w14:paraId="54F671FD" w14:textId="1D6379A5" w:rsidR="00502F6A" w:rsidRPr="00641640" w:rsidRDefault="00502F6A" w:rsidP="003A395D">
      <w:pPr>
        <w:spacing w:before="100" w:beforeAutospacing="1" w:after="100" w:afterAutospacing="1"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Gjithashtu, është thelbësor</w:t>
      </w:r>
      <w:r w:rsidR="003E27B5" w:rsidRPr="00641640">
        <w:rPr>
          <w:rFonts w:ascii="Times New Roman" w:eastAsia="Times New Roman" w:hAnsi="Times New Roman" w:cs="Times New Roman"/>
          <w:noProof/>
          <w:sz w:val="24"/>
          <w:szCs w:val="24"/>
          <w:lang w:val="sq-AL"/>
        </w:rPr>
        <w:t xml:space="preserve"> </w:t>
      </w:r>
      <w:r w:rsidRPr="00641640">
        <w:rPr>
          <w:rFonts w:ascii="Times New Roman" w:eastAsia="Times New Roman" w:hAnsi="Times New Roman" w:cs="Times New Roman"/>
          <w:noProof/>
          <w:sz w:val="24"/>
          <w:szCs w:val="24"/>
          <w:lang w:val="sq-AL"/>
        </w:rPr>
        <w:t>përmirësimi i monitorimit të zbatimit të Planeve të Veprimit të RAP dhe publikimi i raporteve të monitorimit për transparencë dhe akses më të gjerë publik. Për të garantuar efikasitetin në këtë drejtim, riaktivizimi i mekanizmave të koordinimit është një hap vendimtar që do të mbështesë zbatimin efektiv të reformave dhe adresimin e sfidave të reja.</w:t>
      </w:r>
    </w:p>
    <w:p w14:paraId="0D7FEAAE" w14:textId="6A555A3A" w:rsidR="00502F6A" w:rsidRPr="00641640" w:rsidRDefault="00502F6A" w:rsidP="003A395D">
      <w:pPr>
        <w:spacing w:before="100" w:beforeAutospacing="1" w:after="100" w:afterAutospacing="1"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Për një integrim më të thellë të politikave, përmirësimi i koherencës ndërmjet planifikimit strategjik dhe buxhetimit është një objektiv tjetër i rëndësishëm, që do të kontribuojë në një buxhetim të q</w:t>
      </w:r>
      <w:r w:rsidR="009D1C53" w:rsidRPr="00641640">
        <w:rPr>
          <w:rFonts w:ascii="Times New Roman" w:eastAsia="Times New Roman" w:hAnsi="Times New Roman" w:cs="Times New Roman"/>
          <w:noProof/>
          <w:sz w:val="24"/>
          <w:szCs w:val="24"/>
          <w:lang w:val="sq-AL"/>
        </w:rPr>
        <w:t>e</w:t>
      </w:r>
      <w:r w:rsidRPr="00641640">
        <w:rPr>
          <w:rFonts w:ascii="Times New Roman" w:eastAsia="Times New Roman" w:hAnsi="Times New Roman" w:cs="Times New Roman"/>
          <w:noProof/>
          <w:sz w:val="24"/>
          <w:szCs w:val="24"/>
          <w:lang w:val="sq-AL"/>
        </w:rPr>
        <w:t>ndrueshëm dhe në prioritizimin e ndërhyrjeve të RAP. Gjithashtu, përmirësimi i kapaciteteve administrative të ministrive dhe Kryeministrisë për planifikimin dhe monitorimin e politikave mbetet një përparësi për të garantuar një qasje të koordinuar dhe profesionale në procesin e integrimit evropian.</w:t>
      </w:r>
    </w:p>
    <w:p w14:paraId="7F5ABAAC" w14:textId="4AA49131" w:rsidR="00502F6A" w:rsidRPr="00641640" w:rsidRDefault="00502F6A" w:rsidP="003A395D">
      <w:pPr>
        <w:spacing w:before="100" w:beforeAutospacing="1" w:after="100" w:afterAutospacing="1"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Për të përmirësuar më tej efektivitetin e ha</w:t>
      </w:r>
      <w:r w:rsidR="003A172E" w:rsidRPr="00641640">
        <w:rPr>
          <w:rFonts w:ascii="Times New Roman" w:eastAsia="Times New Roman" w:hAnsi="Times New Roman" w:cs="Times New Roman"/>
          <w:noProof/>
          <w:sz w:val="24"/>
          <w:szCs w:val="24"/>
          <w:lang w:val="sq-AL"/>
        </w:rPr>
        <w:t xml:space="preserve">rtimit të legjislacionit të ri, </w:t>
      </w:r>
      <w:r w:rsidRPr="00641640">
        <w:rPr>
          <w:rFonts w:ascii="Times New Roman" w:eastAsia="Times New Roman" w:hAnsi="Times New Roman" w:cs="Times New Roman"/>
          <w:noProof/>
          <w:sz w:val="24"/>
          <w:szCs w:val="24"/>
          <w:lang w:val="sq-AL"/>
        </w:rPr>
        <w:t>adresimi i sfidave teknologjike të Sistemit të Integruar të Planifikimit dhe rritja e cilësisë së Vlerësimit të Ndikimit Rregullator</w:t>
      </w:r>
      <w:r w:rsidR="003E27B5" w:rsidRPr="00641640">
        <w:rPr>
          <w:rFonts w:ascii="Times New Roman" w:eastAsia="Times New Roman" w:hAnsi="Times New Roman" w:cs="Times New Roman"/>
          <w:noProof/>
          <w:sz w:val="24"/>
          <w:szCs w:val="24"/>
          <w:lang w:val="sq-AL"/>
        </w:rPr>
        <w:t xml:space="preserve"> mbetet par</w:t>
      </w:r>
      <w:r w:rsidR="00870DCD" w:rsidRPr="00641640">
        <w:rPr>
          <w:rFonts w:ascii="Times New Roman" w:eastAsia="Times New Roman" w:hAnsi="Times New Roman" w:cs="Times New Roman"/>
          <w:noProof/>
          <w:sz w:val="24"/>
          <w:szCs w:val="24"/>
          <w:lang w:val="sq-AL"/>
        </w:rPr>
        <w:t>ë</w:t>
      </w:r>
      <w:r w:rsidR="003E27B5" w:rsidRPr="00641640">
        <w:rPr>
          <w:rFonts w:ascii="Times New Roman" w:eastAsia="Times New Roman" w:hAnsi="Times New Roman" w:cs="Times New Roman"/>
          <w:noProof/>
          <w:sz w:val="24"/>
          <w:szCs w:val="24"/>
          <w:lang w:val="sq-AL"/>
        </w:rPr>
        <w:t>sor</w:t>
      </w:r>
      <w:r w:rsidRPr="00641640">
        <w:rPr>
          <w:rFonts w:ascii="Times New Roman" w:eastAsia="Times New Roman" w:hAnsi="Times New Roman" w:cs="Times New Roman"/>
          <w:noProof/>
          <w:sz w:val="24"/>
          <w:szCs w:val="24"/>
          <w:lang w:val="sq-AL"/>
        </w:rPr>
        <w:t xml:space="preserve">, </w:t>
      </w:r>
      <w:r w:rsidR="003E27B5" w:rsidRPr="00641640">
        <w:rPr>
          <w:rFonts w:ascii="Times New Roman" w:eastAsia="Times New Roman" w:hAnsi="Times New Roman" w:cs="Times New Roman"/>
          <w:noProof/>
          <w:sz w:val="24"/>
          <w:szCs w:val="24"/>
          <w:lang w:val="sq-AL"/>
        </w:rPr>
        <w:t xml:space="preserve">paralelisht me </w:t>
      </w:r>
      <w:r w:rsidRPr="00641640">
        <w:rPr>
          <w:rFonts w:ascii="Times New Roman" w:eastAsia="Times New Roman" w:hAnsi="Times New Roman" w:cs="Times New Roman"/>
          <w:noProof/>
          <w:sz w:val="24"/>
          <w:szCs w:val="24"/>
          <w:lang w:val="sq-AL"/>
        </w:rPr>
        <w:t>përfshirj</w:t>
      </w:r>
      <w:r w:rsidR="003E27B5" w:rsidRPr="00641640">
        <w:rPr>
          <w:rFonts w:ascii="Times New Roman" w:eastAsia="Times New Roman" w:hAnsi="Times New Roman" w:cs="Times New Roman"/>
          <w:noProof/>
          <w:sz w:val="24"/>
          <w:szCs w:val="24"/>
          <w:lang w:val="sq-AL"/>
        </w:rPr>
        <w:t>en</w:t>
      </w:r>
      <w:r w:rsidRPr="00641640">
        <w:rPr>
          <w:rFonts w:ascii="Times New Roman" w:eastAsia="Times New Roman" w:hAnsi="Times New Roman" w:cs="Times New Roman"/>
          <w:noProof/>
          <w:sz w:val="24"/>
          <w:szCs w:val="24"/>
          <w:lang w:val="sq-AL"/>
        </w:rPr>
        <w:t xml:space="preserve"> më </w:t>
      </w:r>
      <w:r w:rsidR="003E27B5" w:rsidRPr="00641640">
        <w:rPr>
          <w:rFonts w:ascii="Times New Roman" w:eastAsia="Times New Roman" w:hAnsi="Times New Roman" w:cs="Times New Roman"/>
          <w:noProof/>
          <w:sz w:val="24"/>
          <w:szCs w:val="24"/>
          <w:lang w:val="sq-AL"/>
        </w:rPr>
        <w:t>t</w:t>
      </w:r>
      <w:r w:rsidR="00870DCD"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 xml:space="preserve"> gjerë </w:t>
      </w:r>
      <w:r w:rsidR="00A2518C" w:rsidRPr="00641640">
        <w:rPr>
          <w:rFonts w:ascii="Times New Roman" w:eastAsia="Times New Roman" w:hAnsi="Times New Roman" w:cs="Times New Roman"/>
          <w:noProof/>
          <w:sz w:val="24"/>
          <w:szCs w:val="24"/>
          <w:lang w:val="sq-AL"/>
        </w:rPr>
        <w:t>të</w:t>
      </w:r>
      <w:r w:rsidRPr="00641640">
        <w:rPr>
          <w:rFonts w:ascii="Times New Roman" w:eastAsia="Times New Roman" w:hAnsi="Times New Roman" w:cs="Times New Roman"/>
          <w:noProof/>
          <w:sz w:val="24"/>
          <w:szCs w:val="24"/>
          <w:lang w:val="sq-AL"/>
        </w:rPr>
        <w:t xml:space="preserve"> publikut në konsultimet ligjore</w:t>
      </w:r>
      <w:r w:rsidR="003E27B5" w:rsidRPr="00641640">
        <w:rPr>
          <w:rFonts w:ascii="Times New Roman" w:eastAsia="Times New Roman" w:hAnsi="Times New Roman" w:cs="Times New Roman"/>
          <w:noProof/>
          <w:sz w:val="24"/>
          <w:szCs w:val="24"/>
          <w:lang w:val="sq-AL"/>
        </w:rPr>
        <w:t>. K</w:t>
      </w:r>
      <w:r w:rsidR="00870DCD" w:rsidRPr="00641640">
        <w:rPr>
          <w:rFonts w:ascii="Times New Roman" w:eastAsia="Times New Roman" w:hAnsi="Times New Roman" w:cs="Times New Roman"/>
          <w:noProof/>
          <w:sz w:val="24"/>
          <w:szCs w:val="24"/>
          <w:lang w:val="sq-AL"/>
        </w:rPr>
        <w:t>ë</w:t>
      </w:r>
      <w:r w:rsidR="003E27B5" w:rsidRPr="00641640">
        <w:rPr>
          <w:rFonts w:ascii="Times New Roman" w:eastAsia="Times New Roman" w:hAnsi="Times New Roman" w:cs="Times New Roman"/>
          <w:noProof/>
          <w:sz w:val="24"/>
          <w:szCs w:val="24"/>
          <w:lang w:val="sq-AL"/>
        </w:rPr>
        <w:t>to nd</w:t>
      </w:r>
      <w:r w:rsidR="00870DCD" w:rsidRPr="00641640">
        <w:rPr>
          <w:rFonts w:ascii="Times New Roman" w:eastAsia="Times New Roman" w:hAnsi="Times New Roman" w:cs="Times New Roman"/>
          <w:noProof/>
          <w:sz w:val="24"/>
          <w:szCs w:val="24"/>
          <w:lang w:val="sq-AL"/>
        </w:rPr>
        <w:t>ë</w:t>
      </w:r>
      <w:r w:rsidR="003E27B5" w:rsidRPr="00641640">
        <w:rPr>
          <w:rFonts w:ascii="Times New Roman" w:eastAsia="Times New Roman" w:hAnsi="Times New Roman" w:cs="Times New Roman"/>
          <w:noProof/>
          <w:sz w:val="24"/>
          <w:szCs w:val="24"/>
          <w:lang w:val="sq-AL"/>
        </w:rPr>
        <w:t xml:space="preserve">rhyrje </w:t>
      </w:r>
      <w:r w:rsidR="003A172E" w:rsidRPr="00641640">
        <w:rPr>
          <w:rFonts w:ascii="Times New Roman" w:eastAsia="Times New Roman" w:hAnsi="Times New Roman" w:cs="Times New Roman"/>
          <w:noProof/>
          <w:sz w:val="24"/>
          <w:szCs w:val="24"/>
          <w:lang w:val="sq-AL"/>
        </w:rPr>
        <w:t>premtojn</w:t>
      </w:r>
      <w:r w:rsidR="00414343" w:rsidRPr="00641640">
        <w:rPr>
          <w:rFonts w:ascii="Times New Roman" w:eastAsia="Times New Roman" w:hAnsi="Times New Roman" w:cs="Times New Roman"/>
          <w:noProof/>
          <w:sz w:val="24"/>
          <w:szCs w:val="24"/>
          <w:lang w:val="sq-AL"/>
        </w:rPr>
        <w:t>ë</w:t>
      </w:r>
      <w:r w:rsidR="003E27B5" w:rsidRPr="00641640">
        <w:rPr>
          <w:rFonts w:ascii="Times New Roman" w:eastAsia="Times New Roman" w:hAnsi="Times New Roman" w:cs="Times New Roman"/>
          <w:noProof/>
          <w:sz w:val="24"/>
          <w:szCs w:val="24"/>
          <w:lang w:val="sq-AL"/>
        </w:rPr>
        <w:t xml:space="preserve"> t</w:t>
      </w:r>
      <w:r w:rsidR="00870DCD" w:rsidRPr="00641640">
        <w:rPr>
          <w:rFonts w:ascii="Times New Roman" w:eastAsia="Times New Roman" w:hAnsi="Times New Roman" w:cs="Times New Roman"/>
          <w:noProof/>
          <w:sz w:val="24"/>
          <w:szCs w:val="24"/>
          <w:lang w:val="sq-AL"/>
        </w:rPr>
        <w:t>ë</w:t>
      </w:r>
      <w:r w:rsidR="003E27B5" w:rsidRPr="00641640">
        <w:rPr>
          <w:rFonts w:ascii="Times New Roman" w:eastAsia="Times New Roman" w:hAnsi="Times New Roman" w:cs="Times New Roman"/>
          <w:noProof/>
          <w:sz w:val="24"/>
          <w:szCs w:val="24"/>
          <w:lang w:val="sq-AL"/>
        </w:rPr>
        <w:t xml:space="preserve"> avancojn</w:t>
      </w:r>
      <w:r w:rsidR="00870DCD" w:rsidRPr="00641640">
        <w:rPr>
          <w:rFonts w:ascii="Times New Roman" w:eastAsia="Times New Roman" w:hAnsi="Times New Roman" w:cs="Times New Roman"/>
          <w:noProof/>
          <w:sz w:val="24"/>
          <w:szCs w:val="24"/>
          <w:lang w:val="sq-AL"/>
        </w:rPr>
        <w:t>ë</w:t>
      </w:r>
      <w:r w:rsidR="003E27B5" w:rsidRPr="00641640">
        <w:rPr>
          <w:rFonts w:ascii="Times New Roman" w:eastAsia="Times New Roman" w:hAnsi="Times New Roman" w:cs="Times New Roman"/>
          <w:noProof/>
          <w:sz w:val="24"/>
          <w:szCs w:val="24"/>
          <w:lang w:val="sq-AL"/>
        </w:rPr>
        <w:t xml:space="preserve"> </w:t>
      </w:r>
      <w:r w:rsidRPr="00641640">
        <w:rPr>
          <w:rFonts w:ascii="Times New Roman" w:eastAsia="Times New Roman" w:hAnsi="Times New Roman" w:cs="Times New Roman"/>
          <w:noProof/>
          <w:sz w:val="24"/>
          <w:szCs w:val="24"/>
          <w:lang w:val="sq-AL"/>
        </w:rPr>
        <w:t>transparencë</w:t>
      </w:r>
      <w:r w:rsidR="003E27B5" w:rsidRPr="00641640">
        <w:rPr>
          <w:rFonts w:ascii="Times New Roman" w:eastAsia="Times New Roman" w:hAnsi="Times New Roman" w:cs="Times New Roman"/>
          <w:noProof/>
          <w:sz w:val="24"/>
          <w:szCs w:val="24"/>
          <w:lang w:val="sq-AL"/>
        </w:rPr>
        <w:t>n</w:t>
      </w:r>
      <w:r w:rsidRPr="00641640">
        <w:rPr>
          <w:rFonts w:ascii="Times New Roman" w:eastAsia="Times New Roman" w:hAnsi="Times New Roman" w:cs="Times New Roman"/>
          <w:noProof/>
          <w:sz w:val="24"/>
          <w:szCs w:val="24"/>
          <w:lang w:val="sq-AL"/>
        </w:rPr>
        <w:t xml:space="preserve"> dhe cilësi</w:t>
      </w:r>
      <w:r w:rsidR="003E27B5" w:rsidRPr="00641640">
        <w:rPr>
          <w:rFonts w:ascii="Times New Roman" w:eastAsia="Times New Roman" w:hAnsi="Times New Roman" w:cs="Times New Roman"/>
          <w:noProof/>
          <w:sz w:val="24"/>
          <w:szCs w:val="24"/>
          <w:lang w:val="sq-AL"/>
        </w:rPr>
        <w:t>n</w:t>
      </w:r>
      <w:r w:rsidRPr="00641640">
        <w:rPr>
          <w:rFonts w:ascii="Times New Roman" w:eastAsia="Times New Roman" w:hAnsi="Times New Roman" w:cs="Times New Roman"/>
          <w:noProof/>
          <w:sz w:val="24"/>
          <w:szCs w:val="24"/>
          <w:lang w:val="sq-AL"/>
        </w:rPr>
        <w:t xml:space="preserve">ë në vendimmarrje, </w:t>
      </w:r>
      <w:r w:rsidR="003E27B5" w:rsidRPr="00641640">
        <w:rPr>
          <w:rFonts w:ascii="Times New Roman" w:eastAsia="Times New Roman" w:hAnsi="Times New Roman" w:cs="Times New Roman"/>
          <w:noProof/>
          <w:sz w:val="24"/>
          <w:szCs w:val="24"/>
          <w:lang w:val="sq-AL"/>
        </w:rPr>
        <w:t>arsye p</w:t>
      </w:r>
      <w:r w:rsidR="00870DCD" w:rsidRPr="00641640">
        <w:rPr>
          <w:rFonts w:ascii="Times New Roman" w:eastAsia="Times New Roman" w:hAnsi="Times New Roman" w:cs="Times New Roman"/>
          <w:noProof/>
          <w:sz w:val="24"/>
          <w:szCs w:val="24"/>
          <w:lang w:val="sq-AL"/>
        </w:rPr>
        <w:t>ë</w:t>
      </w:r>
      <w:r w:rsidR="003E27B5" w:rsidRPr="00641640">
        <w:rPr>
          <w:rFonts w:ascii="Times New Roman" w:eastAsia="Times New Roman" w:hAnsi="Times New Roman" w:cs="Times New Roman"/>
          <w:noProof/>
          <w:sz w:val="24"/>
          <w:szCs w:val="24"/>
          <w:lang w:val="sq-AL"/>
        </w:rPr>
        <w:t>r t</w:t>
      </w:r>
      <w:r w:rsidR="00870DCD" w:rsidRPr="00641640">
        <w:rPr>
          <w:rFonts w:ascii="Times New Roman" w:eastAsia="Times New Roman" w:hAnsi="Times New Roman" w:cs="Times New Roman"/>
          <w:noProof/>
          <w:sz w:val="24"/>
          <w:szCs w:val="24"/>
          <w:lang w:val="sq-AL"/>
        </w:rPr>
        <w:t>ë</w:t>
      </w:r>
      <w:r w:rsidR="003E27B5" w:rsidRPr="00641640">
        <w:rPr>
          <w:rFonts w:ascii="Times New Roman" w:eastAsia="Times New Roman" w:hAnsi="Times New Roman" w:cs="Times New Roman"/>
          <w:noProof/>
          <w:sz w:val="24"/>
          <w:szCs w:val="24"/>
          <w:lang w:val="sq-AL"/>
        </w:rPr>
        <w:t xml:space="preserve"> cil</w:t>
      </w:r>
      <w:r w:rsidR="00870DCD" w:rsidRPr="00641640">
        <w:rPr>
          <w:rFonts w:ascii="Times New Roman" w:eastAsia="Times New Roman" w:hAnsi="Times New Roman" w:cs="Times New Roman"/>
          <w:noProof/>
          <w:sz w:val="24"/>
          <w:szCs w:val="24"/>
          <w:lang w:val="sq-AL"/>
        </w:rPr>
        <w:t>ë</w:t>
      </w:r>
      <w:r w:rsidR="003E27B5" w:rsidRPr="00641640">
        <w:rPr>
          <w:rFonts w:ascii="Times New Roman" w:eastAsia="Times New Roman" w:hAnsi="Times New Roman" w:cs="Times New Roman"/>
          <w:noProof/>
          <w:sz w:val="24"/>
          <w:szCs w:val="24"/>
          <w:lang w:val="sq-AL"/>
        </w:rPr>
        <w:t>n p</w:t>
      </w:r>
      <w:r w:rsidR="00870DCD" w:rsidRPr="00641640">
        <w:rPr>
          <w:rFonts w:ascii="Times New Roman" w:eastAsia="Times New Roman" w:hAnsi="Times New Roman" w:cs="Times New Roman"/>
          <w:noProof/>
          <w:sz w:val="24"/>
          <w:szCs w:val="24"/>
          <w:lang w:val="sq-AL"/>
        </w:rPr>
        <w:t>ë</w:t>
      </w:r>
      <w:r w:rsidR="003E27B5" w:rsidRPr="00641640">
        <w:rPr>
          <w:rFonts w:ascii="Times New Roman" w:eastAsia="Times New Roman" w:hAnsi="Times New Roman" w:cs="Times New Roman"/>
          <w:noProof/>
          <w:sz w:val="24"/>
          <w:szCs w:val="24"/>
          <w:lang w:val="sq-AL"/>
        </w:rPr>
        <w:t>rpjekjet do t</w:t>
      </w:r>
      <w:r w:rsidR="00870DCD" w:rsidRPr="00641640">
        <w:rPr>
          <w:rFonts w:ascii="Times New Roman" w:eastAsia="Times New Roman" w:hAnsi="Times New Roman" w:cs="Times New Roman"/>
          <w:noProof/>
          <w:sz w:val="24"/>
          <w:szCs w:val="24"/>
          <w:lang w:val="sq-AL"/>
        </w:rPr>
        <w:t>ë</w:t>
      </w:r>
      <w:r w:rsidR="003E27B5" w:rsidRPr="00641640">
        <w:rPr>
          <w:rFonts w:ascii="Times New Roman" w:eastAsia="Times New Roman" w:hAnsi="Times New Roman" w:cs="Times New Roman"/>
          <w:noProof/>
          <w:sz w:val="24"/>
          <w:szCs w:val="24"/>
          <w:lang w:val="sq-AL"/>
        </w:rPr>
        <w:t xml:space="preserve"> p</w:t>
      </w:r>
      <w:r w:rsidR="00870DCD" w:rsidRPr="00641640">
        <w:rPr>
          <w:rFonts w:ascii="Times New Roman" w:eastAsia="Times New Roman" w:hAnsi="Times New Roman" w:cs="Times New Roman"/>
          <w:noProof/>
          <w:sz w:val="24"/>
          <w:szCs w:val="24"/>
          <w:lang w:val="sq-AL"/>
        </w:rPr>
        <w:t>ë</w:t>
      </w:r>
      <w:r w:rsidR="003E27B5" w:rsidRPr="00641640">
        <w:rPr>
          <w:rFonts w:ascii="Times New Roman" w:eastAsia="Times New Roman" w:hAnsi="Times New Roman" w:cs="Times New Roman"/>
          <w:noProof/>
          <w:sz w:val="24"/>
          <w:szCs w:val="24"/>
          <w:lang w:val="sq-AL"/>
        </w:rPr>
        <w:t>rqendrohen veçan</w:t>
      </w:r>
      <w:r w:rsidR="00870DCD" w:rsidRPr="00641640">
        <w:rPr>
          <w:rFonts w:ascii="Times New Roman" w:eastAsia="Times New Roman" w:hAnsi="Times New Roman" w:cs="Times New Roman"/>
          <w:noProof/>
          <w:sz w:val="24"/>
          <w:szCs w:val="24"/>
          <w:lang w:val="sq-AL"/>
        </w:rPr>
        <w:t>ë</w:t>
      </w:r>
      <w:r w:rsidR="003E27B5" w:rsidRPr="00641640">
        <w:rPr>
          <w:rFonts w:ascii="Times New Roman" w:eastAsia="Times New Roman" w:hAnsi="Times New Roman" w:cs="Times New Roman"/>
          <w:noProof/>
          <w:sz w:val="24"/>
          <w:szCs w:val="24"/>
          <w:lang w:val="sq-AL"/>
        </w:rPr>
        <w:t>risht n</w:t>
      </w:r>
      <w:r w:rsidR="00870DCD" w:rsidRPr="00641640">
        <w:rPr>
          <w:rFonts w:ascii="Times New Roman" w:eastAsia="Times New Roman" w:hAnsi="Times New Roman" w:cs="Times New Roman"/>
          <w:noProof/>
          <w:sz w:val="24"/>
          <w:szCs w:val="24"/>
          <w:lang w:val="sq-AL"/>
        </w:rPr>
        <w:t>ë</w:t>
      </w:r>
      <w:r w:rsidR="003E27B5" w:rsidRPr="00641640">
        <w:rPr>
          <w:rFonts w:ascii="Times New Roman" w:eastAsia="Times New Roman" w:hAnsi="Times New Roman" w:cs="Times New Roman"/>
          <w:noProof/>
          <w:sz w:val="24"/>
          <w:szCs w:val="24"/>
          <w:lang w:val="sq-AL"/>
        </w:rPr>
        <w:t xml:space="preserve"> rritjen</w:t>
      </w:r>
      <w:r w:rsidRPr="00641640">
        <w:rPr>
          <w:rFonts w:ascii="Times New Roman" w:eastAsia="Times New Roman" w:hAnsi="Times New Roman" w:cs="Times New Roman"/>
          <w:noProof/>
          <w:sz w:val="24"/>
          <w:szCs w:val="24"/>
          <w:lang w:val="sq-AL"/>
        </w:rPr>
        <w:t xml:space="preserve"> e përqindjes së akteve ligjore që kalojnë në konsultim publik dhe përmirësimi</w:t>
      </w:r>
      <w:r w:rsidR="003E27B5" w:rsidRPr="00641640">
        <w:rPr>
          <w:rFonts w:ascii="Times New Roman" w:eastAsia="Times New Roman" w:hAnsi="Times New Roman" w:cs="Times New Roman"/>
          <w:noProof/>
          <w:sz w:val="24"/>
          <w:szCs w:val="24"/>
          <w:lang w:val="sq-AL"/>
        </w:rPr>
        <w:t>n e</w:t>
      </w:r>
      <w:r w:rsidRPr="00641640">
        <w:rPr>
          <w:rFonts w:ascii="Times New Roman" w:eastAsia="Times New Roman" w:hAnsi="Times New Roman" w:cs="Times New Roman"/>
          <w:noProof/>
          <w:sz w:val="24"/>
          <w:szCs w:val="24"/>
          <w:lang w:val="sq-AL"/>
        </w:rPr>
        <w:t xml:space="preserve"> procesit të konsultimeve me aktorët e interesuar.</w:t>
      </w:r>
    </w:p>
    <w:p w14:paraId="09AF20C2" w14:textId="1955C0DD" w:rsidR="00601AB5" w:rsidRPr="00641640" w:rsidRDefault="00502F6A" w:rsidP="003A395D">
      <w:pPr>
        <w:spacing w:before="100" w:beforeAutospacing="1" w:after="100" w:afterAutospacing="1"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 xml:space="preserve">Në përmbushjen e këtyre sfidave, </w:t>
      </w:r>
      <w:r w:rsidR="003E27B5" w:rsidRPr="00641640">
        <w:rPr>
          <w:rFonts w:ascii="Times New Roman" w:eastAsia="Times New Roman" w:hAnsi="Times New Roman" w:cs="Times New Roman"/>
          <w:noProof/>
          <w:sz w:val="24"/>
          <w:szCs w:val="24"/>
          <w:lang w:val="sq-AL"/>
        </w:rPr>
        <w:t xml:space="preserve">synimi madhor </w:t>
      </w:r>
      <w:r w:rsidR="00870DCD" w:rsidRPr="00641640">
        <w:rPr>
          <w:rFonts w:ascii="Times New Roman" w:eastAsia="Times New Roman" w:hAnsi="Times New Roman" w:cs="Times New Roman"/>
          <w:noProof/>
          <w:sz w:val="24"/>
          <w:szCs w:val="24"/>
          <w:lang w:val="sq-AL"/>
        </w:rPr>
        <w:t>ë</w:t>
      </w:r>
      <w:r w:rsidR="003E27B5" w:rsidRPr="00641640">
        <w:rPr>
          <w:rFonts w:ascii="Times New Roman" w:eastAsia="Times New Roman" w:hAnsi="Times New Roman" w:cs="Times New Roman"/>
          <w:noProof/>
          <w:sz w:val="24"/>
          <w:szCs w:val="24"/>
          <w:lang w:val="sq-AL"/>
        </w:rPr>
        <w:t>sht</w:t>
      </w:r>
      <w:r w:rsidR="00870DCD" w:rsidRPr="00641640">
        <w:rPr>
          <w:rFonts w:ascii="Times New Roman" w:eastAsia="Times New Roman" w:hAnsi="Times New Roman" w:cs="Times New Roman"/>
          <w:noProof/>
          <w:sz w:val="24"/>
          <w:szCs w:val="24"/>
          <w:lang w:val="sq-AL"/>
        </w:rPr>
        <w:t>ë</w:t>
      </w:r>
      <w:r w:rsidR="003E27B5" w:rsidRPr="00641640">
        <w:rPr>
          <w:rFonts w:ascii="Times New Roman" w:eastAsia="Times New Roman" w:hAnsi="Times New Roman" w:cs="Times New Roman"/>
          <w:noProof/>
          <w:sz w:val="24"/>
          <w:szCs w:val="24"/>
          <w:lang w:val="sq-AL"/>
        </w:rPr>
        <w:t xml:space="preserve"> garantimi i</w:t>
      </w:r>
      <w:r w:rsidRPr="00641640">
        <w:rPr>
          <w:rFonts w:ascii="Times New Roman" w:eastAsia="Times New Roman" w:hAnsi="Times New Roman" w:cs="Times New Roman"/>
          <w:noProof/>
          <w:sz w:val="24"/>
          <w:szCs w:val="24"/>
          <w:lang w:val="sq-AL"/>
        </w:rPr>
        <w:t xml:space="preserve"> një qasje</w:t>
      </w:r>
      <w:r w:rsidR="003E27B5" w:rsidRPr="00641640">
        <w:rPr>
          <w:rFonts w:ascii="Times New Roman" w:eastAsia="Times New Roman" w:hAnsi="Times New Roman" w:cs="Times New Roman"/>
          <w:noProof/>
          <w:sz w:val="24"/>
          <w:szCs w:val="24"/>
          <w:lang w:val="sq-AL"/>
        </w:rPr>
        <w:t>je</w:t>
      </w:r>
      <w:r w:rsidRPr="00641640">
        <w:rPr>
          <w:rFonts w:ascii="Times New Roman" w:eastAsia="Times New Roman" w:hAnsi="Times New Roman" w:cs="Times New Roman"/>
          <w:noProof/>
          <w:sz w:val="24"/>
          <w:szCs w:val="24"/>
          <w:lang w:val="sq-AL"/>
        </w:rPr>
        <w:t xml:space="preserve"> të hapur dhe gjithëpërfshirëse, duke përmirësuar komunikimin me qytetarët dhe garantuar transparencën në vendimmarrjen e qeverisë.</w:t>
      </w:r>
    </w:p>
    <w:p w14:paraId="3CF1001B" w14:textId="77777777" w:rsidR="000200AA" w:rsidRPr="00641640" w:rsidRDefault="000200AA" w:rsidP="003A395D">
      <w:pPr>
        <w:spacing w:before="100" w:beforeAutospacing="1" w:after="0" w:line="276" w:lineRule="auto"/>
        <w:jc w:val="both"/>
        <w:rPr>
          <w:rFonts w:ascii="Times New Roman" w:eastAsia="Times New Roman" w:hAnsi="Times New Roman" w:cs="Times New Roman"/>
          <w:noProof/>
          <w:sz w:val="24"/>
          <w:szCs w:val="24"/>
          <w:lang w:val="sq-AL"/>
        </w:rPr>
      </w:pPr>
    </w:p>
    <w:p w14:paraId="0E13A72C" w14:textId="13BBDC49" w:rsidR="00E45EA0" w:rsidRPr="00641640" w:rsidRDefault="00BA0FA4" w:rsidP="003A395D">
      <w:pPr>
        <w:pStyle w:val="Heading2"/>
        <w:spacing w:line="276" w:lineRule="auto"/>
        <w:rPr>
          <w:rFonts w:ascii="Times New Roman" w:hAnsi="Times New Roman" w:cs="Times New Roman"/>
          <w:b/>
          <w:bCs/>
          <w:noProof/>
          <w:color w:val="C45911" w:themeColor="accent2" w:themeShade="BF"/>
          <w:sz w:val="24"/>
          <w:szCs w:val="24"/>
          <w:lang w:val="sq-AL"/>
        </w:rPr>
      </w:pPr>
      <w:bookmarkStart w:id="19" w:name="_Toc189510619"/>
      <w:r w:rsidRPr="00641640">
        <w:rPr>
          <w:rFonts w:ascii="Times New Roman" w:hAnsi="Times New Roman" w:cs="Times New Roman"/>
          <w:b/>
          <w:bCs/>
          <w:noProof/>
          <w:color w:val="C45911" w:themeColor="accent2" w:themeShade="BF"/>
          <w:sz w:val="24"/>
          <w:szCs w:val="24"/>
          <w:lang w:val="sq-AL"/>
        </w:rPr>
        <w:t xml:space="preserve">2.2 </w:t>
      </w:r>
      <w:r w:rsidR="00653240" w:rsidRPr="00641640">
        <w:rPr>
          <w:rFonts w:ascii="Times New Roman" w:hAnsi="Times New Roman" w:cs="Times New Roman"/>
          <w:b/>
          <w:bCs/>
          <w:noProof/>
          <w:color w:val="C45911" w:themeColor="accent2" w:themeShade="BF"/>
          <w:sz w:val="24"/>
          <w:szCs w:val="24"/>
          <w:lang w:val="sq-AL"/>
        </w:rPr>
        <w:t>Arritjet dhe sfidat</w:t>
      </w:r>
      <w:r w:rsidR="00C33CC1" w:rsidRPr="00641640">
        <w:rPr>
          <w:rFonts w:ascii="Times New Roman" w:hAnsi="Times New Roman" w:cs="Times New Roman"/>
          <w:b/>
          <w:bCs/>
          <w:noProof/>
          <w:color w:val="C45911" w:themeColor="accent2" w:themeShade="BF"/>
          <w:sz w:val="24"/>
          <w:szCs w:val="24"/>
          <w:lang w:val="sq-AL"/>
        </w:rPr>
        <w:t xml:space="preserve"> në s</w:t>
      </w:r>
      <w:r w:rsidR="00E45EA0" w:rsidRPr="00641640">
        <w:rPr>
          <w:rFonts w:ascii="Times New Roman" w:hAnsi="Times New Roman" w:cs="Times New Roman"/>
          <w:b/>
          <w:bCs/>
          <w:noProof/>
          <w:color w:val="C45911" w:themeColor="accent2" w:themeShade="BF"/>
          <w:sz w:val="24"/>
          <w:szCs w:val="24"/>
          <w:lang w:val="sq-AL"/>
        </w:rPr>
        <w:t>hërbimi</w:t>
      </w:r>
      <w:r w:rsidR="00C33CC1" w:rsidRPr="00641640">
        <w:rPr>
          <w:rFonts w:ascii="Times New Roman" w:hAnsi="Times New Roman" w:cs="Times New Roman"/>
          <w:b/>
          <w:bCs/>
          <w:noProof/>
          <w:color w:val="C45911" w:themeColor="accent2" w:themeShade="BF"/>
          <w:sz w:val="24"/>
          <w:szCs w:val="24"/>
          <w:lang w:val="sq-AL"/>
        </w:rPr>
        <w:t>n</w:t>
      </w:r>
      <w:r w:rsidR="00E45EA0" w:rsidRPr="00641640">
        <w:rPr>
          <w:rFonts w:ascii="Times New Roman" w:hAnsi="Times New Roman" w:cs="Times New Roman"/>
          <w:b/>
          <w:bCs/>
          <w:noProof/>
          <w:color w:val="C45911" w:themeColor="accent2" w:themeShade="BF"/>
          <w:sz w:val="24"/>
          <w:szCs w:val="24"/>
          <w:lang w:val="sq-AL"/>
        </w:rPr>
        <w:t xml:space="preserve"> civil dhe m</w:t>
      </w:r>
      <w:r w:rsidR="008C7934" w:rsidRPr="00641640">
        <w:rPr>
          <w:rFonts w:ascii="Times New Roman" w:hAnsi="Times New Roman" w:cs="Times New Roman"/>
          <w:b/>
          <w:bCs/>
          <w:noProof/>
          <w:color w:val="C45911" w:themeColor="accent2" w:themeShade="BF"/>
          <w:sz w:val="24"/>
          <w:szCs w:val="24"/>
          <w:lang w:val="sq-AL"/>
        </w:rPr>
        <w:t>e</w:t>
      </w:r>
      <w:r w:rsidR="00E45EA0" w:rsidRPr="00641640">
        <w:rPr>
          <w:rFonts w:ascii="Times New Roman" w:hAnsi="Times New Roman" w:cs="Times New Roman"/>
          <w:b/>
          <w:bCs/>
          <w:noProof/>
          <w:color w:val="C45911" w:themeColor="accent2" w:themeShade="BF"/>
          <w:sz w:val="24"/>
          <w:szCs w:val="24"/>
          <w:lang w:val="sq-AL"/>
        </w:rPr>
        <w:t>naxhimi</w:t>
      </w:r>
      <w:r w:rsidR="00C33CC1" w:rsidRPr="00641640">
        <w:rPr>
          <w:rFonts w:ascii="Times New Roman" w:hAnsi="Times New Roman" w:cs="Times New Roman"/>
          <w:b/>
          <w:bCs/>
          <w:noProof/>
          <w:color w:val="C45911" w:themeColor="accent2" w:themeShade="BF"/>
          <w:sz w:val="24"/>
          <w:szCs w:val="24"/>
          <w:lang w:val="sq-AL"/>
        </w:rPr>
        <w:t>n</w:t>
      </w:r>
      <w:r w:rsidR="00E45EA0" w:rsidRPr="00641640">
        <w:rPr>
          <w:rFonts w:ascii="Times New Roman" w:hAnsi="Times New Roman" w:cs="Times New Roman"/>
          <w:b/>
          <w:bCs/>
          <w:noProof/>
          <w:color w:val="C45911" w:themeColor="accent2" w:themeShade="BF"/>
          <w:sz w:val="24"/>
          <w:szCs w:val="24"/>
          <w:lang w:val="sq-AL"/>
        </w:rPr>
        <w:t xml:space="preserve"> </w:t>
      </w:r>
      <w:r w:rsidR="00C33CC1" w:rsidRPr="00641640">
        <w:rPr>
          <w:rFonts w:ascii="Times New Roman" w:hAnsi="Times New Roman" w:cs="Times New Roman"/>
          <w:b/>
          <w:bCs/>
          <w:noProof/>
          <w:color w:val="C45911" w:themeColor="accent2" w:themeShade="BF"/>
          <w:sz w:val="24"/>
          <w:szCs w:val="24"/>
          <w:lang w:val="sq-AL"/>
        </w:rPr>
        <w:t>e</w:t>
      </w:r>
      <w:r w:rsidR="00E45EA0" w:rsidRPr="00641640">
        <w:rPr>
          <w:rFonts w:ascii="Times New Roman" w:hAnsi="Times New Roman" w:cs="Times New Roman"/>
          <w:b/>
          <w:bCs/>
          <w:noProof/>
          <w:color w:val="C45911" w:themeColor="accent2" w:themeShade="BF"/>
          <w:sz w:val="24"/>
          <w:szCs w:val="24"/>
          <w:lang w:val="sq-AL"/>
        </w:rPr>
        <w:t xml:space="preserve"> burimeve njerëzore</w:t>
      </w:r>
      <w:bookmarkEnd w:id="19"/>
    </w:p>
    <w:p w14:paraId="250813D9" w14:textId="1D9D024B" w:rsidR="00BB4EA8" w:rsidRPr="00641640" w:rsidRDefault="00966B03" w:rsidP="003A395D">
      <w:pPr>
        <w:tabs>
          <w:tab w:val="left" w:pos="2023"/>
        </w:tabs>
        <w:spacing w:after="0" w:line="276" w:lineRule="auto"/>
        <w:jc w:val="both"/>
        <w:rPr>
          <w:rFonts w:ascii="Times New Roman" w:hAnsi="Times New Roman" w:cs="Times New Roman"/>
          <w:noProof/>
          <w:sz w:val="24"/>
          <w:szCs w:val="24"/>
          <w:lang w:val="sq-AL"/>
        </w:rPr>
      </w:pPr>
      <w:r>
        <w:rPr>
          <w:rFonts w:ascii="Times New Roman" w:hAnsi="Times New Roman" w:cs="Times New Roman"/>
          <w:noProof/>
          <w:sz w:val="24"/>
          <w:szCs w:val="24"/>
          <w:lang w:val="sq-AL"/>
        </w:rPr>
        <w:t xml:space="preserve"> </w:t>
      </w:r>
    </w:p>
    <w:p w14:paraId="1A6E96DC" w14:textId="6FBBC414" w:rsidR="006E021E" w:rsidRPr="00641640" w:rsidRDefault="00D34359"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Fillimi i zbatimit të Strategjisë Ndërsektoriale për RAP 2015-2022 përkoi </w:t>
      </w:r>
      <w:r w:rsidR="00214BDC" w:rsidRPr="00641640">
        <w:rPr>
          <w:rFonts w:ascii="Times New Roman" w:hAnsi="Times New Roman" w:cs="Times New Roman"/>
          <w:noProof/>
          <w:sz w:val="24"/>
          <w:szCs w:val="24"/>
          <w:lang w:val="sq-AL"/>
        </w:rPr>
        <w:t xml:space="preserve">pothuajse </w:t>
      </w:r>
      <w:r w:rsidRPr="00641640">
        <w:rPr>
          <w:rFonts w:ascii="Times New Roman" w:hAnsi="Times New Roman" w:cs="Times New Roman"/>
          <w:noProof/>
          <w:sz w:val="24"/>
          <w:szCs w:val="24"/>
          <w:lang w:val="sq-AL"/>
        </w:rPr>
        <w:t xml:space="preserve">me </w:t>
      </w:r>
      <w:r w:rsidR="00C4466F" w:rsidRPr="00641640">
        <w:rPr>
          <w:rFonts w:ascii="Times New Roman" w:hAnsi="Times New Roman" w:cs="Times New Roman"/>
          <w:noProof/>
          <w:sz w:val="24"/>
          <w:szCs w:val="24"/>
          <w:lang w:val="sq-AL"/>
        </w:rPr>
        <w:t>hyrjen n</w:t>
      </w:r>
      <w:r w:rsidR="00B81F4F" w:rsidRPr="00641640">
        <w:rPr>
          <w:rFonts w:ascii="Times New Roman" w:hAnsi="Times New Roman" w:cs="Times New Roman"/>
          <w:noProof/>
          <w:sz w:val="24"/>
          <w:szCs w:val="24"/>
          <w:lang w:val="sq-AL"/>
        </w:rPr>
        <w:t>ë</w:t>
      </w:r>
      <w:r w:rsidR="00C4466F" w:rsidRPr="00641640">
        <w:rPr>
          <w:rFonts w:ascii="Times New Roman" w:hAnsi="Times New Roman" w:cs="Times New Roman"/>
          <w:noProof/>
          <w:sz w:val="24"/>
          <w:szCs w:val="24"/>
          <w:lang w:val="sq-AL"/>
        </w:rPr>
        <w:t xml:space="preserve"> fuqi </w:t>
      </w:r>
      <w:r w:rsidRPr="00641640">
        <w:rPr>
          <w:rFonts w:ascii="Times New Roman" w:hAnsi="Times New Roman" w:cs="Times New Roman"/>
          <w:noProof/>
          <w:sz w:val="24"/>
          <w:szCs w:val="24"/>
          <w:lang w:val="sq-AL"/>
        </w:rPr>
        <w:t xml:space="preserve">të legjislacionit të shërbimit civil </w:t>
      </w:r>
      <w:r w:rsidR="003B5D54" w:rsidRPr="00641640">
        <w:rPr>
          <w:rFonts w:ascii="Times New Roman" w:hAnsi="Times New Roman" w:cs="Times New Roman"/>
          <w:noProof/>
          <w:sz w:val="24"/>
          <w:szCs w:val="24"/>
          <w:lang w:val="sq-AL"/>
        </w:rPr>
        <w:t xml:space="preserve">i cili </w:t>
      </w:r>
      <w:r w:rsidRPr="00641640">
        <w:rPr>
          <w:rFonts w:ascii="Times New Roman" w:hAnsi="Times New Roman" w:cs="Times New Roman"/>
          <w:noProof/>
          <w:sz w:val="24"/>
          <w:szCs w:val="24"/>
          <w:lang w:val="sq-AL"/>
        </w:rPr>
        <w:t xml:space="preserve">është </w:t>
      </w:r>
      <w:r w:rsidR="003B5D54" w:rsidRPr="00641640">
        <w:rPr>
          <w:rFonts w:ascii="Times New Roman" w:hAnsi="Times New Roman" w:cs="Times New Roman"/>
          <w:noProof/>
          <w:sz w:val="24"/>
          <w:szCs w:val="24"/>
          <w:lang w:val="sq-AL"/>
        </w:rPr>
        <w:t xml:space="preserve">ende </w:t>
      </w:r>
      <w:r w:rsidRPr="00641640">
        <w:rPr>
          <w:rFonts w:ascii="Times New Roman" w:hAnsi="Times New Roman" w:cs="Times New Roman"/>
          <w:noProof/>
          <w:sz w:val="24"/>
          <w:szCs w:val="24"/>
          <w:lang w:val="sq-AL"/>
        </w:rPr>
        <w:t>në fuqi. Zbatimi i këtij legjislacioni</w:t>
      </w:r>
      <w:r w:rsidR="003B5D54" w:rsidRPr="00641640">
        <w:rPr>
          <w:rFonts w:ascii="Times New Roman" w:hAnsi="Times New Roman" w:cs="Times New Roman"/>
          <w:noProof/>
          <w:sz w:val="24"/>
          <w:szCs w:val="24"/>
          <w:lang w:val="sq-AL"/>
        </w:rPr>
        <w:t xml:space="preserve"> q</w:t>
      </w:r>
      <w:r w:rsidR="00B81F4F" w:rsidRPr="00641640">
        <w:rPr>
          <w:rFonts w:ascii="Times New Roman" w:hAnsi="Times New Roman" w:cs="Times New Roman"/>
          <w:noProof/>
          <w:sz w:val="24"/>
          <w:szCs w:val="24"/>
          <w:lang w:val="sq-AL"/>
        </w:rPr>
        <w:t>ë</w:t>
      </w:r>
      <w:r w:rsidR="003B5D54" w:rsidRPr="00641640">
        <w:rPr>
          <w:rFonts w:ascii="Times New Roman" w:hAnsi="Times New Roman" w:cs="Times New Roman"/>
          <w:noProof/>
          <w:sz w:val="24"/>
          <w:szCs w:val="24"/>
          <w:lang w:val="sq-AL"/>
        </w:rPr>
        <w:t xml:space="preserve"> solli ndryshime thelb</w:t>
      </w:r>
      <w:r w:rsidR="00B81F4F" w:rsidRPr="00641640">
        <w:rPr>
          <w:rFonts w:ascii="Times New Roman" w:hAnsi="Times New Roman" w:cs="Times New Roman"/>
          <w:noProof/>
          <w:sz w:val="24"/>
          <w:szCs w:val="24"/>
          <w:lang w:val="sq-AL"/>
        </w:rPr>
        <w:t>ë</w:t>
      </w:r>
      <w:r w:rsidR="003B5D54" w:rsidRPr="00641640">
        <w:rPr>
          <w:rFonts w:ascii="Times New Roman" w:hAnsi="Times New Roman" w:cs="Times New Roman"/>
          <w:noProof/>
          <w:sz w:val="24"/>
          <w:szCs w:val="24"/>
          <w:lang w:val="sq-AL"/>
        </w:rPr>
        <w:t>sore n</w:t>
      </w:r>
      <w:r w:rsidR="00B81F4F" w:rsidRPr="00641640">
        <w:rPr>
          <w:rFonts w:ascii="Times New Roman" w:hAnsi="Times New Roman" w:cs="Times New Roman"/>
          <w:noProof/>
          <w:sz w:val="24"/>
          <w:szCs w:val="24"/>
          <w:lang w:val="sq-AL"/>
        </w:rPr>
        <w:t>ë</w:t>
      </w:r>
      <w:r w:rsidR="003B5D54"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sistemin e shërbimit civil, </w:t>
      </w:r>
      <w:r w:rsidR="003B5D54" w:rsidRPr="00641640">
        <w:rPr>
          <w:rFonts w:ascii="Times New Roman" w:hAnsi="Times New Roman" w:cs="Times New Roman"/>
          <w:noProof/>
          <w:sz w:val="24"/>
          <w:szCs w:val="24"/>
          <w:lang w:val="sq-AL"/>
        </w:rPr>
        <w:t>u shoq</w:t>
      </w:r>
      <w:r w:rsidR="00B81F4F" w:rsidRPr="00641640">
        <w:rPr>
          <w:rFonts w:ascii="Times New Roman" w:hAnsi="Times New Roman" w:cs="Times New Roman"/>
          <w:noProof/>
          <w:sz w:val="24"/>
          <w:szCs w:val="24"/>
          <w:lang w:val="sq-AL"/>
        </w:rPr>
        <w:t>ë</w:t>
      </w:r>
      <w:r w:rsidR="003B5D54" w:rsidRPr="00641640">
        <w:rPr>
          <w:rFonts w:ascii="Times New Roman" w:hAnsi="Times New Roman" w:cs="Times New Roman"/>
          <w:noProof/>
          <w:sz w:val="24"/>
          <w:szCs w:val="24"/>
          <w:lang w:val="sq-AL"/>
        </w:rPr>
        <w:t xml:space="preserve">rua me </w:t>
      </w:r>
      <w:r w:rsidRPr="00641640">
        <w:rPr>
          <w:rFonts w:ascii="Times New Roman" w:hAnsi="Times New Roman" w:cs="Times New Roman"/>
          <w:noProof/>
          <w:sz w:val="24"/>
          <w:szCs w:val="24"/>
          <w:lang w:val="sq-AL"/>
        </w:rPr>
        <w:t xml:space="preserve">sfida të </w:t>
      </w:r>
      <w:r w:rsidR="00EC1D9D" w:rsidRPr="00641640">
        <w:rPr>
          <w:rFonts w:ascii="Times New Roman" w:hAnsi="Times New Roman" w:cs="Times New Roman"/>
          <w:noProof/>
          <w:sz w:val="24"/>
          <w:szCs w:val="24"/>
          <w:lang w:val="sq-AL"/>
        </w:rPr>
        <w:t>lidhura me</w:t>
      </w:r>
      <w:r w:rsidRPr="00641640">
        <w:rPr>
          <w:rFonts w:ascii="Times New Roman" w:hAnsi="Times New Roman" w:cs="Times New Roman"/>
          <w:noProof/>
          <w:sz w:val="24"/>
          <w:szCs w:val="24"/>
          <w:lang w:val="sq-AL"/>
        </w:rPr>
        <w:t xml:space="preserve"> krijimi</w:t>
      </w:r>
      <w:r w:rsidR="00C4466F" w:rsidRPr="00641640">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 xml:space="preserve"> dhe konsolidimi</w:t>
      </w:r>
      <w:r w:rsidR="00C4466F" w:rsidRPr="00641640">
        <w:rPr>
          <w:rFonts w:ascii="Times New Roman" w:hAnsi="Times New Roman" w:cs="Times New Roman"/>
          <w:noProof/>
          <w:sz w:val="24"/>
          <w:szCs w:val="24"/>
          <w:lang w:val="sq-AL"/>
        </w:rPr>
        <w:t>n e</w:t>
      </w:r>
      <w:r w:rsidRPr="00641640">
        <w:rPr>
          <w:rFonts w:ascii="Times New Roman" w:hAnsi="Times New Roman" w:cs="Times New Roman"/>
          <w:noProof/>
          <w:sz w:val="24"/>
          <w:szCs w:val="24"/>
          <w:lang w:val="sq-AL"/>
        </w:rPr>
        <w:t xml:space="preserve"> praktikave administrative </w:t>
      </w:r>
      <w:r w:rsidR="003B5D54" w:rsidRPr="00641640">
        <w:rPr>
          <w:rFonts w:ascii="Times New Roman" w:hAnsi="Times New Roman" w:cs="Times New Roman"/>
          <w:noProof/>
          <w:sz w:val="24"/>
          <w:szCs w:val="24"/>
          <w:lang w:val="sq-AL"/>
        </w:rPr>
        <w:t>p</w:t>
      </w:r>
      <w:r w:rsidR="00B81F4F" w:rsidRPr="00641640">
        <w:rPr>
          <w:rFonts w:ascii="Times New Roman" w:hAnsi="Times New Roman" w:cs="Times New Roman"/>
          <w:noProof/>
          <w:sz w:val="24"/>
          <w:szCs w:val="24"/>
          <w:lang w:val="sq-AL"/>
        </w:rPr>
        <w:t>ë</w:t>
      </w:r>
      <w:r w:rsidR="003B5D54" w:rsidRPr="00641640">
        <w:rPr>
          <w:rFonts w:ascii="Times New Roman" w:hAnsi="Times New Roman" w:cs="Times New Roman"/>
          <w:noProof/>
          <w:sz w:val="24"/>
          <w:szCs w:val="24"/>
          <w:lang w:val="sq-AL"/>
        </w:rPr>
        <w:t>r</w:t>
      </w:r>
      <w:r w:rsidR="007D6BC9" w:rsidRPr="00641640">
        <w:rPr>
          <w:rFonts w:ascii="Times New Roman" w:hAnsi="Times New Roman" w:cs="Times New Roman"/>
          <w:noProof/>
          <w:sz w:val="24"/>
          <w:szCs w:val="24"/>
          <w:lang w:val="sq-AL"/>
        </w:rPr>
        <w:t xml:space="preserve"> zbatimin e</w:t>
      </w:r>
      <w:r w:rsidRPr="00641640">
        <w:rPr>
          <w:rFonts w:ascii="Times New Roman" w:hAnsi="Times New Roman" w:cs="Times New Roman"/>
          <w:noProof/>
          <w:sz w:val="24"/>
          <w:szCs w:val="24"/>
          <w:lang w:val="sq-AL"/>
        </w:rPr>
        <w:t xml:space="preserve"> </w:t>
      </w:r>
      <w:r w:rsidR="003B5D54" w:rsidRPr="00641640">
        <w:rPr>
          <w:rFonts w:ascii="Times New Roman" w:hAnsi="Times New Roman" w:cs="Times New Roman"/>
          <w:noProof/>
          <w:sz w:val="24"/>
          <w:szCs w:val="24"/>
          <w:lang w:val="sq-AL"/>
        </w:rPr>
        <w:t>tij efikas</w:t>
      </w:r>
      <w:r w:rsidRPr="00641640">
        <w:rPr>
          <w:rFonts w:ascii="Times New Roman" w:hAnsi="Times New Roman" w:cs="Times New Roman"/>
          <w:noProof/>
          <w:sz w:val="24"/>
          <w:szCs w:val="24"/>
          <w:lang w:val="sq-AL"/>
        </w:rPr>
        <w:t xml:space="preserve">. </w:t>
      </w:r>
      <w:r w:rsidR="00C4466F" w:rsidRPr="00641640">
        <w:rPr>
          <w:rFonts w:ascii="Times New Roman" w:hAnsi="Times New Roman" w:cs="Times New Roman"/>
          <w:noProof/>
          <w:sz w:val="24"/>
          <w:szCs w:val="24"/>
          <w:lang w:val="sq-AL"/>
        </w:rPr>
        <w:t xml:space="preserve">Realizimi i </w:t>
      </w:r>
      <w:r w:rsidR="002A4885" w:rsidRPr="00641640">
        <w:rPr>
          <w:rFonts w:ascii="Times New Roman" w:hAnsi="Times New Roman" w:cs="Times New Roman"/>
          <w:noProof/>
          <w:sz w:val="24"/>
          <w:szCs w:val="24"/>
          <w:lang w:val="sq-AL"/>
        </w:rPr>
        <w:t>o</w:t>
      </w:r>
      <w:r w:rsidRPr="00641640">
        <w:rPr>
          <w:rFonts w:ascii="Times New Roman" w:hAnsi="Times New Roman" w:cs="Times New Roman"/>
          <w:noProof/>
          <w:sz w:val="24"/>
          <w:szCs w:val="24"/>
          <w:lang w:val="sq-AL"/>
        </w:rPr>
        <w:t>bjektiva</w:t>
      </w:r>
      <w:r w:rsidR="00C4466F" w:rsidRPr="00641640">
        <w:rPr>
          <w:rFonts w:ascii="Times New Roman" w:hAnsi="Times New Roman" w:cs="Times New Roman"/>
          <w:noProof/>
          <w:sz w:val="24"/>
          <w:szCs w:val="24"/>
          <w:lang w:val="sq-AL"/>
        </w:rPr>
        <w:t>ve t</w:t>
      </w:r>
      <w:r w:rsidR="00B81F4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Strategji</w:t>
      </w:r>
      <w:r w:rsidR="003B5D54" w:rsidRPr="00641640">
        <w:rPr>
          <w:rFonts w:ascii="Times New Roman" w:hAnsi="Times New Roman" w:cs="Times New Roman"/>
          <w:noProof/>
          <w:sz w:val="24"/>
          <w:szCs w:val="24"/>
          <w:lang w:val="sq-AL"/>
        </w:rPr>
        <w:t>s</w:t>
      </w:r>
      <w:r w:rsidR="00B81F4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002A4885" w:rsidRPr="00641640">
        <w:rPr>
          <w:rFonts w:ascii="Times New Roman" w:hAnsi="Times New Roman" w:cs="Times New Roman"/>
          <w:noProof/>
          <w:sz w:val="24"/>
          <w:szCs w:val="24"/>
          <w:lang w:val="sq-AL"/>
        </w:rPr>
        <w:t xml:space="preserve">Ndërsektoriale </w:t>
      </w:r>
      <w:r w:rsidR="001B49F5" w:rsidRPr="00641640">
        <w:rPr>
          <w:rFonts w:ascii="Times New Roman" w:hAnsi="Times New Roman" w:cs="Times New Roman"/>
          <w:noProof/>
          <w:sz w:val="24"/>
          <w:szCs w:val="24"/>
          <w:lang w:val="sq-AL"/>
        </w:rPr>
        <w:t>t</w:t>
      </w:r>
      <w:r w:rsidR="00B81F4F" w:rsidRPr="00641640">
        <w:rPr>
          <w:rFonts w:ascii="Times New Roman" w:hAnsi="Times New Roman" w:cs="Times New Roman"/>
          <w:noProof/>
          <w:sz w:val="24"/>
          <w:szCs w:val="24"/>
          <w:lang w:val="sq-AL"/>
        </w:rPr>
        <w:t>ë</w:t>
      </w:r>
      <w:r w:rsidR="00C4466F" w:rsidRPr="00641640">
        <w:rPr>
          <w:rFonts w:ascii="Times New Roman" w:hAnsi="Times New Roman" w:cs="Times New Roman"/>
          <w:noProof/>
          <w:sz w:val="24"/>
          <w:szCs w:val="24"/>
          <w:lang w:val="sq-AL"/>
        </w:rPr>
        <w:t xml:space="preserve"> RAP 2015-2022 </w:t>
      </w:r>
      <w:r w:rsidR="00EC1D9D" w:rsidRPr="00641640">
        <w:rPr>
          <w:rFonts w:ascii="Times New Roman" w:hAnsi="Times New Roman" w:cs="Times New Roman"/>
          <w:noProof/>
          <w:sz w:val="24"/>
          <w:szCs w:val="24"/>
          <w:lang w:val="sq-AL"/>
        </w:rPr>
        <w:t>p</w:t>
      </w:r>
      <w:r w:rsidR="007F00FB" w:rsidRPr="00641640">
        <w:rPr>
          <w:rFonts w:ascii="Times New Roman" w:hAnsi="Times New Roman" w:cs="Times New Roman"/>
          <w:noProof/>
          <w:sz w:val="24"/>
          <w:szCs w:val="24"/>
          <w:lang w:val="sq-AL"/>
        </w:rPr>
        <w:t>ë</w:t>
      </w:r>
      <w:r w:rsidR="00EC1D9D" w:rsidRPr="00641640">
        <w:rPr>
          <w:rFonts w:ascii="Times New Roman" w:hAnsi="Times New Roman" w:cs="Times New Roman"/>
          <w:noProof/>
          <w:sz w:val="24"/>
          <w:szCs w:val="24"/>
          <w:lang w:val="sq-AL"/>
        </w:rPr>
        <w:t>r</w:t>
      </w:r>
      <w:r w:rsidRPr="00641640">
        <w:rPr>
          <w:rFonts w:ascii="Times New Roman" w:hAnsi="Times New Roman" w:cs="Times New Roman"/>
          <w:noProof/>
          <w:sz w:val="24"/>
          <w:szCs w:val="24"/>
          <w:lang w:val="sq-AL"/>
        </w:rPr>
        <w:t xml:space="preserve"> institucion</w:t>
      </w:r>
      <w:r w:rsidR="00EC1D9D" w:rsidRPr="00641640">
        <w:rPr>
          <w:rFonts w:ascii="Times New Roman" w:hAnsi="Times New Roman" w:cs="Times New Roman"/>
          <w:noProof/>
          <w:sz w:val="24"/>
          <w:szCs w:val="24"/>
          <w:lang w:val="sq-AL"/>
        </w:rPr>
        <w:t>et</w:t>
      </w:r>
      <w:r w:rsidRPr="00641640">
        <w:rPr>
          <w:rFonts w:ascii="Times New Roman" w:hAnsi="Times New Roman" w:cs="Times New Roman"/>
          <w:noProof/>
          <w:sz w:val="24"/>
          <w:szCs w:val="24"/>
          <w:lang w:val="sq-AL"/>
        </w:rPr>
        <w:t xml:space="preserve"> publike </w:t>
      </w:r>
      <w:r w:rsidR="00C4466F" w:rsidRPr="00641640">
        <w:rPr>
          <w:rFonts w:ascii="Times New Roman" w:hAnsi="Times New Roman" w:cs="Times New Roman"/>
          <w:noProof/>
          <w:sz w:val="24"/>
          <w:szCs w:val="24"/>
          <w:lang w:val="sq-AL"/>
        </w:rPr>
        <w:t>kontribuoi n</w:t>
      </w:r>
      <w:r w:rsidR="00B81F4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00C4466F" w:rsidRPr="00641640">
        <w:rPr>
          <w:rFonts w:ascii="Times New Roman" w:hAnsi="Times New Roman" w:cs="Times New Roman"/>
          <w:noProof/>
          <w:sz w:val="24"/>
          <w:szCs w:val="24"/>
          <w:lang w:val="sq-AL"/>
        </w:rPr>
        <w:t>adresimin e k</w:t>
      </w:r>
      <w:r w:rsidR="00B81F4F" w:rsidRPr="00641640">
        <w:rPr>
          <w:rFonts w:ascii="Times New Roman" w:hAnsi="Times New Roman" w:cs="Times New Roman"/>
          <w:noProof/>
          <w:sz w:val="24"/>
          <w:szCs w:val="24"/>
          <w:lang w:val="sq-AL"/>
        </w:rPr>
        <w:t>ë</w:t>
      </w:r>
      <w:r w:rsidR="00C4466F" w:rsidRPr="00641640">
        <w:rPr>
          <w:rFonts w:ascii="Times New Roman" w:hAnsi="Times New Roman" w:cs="Times New Roman"/>
          <w:noProof/>
          <w:sz w:val="24"/>
          <w:szCs w:val="24"/>
          <w:lang w:val="sq-AL"/>
        </w:rPr>
        <w:t>tyre sfidave, duke mund</w:t>
      </w:r>
      <w:r w:rsidR="00B81F4F" w:rsidRPr="00641640">
        <w:rPr>
          <w:rFonts w:ascii="Times New Roman" w:hAnsi="Times New Roman" w:cs="Times New Roman"/>
          <w:noProof/>
          <w:sz w:val="24"/>
          <w:szCs w:val="24"/>
          <w:lang w:val="sq-AL"/>
        </w:rPr>
        <w:t>ë</w:t>
      </w:r>
      <w:r w:rsidR="00C4466F" w:rsidRPr="00641640">
        <w:rPr>
          <w:rFonts w:ascii="Times New Roman" w:hAnsi="Times New Roman" w:cs="Times New Roman"/>
          <w:noProof/>
          <w:sz w:val="24"/>
          <w:szCs w:val="24"/>
          <w:lang w:val="sq-AL"/>
        </w:rPr>
        <w:t>suar q</w:t>
      </w:r>
      <w:r w:rsidR="00B81F4F" w:rsidRPr="00641640">
        <w:rPr>
          <w:rFonts w:ascii="Times New Roman" w:hAnsi="Times New Roman" w:cs="Times New Roman"/>
          <w:noProof/>
          <w:sz w:val="24"/>
          <w:szCs w:val="24"/>
          <w:lang w:val="sq-AL"/>
        </w:rPr>
        <w:t>ë</w:t>
      </w:r>
      <w:r w:rsidR="00C4466F"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Shqipëria </w:t>
      </w:r>
      <w:r w:rsidR="00C4466F" w:rsidRPr="00641640">
        <w:rPr>
          <w:rFonts w:ascii="Times New Roman" w:hAnsi="Times New Roman" w:cs="Times New Roman"/>
          <w:noProof/>
          <w:sz w:val="24"/>
          <w:szCs w:val="24"/>
          <w:lang w:val="sq-AL"/>
        </w:rPr>
        <w:t>t</w:t>
      </w:r>
      <w:r w:rsidR="00B81F4F" w:rsidRPr="00641640">
        <w:rPr>
          <w:rFonts w:ascii="Times New Roman" w:hAnsi="Times New Roman" w:cs="Times New Roman"/>
          <w:noProof/>
          <w:sz w:val="24"/>
          <w:szCs w:val="24"/>
          <w:lang w:val="sq-AL"/>
        </w:rPr>
        <w:t>ë</w:t>
      </w:r>
      <w:r w:rsidR="00C4466F" w:rsidRPr="00641640">
        <w:rPr>
          <w:rFonts w:ascii="Times New Roman" w:hAnsi="Times New Roman" w:cs="Times New Roman"/>
          <w:noProof/>
          <w:sz w:val="24"/>
          <w:szCs w:val="24"/>
          <w:lang w:val="sq-AL"/>
        </w:rPr>
        <w:t xml:space="preserve"> marr</w:t>
      </w:r>
      <w:r w:rsidR="00B81F4F" w:rsidRPr="00641640">
        <w:rPr>
          <w:rFonts w:ascii="Times New Roman" w:hAnsi="Times New Roman" w:cs="Times New Roman"/>
          <w:noProof/>
          <w:sz w:val="24"/>
          <w:szCs w:val="24"/>
          <w:lang w:val="sq-AL"/>
        </w:rPr>
        <w:t>ë</w:t>
      </w:r>
      <w:r w:rsidR="00C4466F" w:rsidRPr="00641640">
        <w:rPr>
          <w:rFonts w:ascii="Times New Roman" w:hAnsi="Times New Roman" w:cs="Times New Roman"/>
          <w:noProof/>
          <w:sz w:val="24"/>
          <w:szCs w:val="24"/>
          <w:lang w:val="sq-AL"/>
        </w:rPr>
        <w:t xml:space="preserve"> v</w:t>
      </w:r>
      <w:r w:rsidRPr="00641640">
        <w:rPr>
          <w:rFonts w:ascii="Times New Roman" w:hAnsi="Times New Roman" w:cs="Times New Roman"/>
          <w:noProof/>
          <w:sz w:val="24"/>
          <w:szCs w:val="24"/>
          <w:lang w:val="sq-AL"/>
        </w:rPr>
        <w:t xml:space="preserve">lerësime pozitive nga institucionet </w:t>
      </w:r>
      <w:r w:rsidRPr="00641640">
        <w:rPr>
          <w:rFonts w:ascii="Times New Roman" w:hAnsi="Times New Roman" w:cs="Times New Roman"/>
          <w:noProof/>
          <w:sz w:val="24"/>
          <w:szCs w:val="24"/>
          <w:lang w:val="sq-AL"/>
        </w:rPr>
        <w:lastRenderedPageBreak/>
        <w:t>ndërkombëtare në fushën e menaxhimit të burimeve njerëzore.</w:t>
      </w:r>
      <w:r w:rsidR="00F03E28" w:rsidRPr="00641640">
        <w:rPr>
          <w:rFonts w:ascii="Times New Roman" w:hAnsi="Times New Roman" w:cs="Times New Roman"/>
          <w:noProof/>
          <w:sz w:val="24"/>
          <w:szCs w:val="24"/>
          <w:lang w:val="sq-AL"/>
        </w:rPr>
        <w:t xml:space="preserve"> N</w:t>
      </w:r>
      <w:r w:rsidR="00DB4DF5" w:rsidRPr="00641640">
        <w:rPr>
          <w:rFonts w:ascii="Times New Roman" w:hAnsi="Times New Roman" w:cs="Times New Roman"/>
          <w:noProof/>
          <w:sz w:val="24"/>
          <w:szCs w:val="24"/>
          <w:lang w:val="sq-AL"/>
        </w:rPr>
        <w:t>ë</w:t>
      </w:r>
      <w:r w:rsidR="00F03E28" w:rsidRPr="00641640">
        <w:rPr>
          <w:rFonts w:ascii="Times New Roman" w:hAnsi="Times New Roman" w:cs="Times New Roman"/>
          <w:noProof/>
          <w:sz w:val="24"/>
          <w:szCs w:val="24"/>
          <w:lang w:val="sq-AL"/>
        </w:rPr>
        <w:t xml:space="preserve"> vitet e fundit, sh</w:t>
      </w:r>
      <w:r w:rsidR="00DB4DF5" w:rsidRPr="00641640">
        <w:rPr>
          <w:rFonts w:ascii="Times New Roman" w:hAnsi="Times New Roman" w:cs="Times New Roman"/>
          <w:noProof/>
          <w:sz w:val="24"/>
          <w:szCs w:val="24"/>
          <w:lang w:val="sq-AL"/>
        </w:rPr>
        <w:t>ë</w:t>
      </w:r>
      <w:r w:rsidR="00F03E28" w:rsidRPr="00641640">
        <w:rPr>
          <w:rFonts w:ascii="Times New Roman" w:hAnsi="Times New Roman" w:cs="Times New Roman"/>
          <w:noProof/>
          <w:sz w:val="24"/>
          <w:szCs w:val="24"/>
          <w:lang w:val="sq-AL"/>
        </w:rPr>
        <w:t xml:space="preserve">rbimi civil shqiptar </w:t>
      </w:r>
      <w:r w:rsidR="00DB4DF5" w:rsidRPr="00641640">
        <w:rPr>
          <w:rFonts w:ascii="Times New Roman" w:hAnsi="Times New Roman" w:cs="Times New Roman"/>
          <w:noProof/>
          <w:sz w:val="24"/>
          <w:szCs w:val="24"/>
          <w:lang w:val="sq-AL"/>
        </w:rPr>
        <w:t>ë</w:t>
      </w:r>
      <w:r w:rsidR="00F03E28" w:rsidRPr="00641640">
        <w:rPr>
          <w:rFonts w:ascii="Times New Roman" w:hAnsi="Times New Roman" w:cs="Times New Roman"/>
          <w:noProof/>
          <w:sz w:val="24"/>
          <w:szCs w:val="24"/>
          <w:lang w:val="sq-AL"/>
        </w:rPr>
        <w:t>sht</w:t>
      </w:r>
      <w:r w:rsidR="00DB4DF5" w:rsidRPr="00641640">
        <w:rPr>
          <w:rFonts w:ascii="Times New Roman" w:hAnsi="Times New Roman" w:cs="Times New Roman"/>
          <w:noProof/>
          <w:sz w:val="24"/>
          <w:szCs w:val="24"/>
          <w:lang w:val="sq-AL"/>
        </w:rPr>
        <w:t>ë</w:t>
      </w:r>
      <w:r w:rsidR="00F03E28" w:rsidRPr="00641640">
        <w:rPr>
          <w:rFonts w:ascii="Times New Roman" w:hAnsi="Times New Roman" w:cs="Times New Roman"/>
          <w:noProof/>
          <w:sz w:val="24"/>
          <w:szCs w:val="24"/>
          <w:lang w:val="sq-AL"/>
        </w:rPr>
        <w:t xml:space="preserve"> vler</w:t>
      </w:r>
      <w:r w:rsidR="00DB4DF5" w:rsidRPr="00641640">
        <w:rPr>
          <w:rFonts w:ascii="Times New Roman" w:hAnsi="Times New Roman" w:cs="Times New Roman"/>
          <w:noProof/>
          <w:sz w:val="24"/>
          <w:szCs w:val="24"/>
          <w:lang w:val="sq-AL"/>
        </w:rPr>
        <w:t>ë</w:t>
      </w:r>
      <w:r w:rsidR="00F03E28" w:rsidRPr="00641640">
        <w:rPr>
          <w:rFonts w:ascii="Times New Roman" w:hAnsi="Times New Roman" w:cs="Times New Roman"/>
          <w:noProof/>
          <w:sz w:val="24"/>
          <w:szCs w:val="24"/>
          <w:lang w:val="sq-AL"/>
        </w:rPr>
        <w:t>suar si i pjekur, fleksib</w:t>
      </w:r>
      <w:r w:rsidR="00DB4DF5" w:rsidRPr="00641640">
        <w:rPr>
          <w:rFonts w:ascii="Times New Roman" w:hAnsi="Times New Roman" w:cs="Times New Roman"/>
          <w:noProof/>
          <w:sz w:val="24"/>
          <w:szCs w:val="24"/>
          <w:lang w:val="sq-AL"/>
        </w:rPr>
        <w:t>ë</w:t>
      </w:r>
      <w:r w:rsidR="00F03E28" w:rsidRPr="00641640">
        <w:rPr>
          <w:rFonts w:ascii="Times New Roman" w:hAnsi="Times New Roman" w:cs="Times New Roman"/>
          <w:noProof/>
          <w:sz w:val="24"/>
          <w:szCs w:val="24"/>
          <w:lang w:val="sq-AL"/>
        </w:rPr>
        <w:t>l dhe i q</w:t>
      </w:r>
      <w:r w:rsidR="00110434" w:rsidRPr="00641640">
        <w:rPr>
          <w:rFonts w:ascii="Times New Roman" w:hAnsi="Times New Roman" w:cs="Times New Roman"/>
          <w:noProof/>
          <w:sz w:val="24"/>
          <w:szCs w:val="24"/>
          <w:lang w:val="sq-AL"/>
        </w:rPr>
        <w:t>e</w:t>
      </w:r>
      <w:r w:rsidR="00F03E28" w:rsidRPr="00641640">
        <w:rPr>
          <w:rFonts w:ascii="Times New Roman" w:hAnsi="Times New Roman" w:cs="Times New Roman"/>
          <w:noProof/>
          <w:sz w:val="24"/>
          <w:szCs w:val="24"/>
          <w:lang w:val="sq-AL"/>
        </w:rPr>
        <w:t>ndruesh</w:t>
      </w:r>
      <w:r w:rsidR="00DB4DF5" w:rsidRPr="00641640">
        <w:rPr>
          <w:rFonts w:ascii="Times New Roman" w:hAnsi="Times New Roman" w:cs="Times New Roman"/>
          <w:noProof/>
          <w:sz w:val="24"/>
          <w:szCs w:val="24"/>
          <w:lang w:val="sq-AL"/>
        </w:rPr>
        <w:t>ë</w:t>
      </w:r>
      <w:r w:rsidR="00F03E28" w:rsidRPr="00641640">
        <w:rPr>
          <w:rFonts w:ascii="Times New Roman" w:hAnsi="Times New Roman" w:cs="Times New Roman"/>
          <w:noProof/>
          <w:sz w:val="24"/>
          <w:szCs w:val="24"/>
          <w:lang w:val="sq-AL"/>
        </w:rPr>
        <w:t>m sipas standardeve rajonale.</w:t>
      </w:r>
      <w:r w:rsidR="00F03E28" w:rsidRPr="00641640">
        <w:rPr>
          <w:rStyle w:val="FootnoteReference"/>
          <w:rFonts w:ascii="Times New Roman" w:hAnsi="Times New Roman" w:cs="Times New Roman"/>
          <w:noProof/>
          <w:sz w:val="24"/>
          <w:szCs w:val="24"/>
          <w:lang w:val="sq-AL"/>
        </w:rPr>
        <w:footnoteReference w:id="36"/>
      </w:r>
      <w:r w:rsidR="00F03E28" w:rsidRPr="00641640">
        <w:rPr>
          <w:rFonts w:ascii="Times New Roman" w:hAnsi="Times New Roman" w:cs="Times New Roman"/>
          <w:noProof/>
          <w:sz w:val="24"/>
          <w:szCs w:val="24"/>
          <w:lang w:val="sq-AL"/>
        </w:rPr>
        <w:t xml:space="preserve"> </w:t>
      </w:r>
      <w:r w:rsidR="00EC1D9D" w:rsidRPr="00641640">
        <w:rPr>
          <w:rFonts w:ascii="Times New Roman" w:hAnsi="Times New Roman" w:cs="Times New Roman"/>
          <w:noProof/>
          <w:sz w:val="24"/>
          <w:szCs w:val="24"/>
          <w:lang w:val="sq-AL"/>
        </w:rPr>
        <w:t>Bazuar n</w:t>
      </w:r>
      <w:r w:rsidR="007F00FB" w:rsidRPr="00641640">
        <w:rPr>
          <w:rFonts w:ascii="Times New Roman" w:hAnsi="Times New Roman" w:cs="Times New Roman"/>
          <w:noProof/>
          <w:sz w:val="24"/>
          <w:szCs w:val="24"/>
          <w:lang w:val="sq-AL"/>
        </w:rPr>
        <w:t>ë</w:t>
      </w:r>
      <w:r w:rsidR="00EC1D9D" w:rsidRPr="00641640">
        <w:rPr>
          <w:rFonts w:ascii="Times New Roman" w:hAnsi="Times New Roman" w:cs="Times New Roman"/>
          <w:noProof/>
          <w:sz w:val="24"/>
          <w:szCs w:val="24"/>
          <w:lang w:val="sq-AL"/>
        </w:rPr>
        <w:t xml:space="preserve"> treguesit e monitoru</w:t>
      </w:r>
      <w:r w:rsidR="00C4466F" w:rsidRPr="00641640">
        <w:rPr>
          <w:rFonts w:ascii="Times New Roman" w:hAnsi="Times New Roman" w:cs="Times New Roman"/>
          <w:noProof/>
          <w:sz w:val="24"/>
          <w:szCs w:val="24"/>
          <w:lang w:val="sq-AL"/>
        </w:rPr>
        <w:t>ar</w:t>
      </w:r>
      <w:r w:rsidR="00EC1D9D" w:rsidRPr="00641640">
        <w:rPr>
          <w:rFonts w:ascii="Times New Roman" w:hAnsi="Times New Roman" w:cs="Times New Roman"/>
          <w:noProof/>
          <w:sz w:val="24"/>
          <w:szCs w:val="24"/>
          <w:lang w:val="sq-AL"/>
        </w:rPr>
        <w:t xml:space="preserve"> periodikisht n</w:t>
      </w:r>
      <w:r w:rsidRPr="00641640">
        <w:rPr>
          <w:rFonts w:ascii="Times New Roman" w:hAnsi="Times New Roman" w:cs="Times New Roman"/>
          <w:noProof/>
          <w:sz w:val="24"/>
          <w:szCs w:val="24"/>
          <w:lang w:val="sq-AL"/>
        </w:rPr>
        <w:t>ë këtë fushë</w:t>
      </w:r>
      <w:r w:rsidR="00C4466F"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Shqipëria konsiderohet nga SIGMA si vend kryesues </w:t>
      </w:r>
      <w:r w:rsidR="00C4466F" w:rsidRPr="00641640">
        <w:rPr>
          <w:rFonts w:ascii="Times New Roman" w:hAnsi="Times New Roman" w:cs="Times New Roman"/>
          <w:noProof/>
          <w:sz w:val="24"/>
          <w:szCs w:val="24"/>
          <w:lang w:val="sq-AL"/>
        </w:rPr>
        <w:t>n</w:t>
      </w:r>
      <w:r w:rsidR="00B81F4F" w:rsidRPr="00641640">
        <w:rPr>
          <w:rFonts w:ascii="Times New Roman" w:hAnsi="Times New Roman" w:cs="Times New Roman"/>
          <w:noProof/>
          <w:sz w:val="24"/>
          <w:szCs w:val="24"/>
          <w:lang w:val="sq-AL"/>
        </w:rPr>
        <w:t>ë</w:t>
      </w:r>
      <w:r w:rsidR="00C4466F" w:rsidRPr="00641640">
        <w:rPr>
          <w:rFonts w:ascii="Times New Roman" w:hAnsi="Times New Roman" w:cs="Times New Roman"/>
          <w:noProof/>
          <w:sz w:val="24"/>
          <w:szCs w:val="24"/>
          <w:lang w:val="sq-AL"/>
        </w:rPr>
        <w:t xml:space="preserve"> nivel rajonal,</w:t>
      </w:r>
      <w:r w:rsidR="00214BDC" w:rsidRPr="00641640" w:rsidDel="00214BDC">
        <w:rPr>
          <w:rStyle w:val="FootnoteReference"/>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 </w:t>
      </w:r>
      <w:r w:rsidR="00C4466F" w:rsidRPr="00641640">
        <w:rPr>
          <w:rFonts w:ascii="Times New Roman" w:hAnsi="Times New Roman" w:cs="Times New Roman"/>
          <w:noProof/>
          <w:sz w:val="24"/>
          <w:szCs w:val="24"/>
          <w:lang w:val="sq-AL"/>
        </w:rPr>
        <w:t>duke kryesuar ndjesh</w:t>
      </w:r>
      <w:r w:rsidR="00B81F4F" w:rsidRPr="00641640">
        <w:rPr>
          <w:rFonts w:ascii="Times New Roman" w:hAnsi="Times New Roman" w:cs="Times New Roman"/>
          <w:noProof/>
          <w:sz w:val="24"/>
          <w:szCs w:val="24"/>
          <w:lang w:val="sq-AL"/>
        </w:rPr>
        <w:t>ë</w:t>
      </w:r>
      <w:r w:rsidR="00C4466F" w:rsidRPr="00641640">
        <w:rPr>
          <w:rFonts w:ascii="Times New Roman" w:hAnsi="Times New Roman" w:cs="Times New Roman"/>
          <w:noProof/>
          <w:sz w:val="24"/>
          <w:szCs w:val="24"/>
          <w:lang w:val="sq-AL"/>
        </w:rPr>
        <w:t xml:space="preserve">m </w:t>
      </w:r>
      <w:r w:rsidR="00237DA0" w:rsidRPr="00641640">
        <w:rPr>
          <w:rFonts w:ascii="Times New Roman" w:hAnsi="Times New Roman" w:cs="Times New Roman"/>
          <w:noProof/>
          <w:sz w:val="24"/>
          <w:szCs w:val="24"/>
          <w:lang w:val="sq-AL"/>
        </w:rPr>
        <w:t>dhe n</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 xml:space="preserve"> m</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nyr</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 xml:space="preserve"> t</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 xml:space="preserve"> q</w:t>
      </w:r>
      <w:r w:rsidR="00DD7473" w:rsidRPr="00641640">
        <w:rPr>
          <w:rFonts w:ascii="Times New Roman" w:hAnsi="Times New Roman" w:cs="Times New Roman"/>
          <w:noProof/>
          <w:sz w:val="24"/>
          <w:szCs w:val="24"/>
          <w:lang w:val="sq-AL"/>
        </w:rPr>
        <w:t>e</w:t>
      </w:r>
      <w:r w:rsidR="00237DA0" w:rsidRPr="00641640">
        <w:rPr>
          <w:rFonts w:ascii="Times New Roman" w:hAnsi="Times New Roman" w:cs="Times New Roman"/>
          <w:noProof/>
          <w:sz w:val="24"/>
          <w:szCs w:val="24"/>
          <w:lang w:val="sq-AL"/>
        </w:rPr>
        <w:t>ndrueshme q</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 xml:space="preserve"> prej vitit 2021 </w:t>
      </w:r>
      <w:r w:rsidRPr="00641640">
        <w:rPr>
          <w:rFonts w:ascii="Times New Roman" w:hAnsi="Times New Roman" w:cs="Times New Roman"/>
          <w:noProof/>
          <w:sz w:val="24"/>
          <w:szCs w:val="24"/>
          <w:lang w:val="sq-AL"/>
        </w:rPr>
        <w:t xml:space="preserve">renditjen e </w:t>
      </w:r>
      <w:r w:rsidR="00C4466F" w:rsidRPr="00641640">
        <w:rPr>
          <w:rFonts w:ascii="Times New Roman" w:hAnsi="Times New Roman" w:cs="Times New Roman"/>
          <w:noProof/>
          <w:sz w:val="24"/>
          <w:szCs w:val="24"/>
          <w:lang w:val="sq-AL"/>
        </w:rPr>
        <w:t>vendeve t</w:t>
      </w:r>
      <w:r w:rsidR="00B81F4F" w:rsidRPr="00641640">
        <w:rPr>
          <w:rFonts w:ascii="Times New Roman" w:hAnsi="Times New Roman" w:cs="Times New Roman"/>
          <w:noProof/>
          <w:sz w:val="24"/>
          <w:szCs w:val="24"/>
          <w:lang w:val="sq-AL"/>
        </w:rPr>
        <w:t>ë</w:t>
      </w:r>
      <w:r w:rsidR="00C4466F" w:rsidRPr="00641640">
        <w:rPr>
          <w:rFonts w:ascii="Times New Roman" w:hAnsi="Times New Roman" w:cs="Times New Roman"/>
          <w:noProof/>
          <w:sz w:val="24"/>
          <w:szCs w:val="24"/>
          <w:lang w:val="sq-AL"/>
        </w:rPr>
        <w:t xml:space="preserve"> Ballkanit Per</w:t>
      </w:r>
      <w:r w:rsidR="00B81F4F" w:rsidRPr="00641640">
        <w:rPr>
          <w:rFonts w:ascii="Times New Roman" w:hAnsi="Times New Roman" w:cs="Times New Roman"/>
          <w:noProof/>
          <w:sz w:val="24"/>
          <w:szCs w:val="24"/>
          <w:lang w:val="sq-AL"/>
        </w:rPr>
        <w:t>ë</w:t>
      </w:r>
      <w:r w:rsidR="00C4466F" w:rsidRPr="00641640">
        <w:rPr>
          <w:rFonts w:ascii="Times New Roman" w:hAnsi="Times New Roman" w:cs="Times New Roman"/>
          <w:noProof/>
          <w:sz w:val="24"/>
          <w:szCs w:val="24"/>
          <w:lang w:val="sq-AL"/>
        </w:rPr>
        <w:t xml:space="preserve">ndimor, </w:t>
      </w:r>
      <w:r w:rsidRPr="00641640">
        <w:rPr>
          <w:rFonts w:ascii="Times New Roman" w:hAnsi="Times New Roman" w:cs="Times New Roman"/>
          <w:noProof/>
          <w:sz w:val="24"/>
          <w:szCs w:val="24"/>
          <w:lang w:val="sq-AL"/>
        </w:rPr>
        <w:t>thuajse në të gjith</w:t>
      </w:r>
      <w:r w:rsidR="007F00F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kriteret e vlerësimit</w:t>
      </w:r>
      <w:r w:rsidR="00214BDC" w:rsidRPr="00641640">
        <w:rPr>
          <w:rFonts w:ascii="Times New Roman" w:hAnsi="Times New Roman" w:cs="Times New Roman"/>
          <w:noProof/>
          <w:sz w:val="24"/>
          <w:szCs w:val="24"/>
          <w:lang w:val="sq-AL"/>
        </w:rPr>
        <w:t>.</w:t>
      </w:r>
    </w:p>
    <w:p w14:paraId="20C4719E" w14:textId="412929BA" w:rsidR="006E021E" w:rsidRPr="00641640" w:rsidRDefault="00C4466F"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w:t>
      </w:r>
      <w:r w:rsidR="00B81F4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rgjat</w:t>
      </w:r>
      <w:r w:rsidR="00B81F4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viteve 2023-2024, Qeveria Shqiptare </w:t>
      </w:r>
      <w:r w:rsidR="00237DA0" w:rsidRPr="00641640">
        <w:rPr>
          <w:rFonts w:ascii="Times New Roman" w:hAnsi="Times New Roman" w:cs="Times New Roman"/>
          <w:noProof/>
          <w:sz w:val="24"/>
          <w:szCs w:val="24"/>
          <w:lang w:val="sq-AL"/>
        </w:rPr>
        <w:t>rishikoi sistemin e pagave si kriterin e vet</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m p</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r t</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 xml:space="preserve"> cilin</w:t>
      </w:r>
      <w:r w:rsidR="006E021E" w:rsidRPr="00641640">
        <w:rPr>
          <w:rFonts w:ascii="Times New Roman" w:hAnsi="Times New Roman" w:cs="Times New Roman"/>
          <w:noProof/>
          <w:sz w:val="24"/>
          <w:szCs w:val="24"/>
          <w:lang w:val="sq-AL"/>
        </w:rPr>
        <w:t xml:space="preserve"> Shqipëria </w:t>
      </w:r>
      <w:r w:rsidR="00237DA0" w:rsidRPr="00641640">
        <w:rPr>
          <w:rFonts w:ascii="Times New Roman" w:hAnsi="Times New Roman" w:cs="Times New Roman"/>
          <w:noProof/>
          <w:sz w:val="24"/>
          <w:szCs w:val="24"/>
          <w:lang w:val="sq-AL"/>
        </w:rPr>
        <w:t>renditej q</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 xml:space="preserve"> prej vitit 2021 </w:t>
      </w:r>
      <w:r w:rsidR="006E021E" w:rsidRPr="00641640">
        <w:rPr>
          <w:rFonts w:ascii="Times New Roman" w:hAnsi="Times New Roman" w:cs="Times New Roman"/>
          <w:noProof/>
          <w:sz w:val="24"/>
          <w:szCs w:val="24"/>
          <w:lang w:val="sq-AL"/>
        </w:rPr>
        <w:t xml:space="preserve">pas vendeve të </w:t>
      </w:r>
      <w:r w:rsidR="00237DA0" w:rsidRPr="00641640">
        <w:rPr>
          <w:rFonts w:ascii="Times New Roman" w:hAnsi="Times New Roman" w:cs="Times New Roman"/>
          <w:noProof/>
          <w:sz w:val="24"/>
          <w:szCs w:val="24"/>
          <w:lang w:val="sq-AL"/>
        </w:rPr>
        <w:t>rajonit, duke e adresuar k</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t</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 xml:space="preserve"> ç</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 xml:space="preserve">shtje </w:t>
      </w:r>
      <w:r w:rsidR="006E021E" w:rsidRPr="00641640">
        <w:rPr>
          <w:rFonts w:ascii="Times New Roman" w:hAnsi="Times New Roman" w:cs="Times New Roman"/>
          <w:noProof/>
          <w:sz w:val="24"/>
          <w:szCs w:val="24"/>
          <w:lang w:val="sq-AL"/>
        </w:rPr>
        <w:t xml:space="preserve">me </w:t>
      </w:r>
      <w:r w:rsidR="00237DA0" w:rsidRPr="00641640">
        <w:rPr>
          <w:rFonts w:ascii="Times New Roman" w:hAnsi="Times New Roman" w:cs="Times New Roman"/>
          <w:noProof/>
          <w:sz w:val="24"/>
          <w:szCs w:val="24"/>
          <w:lang w:val="sq-AL"/>
        </w:rPr>
        <w:t>reform</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n e pagave t</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 xml:space="preserve"> implementuar n</w:t>
      </w:r>
      <w:r w:rsidR="00B81F4F" w:rsidRPr="00641640">
        <w:rPr>
          <w:rFonts w:ascii="Times New Roman" w:hAnsi="Times New Roman" w:cs="Times New Roman"/>
          <w:noProof/>
          <w:sz w:val="24"/>
          <w:szCs w:val="24"/>
          <w:lang w:val="sq-AL"/>
        </w:rPr>
        <w:t>ë</w:t>
      </w:r>
      <w:r w:rsidR="005B05EE" w:rsidRPr="00641640">
        <w:rPr>
          <w:rFonts w:ascii="Times New Roman" w:hAnsi="Times New Roman" w:cs="Times New Roman"/>
          <w:noProof/>
          <w:sz w:val="24"/>
          <w:szCs w:val="24"/>
          <w:lang w:val="sq-AL"/>
        </w:rPr>
        <w:t xml:space="preserve"> dy faza, p</w:t>
      </w:r>
      <w:r w:rsidR="00DA55E2" w:rsidRPr="00641640">
        <w:rPr>
          <w:rFonts w:ascii="Times New Roman" w:hAnsi="Times New Roman" w:cs="Times New Roman"/>
          <w:noProof/>
          <w:sz w:val="24"/>
          <w:szCs w:val="24"/>
          <w:lang w:val="sq-AL"/>
        </w:rPr>
        <w:t>ë</w:t>
      </w:r>
      <w:r w:rsidR="005B05EE" w:rsidRPr="00641640">
        <w:rPr>
          <w:rFonts w:ascii="Times New Roman" w:hAnsi="Times New Roman" w:cs="Times New Roman"/>
          <w:noProof/>
          <w:sz w:val="24"/>
          <w:szCs w:val="24"/>
          <w:lang w:val="sq-AL"/>
        </w:rPr>
        <w:t>rkat</w:t>
      </w:r>
      <w:r w:rsidR="00DA55E2" w:rsidRPr="00641640">
        <w:rPr>
          <w:rFonts w:ascii="Times New Roman" w:hAnsi="Times New Roman" w:cs="Times New Roman"/>
          <w:noProof/>
          <w:sz w:val="24"/>
          <w:szCs w:val="24"/>
          <w:lang w:val="sq-AL"/>
        </w:rPr>
        <w:t>ë</w:t>
      </w:r>
      <w:r w:rsidR="005B05EE" w:rsidRPr="00641640">
        <w:rPr>
          <w:rFonts w:ascii="Times New Roman" w:hAnsi="Times New Roman" w:cs="Times New Roman"/>
          <w:noProof/>
          <w:sz w:val="24"/>
          <w:szCs w:val="24"/>
          <w:lang w:val="sq-AL"/>
        </w:rPr>
        <w:t>sisht n</w:t>
      </w:r>
      <w:r w:rsidR="00DA55E2" w:rsidRPr="00641640">
        <w:rPr>
          <w:rFonts w:ascii="Times New Roman" w:hAnsi="Times New Roman" w:cs="Times New Roman"/>
          <w:noProof/>
          <w:sz w:val="24"/>
          <w:szCs w:val="24"/>
          <w:lang w:val="sq-AL"/>
        </w:rPr>
        <w:t>ë</w:t>
      </w:r>
      <w:r w:rsidR="005B05EE" w:rsidRPr="00641640">
        <w:rPr>
          <w:rFonts w:ascii="Times New Roman" w:hAnsi="Times New Roman" w:cs="Times New Roman"/>
          <w:noProof/>
          <w:sz w:val="24"/>
          <w:szCs w:val="24"/>
          <w:lang w:val="sq-AL"/>
        </w:rPr>
        <w:t xml:space="preserve"> vitin 2023 dhe vitin </w:t>
      </w:r>
      <w:r w:rsidR="006E021E" w:rsidRPr="00641640">
        <w:rPr>
          <w:rFonts w:ascii="Times New Roman" w:hAnsi="Times New Roman" w:cs="Times New Roman"/>
          <w:noProof/>
          <w:sz w:val="24"/>
          <w:szCs w:val="24"/>
          <w:lang w:val="sq-AL"/>
        </w:rPr>
        <w:t>2024</w:t>
      </w:r>
      <w:r w:rsidR="005B05EE" w:rsidRPr="00641640">
        <w:rPr>
          <w:rFonts w:ascii="Times New Roman" w:hAnsi="Times New Roman" w:cs="Times New Roman"/>
          <w:noProof/>
          <w:sz w:val="24"/>
          <w:szCs w:val="24"/>
          <w:lang w:val="sq-AL"/>
        </w:rPr>
        <w:t xml:space="preserve">. </w:t>
      </w:r>
      <w:r w:rsidR="00214BDC" w:rsidRPr="00641640">
        <w:rPr>
          <w:rFonts w:ascii="Times New Roman" w:hAnsi="Times New Roman" w:cs="Times New Roman"/>
          <w:noProof/>
          <w:sz w:val="24"/>
          <w:szCs w:val="24"/>
          <w:lang w:val="sq-AL"/>
        </w:rPr>
        <w:t xml:space="preserve"> </w:t>
      </w:r>
    </w:p>
    <w:p w14:paraId="495C74E3" w14:textId="02CEBE18" w:rsidR="00214BDC" w:rsidRDefault="00214BDC"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Shqipëria ruan të njëjtin pozicion lider në Ballkanin perëndimor edhe në rezultatet </w:t>
      </w:r>
      <w:r w:rsidR="00B93ABC"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 vlerësimit të kryer gjatë vitit 2024</w:t>
      </w:r>
      <w:r w:rsidR="00F129F2" w:rsidRPr="00641640">
        <w:rPr>
          <w:rFonts w:ascii="Times New Roman" w:hAnsi="Times New Roman" w:cs="Times New Roman"/>
          <w:noProof/>
          <w:sz w:val="24"/>
          <w:szCs w:val="24"/>
          <w:lang w:val="sq-AL"/>
        </w:rPr>
        <w:t xml:space="preserve">, të cilat i janë komunikuar Qeverisë Shqiptare në </w:t>
      </w:r>
      <w:r w:rsidR="00DD7473" w:rsidRPr="00641640">
        <w:rPr>
          <w:rFonts w:ascii="Times New Roman" w:hAnsi="Times New Roman" w:cs="Times New Roman"/>
          <w:noProof/>
          <w:sz w:val="24"/>
          <w:szCs w:val="24"/>
          <w:lang w:val="sq-AL"/>
        </w:rPr>
        <w:t>T</w:t>
      </w:r>
      <w:r w:rsidR="00F129F2" w:rsidRPr="00641640">
        <w:rPr>
          <w:rFonts w:ascii="Times New Roman" w:hAnsi="Times New Roman" w:cs="Times New Roman"/>
          <w:noProof/>
          <w:sz w:val="24"/>
          <w:szCs w:val="24"/>
          <w:lang w:val="sq-AL"/>
        </w:rPr>
        <w:t>etor 2024</w:t>
      </w:r>
      <w:r w:rsidRPr="00641640">
        <w:rPr>
          <w:rFonts w:ascii="Times New Roman" w:hAnsi="Times New Roman" w:cs="Times New Roman"/>
          <w:noProof/>
          <w:sz w:val="24"/>
          <w:szCs w:val="24"/>
          <w:lang w:val="sq-AL"/>
        </w:rPr>
        <w:t>.</w:t>
      </w:r>
      <w:r w:rsidRPr="00641640">
        <w:rPr>
          <w:rStyle w:val="FootnoteReference"/>
          <w:rFonts w:ascii="Times New Roman" w:hAnsi="Times New Roman" w:cs="Times New Roman"/>
          <w:noProof/>
          <w:sz w:val="24"/>
          <w:szCs w:val="24"/>
          <w:lang w:val="sq-AL"/>
        </w:rPr>
        <w:footnoteReference w:id="37"/>
      </w:r>
    </w:p>
    <w:p w14:paraId="1A5F2AAF" w14:textId="77777777" w:rsidR="00D32B76" w:rsidRPr="00D32B76" w:rsidRDefault="00D32B76" w:rsidP="003A395D">
      <w:pPr>
        <w:spacing w:line="276" w:lineRule="auto"/>
        <w:jc w:val="both"/>
        <w:rPr>
          <w:rFonts w:ascii="Times New Roman" w:hAnsi="Times New Roman" w:cs="Times New Roman"/>
          <w:noProof/>
          <w:sz w:val="14"/>
          <w:szCs w:val="14"/>
          <w:lang w:val="sq-AL"/>
        </w:rPr>
      </w:pPr>
    </w:p>
    <w:p w14:paraId="31F78FAC" w14:textId="2A0002E2" w:rsidR="006E021E" w:rsidRPr="00641640" w:rsidRDefault="00FA5D5D" w:rsidP="003A395D">
      <w:pPr>
        <w:spacing w:line="276" w:lineRule="auto"/>
        <w:jc w:val="both"/>
        <w:rPr>
          <w:rFonts w:ascii="Times New Roman" w:hAnsi="Times New Roman" w:cs="Times New Roman"/>
          <w:b/>
          <w:bCs/>
          <w:i/>
          <w:iCs/>
          <w:noProof/>
          <w:sz w:val="24"/>
          <w:szCs w:val="24"/>
          <w:lang w:val="sq-AL"/>
        </w:rPr>
      </w:pPr>
      <w:r w:rsidRPr="00641640">
        <w:rPr>
          <w:rFonts w:ascii="Times New Roman" w:hAnsi="Times New Roman" w:cs="Times New Roman"/>
          <w:b/>
          <w:bCs/>
          <w:i/>
          <w:iCs/>
          <w:noProof/>
          <w:sz w:val="24"/>
          <w:szCs w:val="24"/>
          <w:lang w:val="sq-AL"/>
        </w:rPr>
        <w:t>Rekrutimi i mb</w:t>
      </w:r>
      <w:r w:rsidR="00B81F4F" w:rsidRPr="00641640">
        <w:rPr>
          <w:rFonts w:ascii="Times New Roman" w:hAnsi="Times New Roman" w:cs="Times New Roman"/>
          <w:b/>
          <w:bCs/>
          <w:i/>
          <w:iCs/>
          <w:noProof/>
          <w:sz w:val="24"/>
          <w:szCs w:val="24"/>
          <w:lang w:val="sq-AL"/>
        </w:rPr>
        <w:t>ë</w:t>
      </w:r>
      <w:r w:rsidRPr="00641640">
        <w:rPr>
          <w:rFonts w:ascii="Times New Roman" w:hAnsi="Times New Roman" w:cs="Times New Roman"/>
          <w:b/>
          <w:bCs/>
          <w:i/>
          <w:iCs/>
          <w:noProof/>
          <w:sz w:val="24"/>
          <w:szCs w:val="24"/>
          <w:lang w:val="sq-AL"/>
        </w:rPr>
        <w:t>shtetur në meritë</w:t>
      </w:r>
    </w:p>
    <w:p w14:paraId="69AB37BE" w14:textId="1EEDF8C5" w:rsidR="00874ACB" w:rsidRPr="00641640" w:rsidRDefault="00162214"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vler</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simin e Komisionit Evropian n</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Raportin e Shqyrtimit Analitik p</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Grupkapitujt I “Themeloret”, kuadri ligjor shqiptar vler</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sohet si gjerësisht i harmonizuar me parimet themelore të rekrutimit të bazuar në meritë dhe transparencë, me kritere t</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qarta dhe t</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mir</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p</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rcaktuara për uljen në detyrë dhe lirimin nga shërbimi civil.</w:t>
      </w:r>
      <w:r w:rsidRPr="00641640">
        <w:rPr>
          <w:rStyle w:val="FootnoteReference"/>
          <w:rFonts w:ascii="Times New Roman" w:hAnsi="Times New Roman" w:cs="Times New Roman"/>
          <w:noProof/>
          <w:sz w:val="24"/>
          <w:szCs w:val="24"/>
          <w:lang w:val="sq-AL"/>
        </w:rPr>
        <w:footnoteReference w:id="38"/>
      </w:r>
      <w:r w:rsidRPr="00641640">
        <w:rPr>
          <w:rFonts w:ascii="Times New Roman" w:hAnsi="Times New Roman" w:cs="Times New Roman"/>
          <w:noProof/>
          <w:sz w:val="24"/>
          <w:szCs w:val="24"/>
          <w:lang w:val="sq-AL"/>
        </w:rPr>
        <w:t xml:space="preserve"> </w:t>
      </w:r>
      <w:r w:rsidR="00214BDC" w:rsidRPr="00641640">
        <w:rPr>
          <w:rFonts w:ascii="Times New Roman" w:hAnsi="Times New Roman" w:cs="Times New Roman"/>
          <w:noProof/>
          <w:sz w:val="24"/>
          <w:szCs w:val="24"/>
          <w:lang w:val="sq-AL"/>
        </w:rPr>
        <w:t>P</w:t>
      </w:r>
      <w:r w:rsidR="00446C9B" w:rsidRPr="00641640">
        <w:rPr>
          <w:rFonts w:ascii="Times New Roman" w:hAnsi="Times New Roman" w:cs="Times New Roman"/>
          <w:noProof/>
          <w:sz w:val="24"/>
          <w:szCs w:val="24"/>
          <w:lang w:val="sq-AL"/>
        </w:rPr>
        <w:t>ë</w:t>
      </w:r>
      <w:r w:rsidR="00214BDC" w:rsidRPr="00641640">
        <w:rPr>
          <w:rFonts w:ascii="Times New Roman" w:hAnsi="Times New Roman" w:cs="Times New Roman"/>
          <w:noProof/>
          <w:sz w:val="24"/>
          <w:szCs w:val="24"/>
          <w:lang w:val="sq-AL"/>
        </w:rPr>
        <w:t>rmes l</w:t>
      </w:r>
      <w:r w:rsidR="007D6BC9" w:rsidRPr="00641640">
        <w:rPr>
          <w:rFonts w:ascii="Times New Roman" w:hAnsi="Times New Roman" w:cs="Times New Roman"/>
          <w:noProof/>
          <w:sz w:val="24"/>
          <w:szCs w:val="24"/>
          <w:lang w:val="sq-AL"/>
        </w:rPr>
        <w:t>igji</w:t>
      </w:r>
      <w:r w:rsidR="00214BDC" w:rsidRPr="00641640">
        <w:rPr>
          <w:rFonts w:ascii="Times New Roman" w:hAnsi="Times New Roman" w:cs="Times New Roman"/>
          <w:noProof/>
          <w:sz w:val="24"/>
          <w:szCs w:val="24"/>
          <w:lang w:val="sq-AL"/>
        </w:rPr>
        <w:t>t</w:t>
      </w:r>
      <w:r w:rsidR="007D6BC9" w:rsidRPr="00641640">
        <w:rPr>
          <w:rFonts w:ascii="Times New Roman" w:hAnsi="Times New Roman" w:cs="Times New Roman"/>
          <w:noProof/>
          <w:sz w:val="24"/>
          <w:szCs w:val="24"/>
          <w:lang w:val="sq-AL"/>
        </w:rPr>
        <w:t xml:space="preserve"> 152/2013 “P</w:t>
      </w:r>
      <w:r w:rsidR="00E479F0" w:rsidRPr="00641640">
        <w:rPr>
          <w:rFonts w:ascii="Times New Roman" w:hAnsi="Times New Roman" w:cs="Times New Roman"/>
          <w:noProof/>
          <w:sz w:val="24"/>
          <w:szCs w:val="24"/>
          <w:lang w:val="sq-AL"/>
        </w:rPr>
        <w:t>ë</w:t>
      </w:r>
      <w:r w:rsidR="007D6BC9" w:rsidRPr="00641640">
        <w:rPr>
          <w:rFonts w:ascii="Times New Roman" w:hAnsi="Times New Roman" w:cs="Times New Roman"/>
          <w:noProof/>
          <w:sz w:val="24"/>
          <w:szCs w:val="24"/>
          <w:lang w:val="sq-AL"/>
        </w:rPr>
        <w:t>r n</w:t>
      </w:r>
      <w:r w:rsidR="00E479F0" w:rsidRPr="00641640">
        <w:rPr>
          <w:rFonts w:ascii="Times New Roman" w:hAnsi="Times New Roman" w:cs="Times New Roman"/>
          <w:noProof/>
          <w:sz w:val="24"/>
          <w:szCs w:val="24"/>
          <w:lang w:val="sq-AL"/>
        </w:rPr>
        <w:t>ë</w:t>
      </w:r>
      <w:r w:rsidR="007D6BC9" w:rsidRPr="00641640">
        <w:rPr>
          <w:rFonts w:ascii="Times New Roman" w:hAnsi="Times New Roman" w:cs="Times New Roman"/>
          <w:noProof/>
          <w:sz w:val="24"/>
          <w:szCs w:val="24"/>
          <w:lang w:val="sq-AL"/>
        </w:rPr>
        <w:t>pun</w:t>
      </w:r>
      <w:r w:rsidR="00E479F0" w:rsidRPr="00641640">
        <w:rPr>
          <w:rFonts w:ascii="Times New Roman" w:hAnsi="Times New Roman" w:cs="Times New Roman"/>
          <w:noProof/>
          <w:sz w:val="24"/>
          <w:szCs w:val="24"/>
          <w:lang w:val="sq-AL"/>
        </w:rPr>
        <w:t>ë</w:t>
      </w:r>
      <w:r w:rsidR="007D6BC9" w:rsidRPr="00641640">
        <w:rPr>
          <w:rFonts w:ascii="Times New Roman" w:hAnsi="Times New Roman" w:cs="Times New Roman"/>
          <w:noProof/>
          <w:sz w:val="24"/>
          <w:szCs w:val="24"/>
          <w:lang w:val="sq-AL"/>
        </w:rPr>
        <w:t xml:space="preserve">sin civil” </w:t>
      </w:r>
      <w:r w:rsidR="00214BDC" w:rsidRPr="00641640">
        <w:rPr>
          <w:rFonts w:ascii="Times New Roman" w:hAnsi="Times New Roman" w:cs="Times New Roman"/>
          <w:noProof/>
          <w:sz w:val="24"/>
          <w:szCs w:val="24"/>
          <w:lang w:val="sq-AL"/>
        </w:rPr>
        <w:t>u mund</w:t>
      </w:r>
      <w:r w:rsidR="00446C9B" w:rsidRPr="00641640">
        <w:rPr>
          <w:rFonts w:ascii="Times New Roman" w:hAnsi="Times New Roman" w:cs="Times New Roman"/>
          <w:noProof/>
          <w:sz w:val="24"/>
          <w:szCs w:val="24"/>
          <w:lang w:val="sq-AL"/>
        </w:rPr>
        <w:t>ë</w:t>
      </w:r>
      <w:r w:rsidR="00214BDC" w:rsidRPr="00641640">
        <w:rPr>
          <w:rFonts w:ascii="Times New Roman" w:hAnsi="Times New Roman" w:cs="Times New Roman"/>
          <w:noProof/>
          <w:sz w:val="24"/>
          <w:szCs w:val="24"/>
          <w:lang w:val="sq-AL"/>
        </w:rPr>
        <w:t>sua krijimi i nj</w:t>
      </w:r>
      <w:r w:rsidR="00446C9B" w:rsidRPr="00641640">
        <w:rPr>
          <w:rFonts w:ascii="Times New Roman" w:hAnsi="Times New Roman" w:cs="Times New Roman"/>
          <w:noProof/>
          <w:sz w:val="24"/>
          <w:szCs w:val="24"/>
          <w:lang w:val="sq-AL"/>
        </w:rPr>
        <w:t>ë</w:t>
      </w:r>
      <w:r w:rsidR="00214BDC" w:rsidRPr="00641640">
        <w:rPr>
          <w:rFonts w:ascii="Times New Roman" w:hAnsi="Times New Roman" w:cs="Times New Roman"/>
          <w:noProof/>
          <w:sz w:val="24"/>
          <w:szCs w:val="24"/>
          <w:lang w:val="sq-AL"/>
        </w:rPr>
        <w:t xml:space="preserve"> sistemi ku ngritja  </w:t>
      </w:r>
      <w:r w:rsidR="00EC10B3" w:rsidRPr="00641640">
        <w:rPr>
          <w:rFonts w:ascii="Times New Roman" w:hAnsi="Times New Roman" w:cs="Times New Roman"/>
          <w:noProof/>
          <w:sz w:val="24"/>
          <w:szCs w:val="24"/>
          <w:lang w:val="sq-AL"/>
        </w:rPr>
        <w:t>në karrierë</w:t>
      </w:r>
      <w:r w:rsidR="00DC3036" w:rsidRPr="00641640">
        <w:rPr>
          <w:rFonts w:ascii="Times New Roman" w:hAnsi="Times New Roman" w:cs="Times New Roman"/>
          <w:noProof/>
          <w:sz w:val="24"/>
          <w:szCs w:val="24"/>
          <w:lang w:val="sq-AL"/>
        </w:rPr>
        <w:t xml:space="preserve"> </w:t>
      </w:r>
      <w:r w:rsidR="00214BDC" w:rsidRPr="00641640">
        <w:rPr>
          <w:rFonts w:ascii="Times New Roman" w:hAnsi="Times New Roman" w:cs="Times New Roman"/>
          <w:noProof/>
          <w:sz w:val="24"/>
          <w:szCs w:val="24"/>
          <w:lang w:val="sq-AL"/>
        </w:rPr>
        <w:t>merr nj</w:t>
      </w:r>
      <w:r w:rsidR="00446C9B" w:rsidRPr="00641640">
        <w:rPr>
          <w:rFonts w:ascii="Times New Roman" w:hAnsi="Times New Roman" w:cs="Times New Roman"/>
          <w:noProof/>
          <w:sz w:val="24"/>
          <w:szCs w:val="24"/>
          <w:lang w:val="sq-AL"/>
        </w:rPr>
        <w:t>ë</w:t>
      </w:r>
      <w:r w:rsidR="00214BDC" w:rsidRPr="00641640">
        <w:rPr>
          <w:rFonts w:ascii="Times New Roman" w:hAnsi="Times New Roman" w:cs="Times New Roman"/>
          <w:noProof/>
          <w:sz w:val="24"/>
          <w:szCs w:val="24"/>
          <w:lang w:val="sq-AL"/>
        </w:rPr>
        <w:t xml:space="preserve"> pesh</w:t>
      </w:r>
      <w:r w:rsidR="00446C9B" w:rsidRPr="00641640">
        <w:rPr>
          <w:rFonts w:ascii="Times New Roman" w:hAnsi="Times New Roman" w:cs="Times New Roman"/>
          <w:noProof/>
          <w:sz w:val="24"/>
          <w:szCs w:val="24"/>
          <w:lang w:val="sq-AL"/>
        </w:rPr>
        <w:t>ë</w:t>
      </w:r>
      <w:r w:rsidR="00214BDC" w:rsidRPr="00641640">
        <w:rPr>
          <w:rFonts w:ascii="Times New Roman" w:hAnsi="Times New Roman" w:cs="Times New Roman"/>
          <w:noProof/>
          <w:sz w:val="24"/>
          <w:szCs w:val="24"/>
          <w:lang w:val="sq-AL"/>
        </w:rPr>
        <w:t xml:space="preserve"> qendrore </w:t>
      </w:r>
      <w:r w:rsidR="00EC10B3" w:rsidRPr="00641640">
        <w:rPr>
          <w:rFonts w:ascii="Times New Roman" w:hAnsi="Times New Roman" w:cs="Times New Roman"/>
          <w:noProof/>
          <w:sz w:val="24"/>
          <w:szCs w:val="24"/>
          <w:lang w:val="sq-AL"/>
        </w:rPr>
        <w:t>dhe promovim</w:t>
      </w:r>
      <w:r w:rsidR="00214BDC" w:rsidRPr="00641640">
        <w:rPr>
          <w:rFonts w:ascii="Times New Roman" w:hAnsi="Times New Roman" w:cs="Times New Roman"/>
          <w:noProof/>
          <w:sz w:val="24"/>
          <w:szCs w:val="24"/>
          <w:lang w:val="sq-AL"/>
        </w:rPr>
        <w:t xml:space="preserve">i </w:t>
      </w:r>
      <w:r w:rsidR="00446C9B" w:rsidRPr="00641640">
        <w:rPr>
          <w:rFonts w:ascii="Times New Roman" w:hAnsi="Times New Roman" w:cs="Times New Roman"/>
          <w:noProof/>
          <w:sz w:val="24"/>
          <w:szCs w:val="24"/>
          <w:lang w:val="sq-AL"/>
        </w:rPr>
        <w:t>ë</w:t>
      </w:r>
      <w:r w:rsidR="00214BDC" w:rsidRPr="00641640">
        <w:rPr>
          <w:rFonts w:ascii="Times New Roman" w:hAnsi="Times New Roman" w:cs="Times New Roman"/>
          <w:noProof/>
          <w:sz w:val="24"/>
          <w:szCs w:val="24"/>
          <w:lang w:val="sq-AL"/>
        </w:rPr>
        <w:t>sht</w:t>
      </w:r>
      <w:r w:rsidR="00446C9B" w:rsidRPr="00641640">
        <w:rPr>
          <w:rFonts w:ascii="Times New Roman" w:hAnsi="Times New Roman" w:cs="Times New Roman"/>
          <w:noProof/>
          <w:sz w:val="24"/>
          <w:szCs w:val="24"/>
          <w:lang w:val="sq-AL"/>
        </w:rPr>
        <w:t>ë</w:t>
      </w:r>
      <w:r w:rsidR="00214BDC" w:rsidRPr="00641640">
        <w:rPr>
          <w:rFonts w:ascii="Times New Roman" w:hAnsi="Times New Roman" w:cs="Times New Roman"/>
          <w:noProof/>
          <w:sz w:val="24"/>
          <w:szCs w:val="24"/>
          <w:lang w:val="sq-AL"/>
        </w:rPr>
        <w:t xml:space="preserve"> kryesisht i hapur</w:t>
      </w:r>
      <w:r w:rsidR="00EC10B3" w:rsidRPr="00641640">
        <w:rPr>
          <w:rFonts w:ascii="Times New Roman" w:hAnsi="Times New Roman" w:cs="Times New Roman"/>
          <w:noProof/>
          <w:sz w:val="24"/>
          <w:szCs w:val="24"/>
          <w:lang w:val="sq-AL"/>
        </w:rPr>
        <w:t xml:space="preserve"> vetëm për nëpunësit ekzistues</w:t>
      </w:r>
      <w:r w:rsidR="00214BDC" w:rsidRPr="00641640">
        <w:rPr>
          <w:rFonts w:ascii="Times New Roman" w:hAnsi="Times New Roman" w:cs="Times New Roman"/>
          <w:noProof/>
          <w:sz w:val="24"/>
          <w:szCs w:val="24"/>
          <w:lang w:val="sq-AL"/>
        </w:rPr>
        <w:t>, me përjashtim të rasteve të veçanta t</w:t>
      </w:r>
      <w:r w:rsidR="00446C9B" w:rsidRPr="00641640">
        <w:rPr>
          <w:rFonts w:ascii="Times New Roman" w:hAnsi="Times New Roman" w:cs="Times New Roman"/>
          <w:noProof/>
          <w:sz w:val="24"/>
          <w:szCs w:val="24"/>
          <w:lang w:val="sq-AL"/>
        </w:rPr>
        <w:t>ë</w:t>
      </w:r>
      <w:r w:rsidR="00214BDC" w:rsidRPr="00641640">
        <w:rPr>
          <w:rFonts w:ascii="Times New Roman" w:hAnsi="Times New Roman" w:cs="Times New Roman"/>
          <w:noProof/>
          <w:sz w:val="24"/>
          <w:szCs w:val="24"/>
          <w:lang w:val="sq-AL"/>
        </w:rPr>
        <w:t xml:space="preserve"> promovimit që </w:t>
      </w:r>
      <w:r w:rsidR="00874ACB" w:rsidRPr="00641640">
        <w:rPr>
          <w:rFonts w:ascii="Times New Roman" w:hAnsi="Times New Roman" w:cs="Times New Roman"/>
          <w:noProof/>
          <w:sz w:val="24"/>
          <w:szCs w:val="24"/>
          <w:lang w:val="sq-AL"/>
        </w:rPr>
        <w:t>p</w:t>
      </w:r>
      <w:r w:rsidR="00446C9B" w:rsidRPr="00641640">
        <w:rPr>
          <w:rFonts w:ascii="Times New Roman" w:hAnsi="Times New Roman" w:cs="Times New Roman"/>
          <w:noProof/>
          <w:sz w:val="24"/>
          <w:szCs w:val="24"/>
          <w:lang w:val="sq-AL"/>
        </w:rPr>
        <w:t>ë</w:t>
      </w:r>
      <w:r w:rsidR="00874ACB" w:rsidRPr="00641640">
        <w:rPr>
          <w:rFonts w:ascii="Times New Roman" w:hAnsi="Times New Roman" w:cs="Times New Roman"/>
          <w:noProof/>
          <w:sz w:val="24"/>
          <w:szCs w:val="24"/>
          <w:lang w:val="sq-AL"/>
        </w:rPr>
        <w:t>rb</w:t>
      </w:r>
      <w:r w:rsidR="00446C9B" w:rsidRPr="00641640">
        <w:rPr>
          <w:rFonts w:ascii="Times New Roman" w:hAnsi="Times New Roman" w:cs="Times New Roman"/>
          <w:noProof/>
          <w:sz w:val="24"/>
          <w:szCs w:val="24"/>
          <w:lang w:val="sq-AL"/>
        </w:rPr>
        <w:t>ë</w:t>
      </w:r>
      <w:r w:rsidR="00874ACB" w:rsidRPr="00641640">
        <w:rPr>
          <w:rFonts w:ascii="Times New Roman" w:hAnsi="Times New Roman" w:cs="Times New Roman"/>
          <w:noProof/>
          <w:sz w:val="24"/>
          <w:szCs w:val="24"/>
          <w:lang w:val="sq-AL"/>
        </w:rPr>
        <w:t>jn</w:t>
      </w:r>
      <w:r w:rsidR="00446C9B" w:rsidRPr="00641640">
        <w:rPr>
          <w:rFonts w:ascii="Times New Roman" w:hAnsi="Times New Roman" w:cs="Times New Roman"/>
          <w:noProof/>
          <w:sz w:val="24"/>
          <w:szCs w:val="24"/>
          <w:lang w:val="sq-AL"/>
        </w:rPr>
        <w:t>ë</w:t>
      </w:r>
      <w:r w:rsidR="00874ACB" w:rsidRPr="00641640">
        <w:rPr>
          <w:rFonts w:ascii="Times New Roman" w:hAnsi="Times New Roman" w:cs="Times New Roman"/>
          <w:noProof/>
          <w:sz w:val="24"/>
          <w:szCs w:val="24"/>
          <w:lang w:val="sq-AL"/>
        </w:rPr>
        <w:t xml:space="preserve"> </w:t>
      </w:r>
      <w:r w:rsidR="00214BDC" w:rsidRPr="00641640">
        <w:rPr>
          <w:rFonts w:ascii="Times New Roman" w:hAnsi="Times New Roman" w:cs="Times New Roman"/>
          <w:noProof/>
          <w:sz w:val="24"/>
          <w:szCs w:val="24"/>
          <w:lang w:val="sq-AL"/>
        </w:rPr>
        <w:t>maksimalisht 20% t</w:t>
      </w:r>
      <w:r w:rsidR="00446C9B" w:rsidRPr="00641640">
        <w:rPr>
          <w:rFonts w:ascii="Times New Roman" w:hAnsi="Times New Roman" w:cs="Times New Roman"/>
          <w:noProof/>
          <w:sz w:val="24"/>
          <w:szCs w:val="24"/>
          <w:lang w:val="sq-AL"/>
        </w:rPr>
        <w:t>ë</w:t>
      </w:r>
      <w:r w:rsidR="00214BDC" w:rsidRPr="00641640">
        <w:rPr>
          <w:rFonts w:ascii="Times New Roman" w:hAnsi="Times New Roman" w:cs="Times New Roman"/>
          <w:noProof/>
          <w:sz w:val="24"/>
          <w:szCs w:val="24"/>
          <w:lang w:val="sq-AL"/>
        </w:rPr>
        <w:t xml:space="preserve"> promovimeve totale. </w:t>
      </w:r>
    </w:p>
    <w:p w14:paraId="051771D0" w14:textId="12E3D68D" w:rsidR="00E45EA0" w:rsidRPr="00641640" w:rsidRDefault="00214BDC"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Modeli i zbatuar eleminoi të drejtën diskrecionare të drejtuesve të institucioneve për të zgjedhur kandidatët fitues dhe </w:t>
      </w:r>
      <w:r w:rsidR="00874ACB" w:rsidRPr="00641640">
        <w:rPr>
          <w:rFonts w:ascii="Times New Roman" w:hAnsi="Times New Roman" w:cs="Times New Roman"/>
          <w:noProof/>
          <w:sz w:val="24"/>
          <w:szCs w:val="24"/>
          <w:lang w:val="sq-AL"/>
        </w:rPr>
        <w:t>mund</w:t>
      </w:r>
      <w:r w:rsidR="00446C9B" w:rsidRPr="00641640">
        <w:rPr>
          <w:rFonts w:ascii="Times New Roman" w:hAnsi="Times New Roman" w:cs="Times New Roman"/>
          <w:noProof/>
          <w:sz w:val="24"/>
          <w:szCs w:val="24"/>
          <w:lang w:val="sq-AL"/>
        </w:rPr>
        <w:t>ë</w:t>
      </w:r>
      <w:r w:rsidR="00874ACB" w:rsidRPr="00641640">
        <w:rPr>
          <w:rFonts w:ascii="Times New Roman" w:hAnsi="Times New Roman" w:cs="Times New Roman"/>
          <w:noProof/>
          <w:sz w:val="24"/>
          <w:szCs w:val="24"/>
          <w:lang w:val="sq-AL"/>
        </w:rPr>
        <w:t>soi kalimin n</w:t>
      </w:r>
      <w:r w:rsidR="00446C9B" w:rsidRPr="00641640">
        <w:rPr>
          <w:rFonts w:ascii="Times New Roman" w:hAnsi="Times New Roman" w:cs="Times New Roman"/>
          <w:noProof/>
          <w:sz w:val="24"/>
          <w:szCs w:val="24"/>
          <w:lang w:val="sq-AL"/>
        </w:rPr>
        <w:t>ë</w:t>
      </w:r>
      <w:r w:rsidR="00874ACB" w:rsidRPr="00641640">
        <w:rPr>
          <w:rFonts w:ascii="Times New Roman" w:hAnsi="Times New Roman" w:cs="Times New Roman"/>
          <w:noProof/>
          <w:sz w:val="24"/>
          <w:szCs w:val="24"/>
          <w:lang w:val="sq-AL"/>
        </w:rPr>
        <w:t xml:space="preserve"> nj</w:t>
      </w:r>
      <w:r w:rsidR="00446C9B" w:rsidRPr="00641640">
        <w:rPr>
          <w:rFonts w:ascii="Times New Roman" w:hAnsi="Times New Roman" w:cs="Times New Roman"/>
          <w:noProof/>
          <w:sz w:val="24"/>
          <w:szCs w:val="24"/>
          <w:lang w:val="sq-AL"/>
        </w:rPr>
        <w:t>ë</w:t>
      </w:r>
      <w:r w:rsidR="00874ACB" w:rsidRPr="00641640">
        <w:rPr>
          <w:rFonts w:ascii="Times New Roman" w:hAnsi="Times New Roman" w:cs="Times New Roman"/>
          <w:noProof/>
          <w:sz w:val="24"/>
          <w:szCs w:val="24"/>
          <w:lang w:val="sq-AL"/>
        </w:rPr>
        <w:t xml:space="preserve"> sistem t</w:t>
      </w:r>
      <w:r w:rsidR="00446C9B" w:rsidRPr="00641640">
        <w:rPr>
          <w:rFonts w:ascii="Times New Roman" w:hAnsi="Times New Roman" w:cs="Times New Roman"/>
          <w:noProof/>
          <w:sz w:val="24"/>
          <w:szCs w:val="24"/>
          <w:lang w:val="sq-AL"/>
        </w:rPr>
        <w:t>ë</w:t>
      </w:r>
      <w:r w:rsidR="00874ACB" w:rsidRPr="00641640">
        <w:rPr>
          <w:rFonts w:ascii="Times New Roman" w:hAnsi="Times New Roman" w:cs="Times New Roman"/>
          <w:noProof/>
          <w:sz w:val="24"/>
          <w:szCs w:val="24"/>
          <w:lang w:val="sq-AL"/>
        </w:rPr>
        <w:t xml:space="preserve"> ri</w:t>
      </w:r>
      <w:r w:rsidRPr="00641640">
        <w:rPr>
          <w:rFonts w:ascii="Times New Roman" w:hAnsi="Times New Roman" w:cs="Times New Roman"/>
          <w:noProof/>
          <w:sz w:val="24"/>
          <w:szCs w:val="24"/>
          <w:lang w:val="sq-AL"/>
        </w:rPr>
        <w:t xml:space="preserve"> ku kandidati i renditur i pari zgjedh nga lista e pozicioneve të lira. Gjatë këtyre viteve</w:t>
      </w:r>
      <w:r w:rsidR="00874ACB" w:rsidRPr="00641640">
        <w:rPr>
          <w:rFonts w:ascii="Times New Roman" w:hAnsi="Times New Roman" w:cs="Times New Roman"/>
          <w:noProof/>
          <w:sz w:val="24"/>
          <w:szCs w:val="24"/>
          <w:lang w:val="sq-AL"/>
        </w:rPr>
        <w:t xml:space="preserve"> t</w:t>
      </w:r>
      <w:r w:rsidR="00446C9B" w:rsidRPr="00641640">
        <w:rPr>
          <w:rFonts w:ascii="Times New Roman" w:hAnsi="Times New Roman" w:cs="Times New Roman"/>
          <w:noProof/>
          <w:sz w:val="24"/>
          <w:szCs w:val="24"/>
          <w:lang w:val="sq-AL"/>
        </w:rPr>
        <w:t>ë</w:t>
      </w:r>
      <w:r w:rsidR="00874ACB" w:rsidRPr="00641640">
        <w:rPr>
          <w:rFonts w:ascii="Times New Roman" w:hAnsi="Times New Roman" w:cs="Times New Roman"/>
          <w:noProof/>
          <w:sz w:val="24"/>
          <w:szCs w:val="24"/>
          <w:lang w:val="sq-AL"/>
        </w:rPr>
        <w:t xml:space="preserve"> zbatimit t</w:t>
      </w:r>
      <w:r w:rsidR="00446C9B" w:rsidRPr="00641640">
        <w:rPr>
          <w:rFonts w:ascii="Times New Roman" w:hAnsi="Times New Roman" w:cs="Times New Roman"/>
          <w:noProof/>
          <w:sz w:val="24"/>
          <w:szCs w:val="24"/>
          <w:lang w:val="sq-AL"/>
        </w:rPr>
        <w:t>ë</w:t>
      </w:r>
      <w:r w:rsidR="00874ACB" w:rsidRPr="00641640">
        <w:rPr>
          <w:rFonts w:ascii="Times New Roman" w:hAnsi="Times New Roman" w:cs="Times New Roman"/>
          <w:noProof/>
          <w:sz w:val="24"/>
          <w:szCs w:val="24"/>
          <w:lang w:val="sq-AL"/>
        </w:rPr>
        <w:t xml:space="preserve"> ligjit</w:t>
      </w:r>
      <w:r w:rsidRPr="00641640">
        <w:rPr>
          <w:rFonts w:ascii="Times New Roman" w:hAnsi="Times New Roman" w:cs="Times New Roman"/>
          <w:noProof/>
          <w:sz w:val="24"/>
          <w:szCs w:val="24"/>
          <w:lang w:val="sq-AL"/>
        </w:rPr>
        <w:t>, si rezultat i reformave të ndërmarra u ndërtua</w:t>
      </w:r>
      <w:r w:rsidR="00874ACB" w:rsidRPr="00641640">
        <w:rPr>
          <w:rFonts w:ascii="Times New Roman" w:hAnsi="Times New Roman" w:cs="Times New Roman"/>
          <w:noProof/>
          <w:sz w:val="24"/>
          <w:szCs w:val="24"/>
          <w:lang w:val="sq-AL"/>
        </w:rPr>
        <w:t xml:space="preserve"> p</w:t>
      </w:r>
      <w:r w:rsidR="00EC10B3" w:rsidRPr="00641640">
        <w:rPr>
          <w:rFonts w:ascii="Times New Roman" w:hAnsi="Times New Roman" w:cs="Times New Roman"/>
          <w:noProof/>
          <w:sz w:val="24"/>
          <w:szCs w:val="24"/>
          <w:lang w:val="sq-AL"/>
        </w:rPr>
        <w:t xml:space="preserve">ër herë të parë një sistem elektronik i </w:t>
      </w:r>
      <w:r w:rsidR="000849D0" w:rsidRPr="00641640">
        <w:rPr>
          <w:rFonts w:ascii="Times New Roman" w:hAnsi="Times New Roman" w:cs="Times New Roman"/>
          <w:noProof/>
          <w:sz w:val="24"/>
          <w:szCs w:val="24"/>
          <w:lang w:val="sq-AL"/>
        </w:rPr>
        <w:t xml:space="preserve">korrigjimit të </w:t>
      </w:r>
      <w:r w:rsidR="00EC10B3" w:rsidRPr="00641640">
        <w:rPr>
          <w:rFonts w:ascii="Times New Roman" w:hAnsi="Times New Roman" w:cs="Times New Roman"/>
          <w:noProof/>
          <w:sz w:val="24"/>
          <w:szCs w:val="24"/>
          <w:lang w:val="sq-AL"/>
        </w:rPr>
        <w:t xml:space="preserve">testimit, mbështetur në një </w:t>
      </w:r>
      <w:r w:rsidR="00EC4B89" w:rsidRPr="00641640">
        <w:rPr>
          <w:rFonts w:ascii="Times New Roman" w:hAnsi="Times New Roman" w:cs="Times New Roman"/>
          <w:noProof/>
          <w:sz w:val="24"/>
          <w:szCs w:val="24"/>
          <w:lang w:val="sq-AL"/>
        </w:rPr>
        <w:t>bank</w:t>
      </w:r>
      <w:r w:rsidR="007F00FB" w:rsidRPr="00641640">
        <w:rPr>
          <w:rFonts w:ascii="Times New Roman" w:hAnsi="Times New Roman" w:cs="Times New Roman"/>
          <w:noProof/>
          <w:sz w:val="24"/>
          <w:szCs w:val="24"/>
          <w:lang w:val="sq-AL"/>
        </w:rPr>
        <w:t>ë</w:t>
      </w:r>
      <w:r w:rsidR="00EC10B3" w:rsidRPr="00641640">
        <w:rPr>
          <w:rFonts w:ascii="Times New Roman" w:hAnsi="Times New Roman" w:cs="Times New Roman"/>
          <w:noProof/>
          <w:sz w:val="24"/>
          <w:szCs w:val="24"/>
          <w:lang w:val="sq-AL"/>
        </w:rPr>
        <w:t xml:space="preserve"> pyetjesh </w:t>
      </w:r>
      <w:r w:rsidR="00874ACB" w:rsidRPr="00641640">
        <w:rPr>
          <w:rFonts w:ascii="Times New Roman" w:hAnsi="Times New Roman" w:cs="Times New Roman"/>
          <w:noProof/>
          <w:sz w:val="24"/>
          <w:szCs w:val="24"/>
          <w:lang w:val="sq-AL"/>
        </w:rPr>
        <w:t>p</w:t>
      </w:r>
      <w:r w:rsidR="00446C9B" w:rsidRPr="00641640">
        <w:rPr>
          <w:rFonts w:ascii="Times New Roman" w:hAnsi="Times New Roman" w:cs="Times New Roman"/>
          <w:noProof/>
          <w:sz w:val="24"/>
          <w:szCs w:val="24"/>
          <w:lang w:val="sq-AL"/>
        </w:rPr>
        <w:t>ë</w:t>
      </w:r>
      <w:r w:rsidR="00874ACB" w:rsidRPr="00641640">
        <w:rPr>
          <w:rFonts w:ascii="Times New Roman" w:hAnsi="Times New Roman" w:cs="Times New Roman"/>
          <w:noProof/>
          <w:sz w:val="24"/>
          <w:szCs w:val="24"/>
          <w:lang w:val="sq-AL"/>
        </w:rPr>
        <w:t>r</w:t>
      </w:r>
      <w:r w:rsidR="00EC4B89" w:rsidRPr="00641640">
        <w:rPr>
          <w:rFonts w:ascii="Times New Roman" w:hAnsi="Times New Roman" w:cs="Times New Roman"/>
          <w:noProof/>
          <w:sz w:val="24"/>
          <w:szCs w:val="24"/>
          <w:lang w:val="sq-AL"/>
        </w:rPr>
        <w:t xml:space="preserve"> </w:t>
      </w:r>
      <w:r w:rsidR="00EC10B3" w:rsidRPr="00641640">
        <w:rPr>
          <w:rFonts w:ascii="Times New Roman" w:hAnsi="Times New Roman" w:cs="Times New Roman"/>
          <w:noProof/>
          <w:sz w:val="24"/>
          <w:szCs w:val="24"/>
          <w:lang w:val="sq-AL"/>
        </w:rPr>
        <w:t xml:space="preserve">të gjitha fushat </w:t>
      </w:r>
      <w:r w:rsidR="00874ACB" w:rsidRPr="00641640">
        <w:rPr>
          <w:rFonts w:ascii="Times New Roman" w:hAnsi="Times New Roman" w:cs="Times New Roman"/>
          <w:noProof/>
          <w:sz w:val="24"/>
          <w:szCs w:val="24"/>
          <w:lang w:val="sq-AL"/>
        </w:rPr>
        <w:t xml:space="preserve">e testimit, </w:t>
      </w:r>
      <w:r w:rsidR="00DC3036" w:rsidRPr="00641640">
        <w:rPr>
          <w:rFonts w:ascii="Times New Roman" w:hAnsi="Times New Roman" w:cs="Times New Roman"/>
          <w:noProof/>
          <w:sz w:val="24"/>
          <w:szCs w:val="24"/>
          <w:lang w:val="sq-AL"/>
        </w:rPr>
        <w:t>duke</w:t>
      </w:r>
      <w:r w:rsidR="00874ACB" w:rsidRPr="00641640">
        <w:rPr>
          <w:rFonts w:ascii="Times New Roman" w:hAnsi="Times New Roman" w:cs="Times New Roman"/>
          <w:noProof/>
          <w:sz w:val="24"/>
          <w:szCs w:val="24"/>
          <w:lang w:val="sq-AL"/>
        </w:rPr>
        <w:t xml:space="preserve"> rritur</w:t>
      </w:r>
      <w:r w:rsidR="00DC3036" w:rsidRPr="00641640">
        <w:rPr>
          <w:rFonts w:ascii="Times New Roman" w:hAnsi="Times New Roman" w:cs="Times New Roman"/>
          <w:noProof/>
          <w:sz w:val="24"/>
          <w:szCs w:val="24"/>
          <w:lang w:val="sq-AL"/>
        </w:rPr>
        <w:t xml:space="preserve"> k</w:t>
      </w:r>
      <w:r w:rsidR="00E479F0" w:rsidRPr="00641640">
        <w:rPr>
          <w:rFonts w:ascii="Times New Roman" w:hAnsi="Times New Roman" w:cs="Times New Roman"/>
          <w:noProof/>
          <w:sz w:val="24"/>
          <w:szCs w:val="24"/>
          <w:lang w:val="sq-AL"/>
        </w:rPr>
        <w:t>ë</w:t>
      </w:r>
      <w:r w:rsidR="00DC3036" w:rsidRPr="00641640">
        <w:rPr>
          <w:rFonts w:ascii="Times New Roman" w:hAnsi="Times New Roman" w:cs="Times New Roman"/>
          <w:noProof/>
          <w:sz w:val="24"/>
          <w:szCs w:val="24"/>
          <w:lang w:val="sq-AL"/>
        </w:rPr>
        <w:t>shtu</w:t>
      </w:r>
      <w:r w:rsidR="00EC4B89" w:rsidRPr="00641640">
        <w:rPr>
          <w:rFonts w:ascii="Times New Roman" w:hAnsi="Times New Roman" w:cs="Times New Roman"/>
          <w:noProof/>
          <w:sz w:val="24"/>
          <w:szCs w:val="24"/>
          <w:lang w:val="sq-AL"/>
        </w:rPr>
        <w:t xml:space="preserve"> </w:t>
      </w:r>
      <w:r w:rsidR="00DC3036" w:rsidRPr="00641640">
        <w:rPr>
          <w:rFonts w:ascii="Times New Roman" w:hAnsi="Times New Roman" w:cs="Times New Roman"/>
          <w:noProof/>
          <w:sz w:val="24"/>
          <w:szCs w:val="24"/>
          <w:lang w:val="sq-AL"/>
        </w:rPr>
        <w:t xml:space="preserve">objektivitetin </w:t>
      </w:r>
      <w:r w:rsidR="00EC10B3" w:rsidRPr="00641640">
        <w:rPr>
          <w:rFonts w:ascii="Times New Roman" w:hAnsi="Times New Roman" w:cs="Times New Roman"/>
          <w:noProof/>
          <w:sz w:val="24"/>
          <w:szCs w:val="24"/>
          <w:lang w:val="sq-AL"/>
        </w:rPr>
        <w:t>dhe merit</w:t>
      </w:r>
      <w:r w:rsidR="00DC3036" w:rsidRPr="00641640">
        <w:rPr>
          <w:rFonts w:ascii="Times New Roman" w:hAnsi="Times New Roman" w:cs="Times New Roman"/>
          <w:noProof/>
          <w:sz w:val="24"/>
          <w:szCs w:val="24"/>
          <w:lang w:val="sq-AL"/>
        </w:rPr>
        <w:t>okracin</w:t>
      </w:r>
      <w:r w:rsidR="00E479F0" w:rsidRPr="00641640">
        <w:rPr>
          <w:rFonts w:ascii="Times New Roman" w:hAnsi="Times New Roman" w:cs="Times New Roman"/>
          <w:noProof/>
          <w:sz w:val="24"/>
          <w:szCs w:val="24"/>
          <w:lang w:val="sq-AL"/>
        </w:rPr>
        <w:t>ë</w:t>
      </w:r>
      <w:r w:rsidR="00EC10B3" w:rsidRPr="00641640">
        <w:rPr>
          <w:rFonts w:ascii="Times New Roman" w:hAnsi="Times New Roman" w:cs="Times New Roman"/>
          <w:noProof/>
          <w:sz w:val="24"/>
          <w:szCs w:val="24"/>
          <w:lang w:val="sq-AL"/>
        </w:rPr>
        <w:t xml:space="preserve"> në </w:t>
      </w:r>
      <w:r w:rsidR="00EC4B89" w:rsidRPr="00641640">
        <w:rPr>
          <w:rFonts w:ascii="Times New Roman" w:hAnsi="Times New Roman" w:cs="Times New Roman"/>
          <w:noProof/>
          <w:sz w:val="24"/>
          <w:szCs w:val="24"/>
          <w:lang w:val="sq-AL"/>
        </w:rPr>
        <w:t xml:space="preserve">procesin e </w:t>
      </w:r>
      <w:r w:rsidR="00EC10B3" w:rsidRPr="00641640">
        <w:rPr>
          <w:rFonts w:ascii="Times New Roman" w:hAnsi="Times New Roman" w:cs="Times New Roman"/>
          <w:noProof/>
          <w:sz w:val="24"/>
          <w:szCs w:val="24"/>
          <w:lang w:val="sq-AL"/>
        </w:rPr>
        <w:t>përzgjedhje</w:t>
      </w:r>
      <w:r w:rsidR="00EC4B89" w:rsidRPr="00641640">
        <w:rPr>
          <w:rFonts w:ascii="Times New Roman" w:hAnsi="Times New Roman" w:cs="Times New Roman"/>
          <w:noProof/>
          <w:sz w:val="24"/>
          <w:szCs w:val="24"/>
          <w:lang w:val="sq-AL"/>
        </w:rPr>
        <w:t>s</w:t>
      </w:r>
      <w:r w:rsidR="00FA5D5D" w:rsidRPr="00641640">
        <w:rPr>
          <w:rFonts w:ascii="Times New Roman" w:hAnsi="Times New Roman" w:cs="Times New Roman"/>
          <w:noProof/>
          <w:sz w:val="24"/>
          <w:szCs w:val="24"/>
          <w:lang w:val="sq-AL"/>
        </w:rPr>
        <w:t xml:space="preserve">. </w:t>
      </w:r>
      <w:r w:rsidR="00237DA0" w:rsidRPr="00641640">
        <w:rPr>
          <w:rFonts w:ascii="Times New Roman" w:hAnsi="Times New Roman" w:cs="Times New Roman"/>
          <w:noProof/>
          <w:sz w:val="24"/>
          <w:szCs w:val="24"/>
          <w:lang w:val="sq-AL"/>
        </w:rPr>
        <w:t>Gjithashtu</w:t>
      </w:r>
      <w:r w:rsidR="00874ACB" w:rsidRPr="00641640">
        <w:rPr>
          <w:rFonts w:ascii="Times New Roman" w:hAnsi="Times New Roman" w:cs="Times New Roman"/>
          <w:noProof/>
          <w:sz w:val="24"/>
          <w:szCs w:val="24"/>
          <w:lang w:val="sq-AL"/>
        </w:rPr>
        <w:t>,</w:t>
      </w:r>
      <w:r w:rsidR="00237DA0" w:rsidRPr="00641640">
        <w:rPr>
          <w:rFonts w:ascii="Times New Roman" w:hAnsi="Times New Roman" w:cs="Times New Roman"/>
          <w:noProof/>
          <w:sz w:val="24"/>
          <w:szCs w:val="24"/>
          <w:lang w:val="sq-AL"/>
        </w:rPr>
        <w:t xml:space="preserve"> </w:t>
      </w:r>
      <w:r w:rsidR="00EC10B3" w:rsidRPr="00641640">
        <w:rPr>
          <w:rFonts w:ascii="Times New Roman" w:hAnsi="Times New Roman" w:cs="Times New Roman"/>
          <w:noProof/>
          <w:sz w:val="24"/>
          <w:szCs w:val="24"/>
          <w:lang w:val="sq-AL"/>
        </w:rPr>
        <w:t xml:space="preserve">u vu </w:t>
      </w:r>
      <w:r w:rsidR="00237DA0" w:rsidRPr="00641640">
        <w:rPr>
          <w:rFonts w:ascii="Times New Roman" w:hAnsi="Times New Roman" w:cs="Times New Roman"/>
          <w:noProof/>
          <w:sz w:val="24"/>
          <w:szCs w:val="24"/>
          <w:lang w:val="sq-AL"/>
        </w:rPr>
        <w:t xml:space="preserve">rishtazi </w:t>
      </w:r>
      <w:r w:rsidR="00EC10B3" w:rsidRPr="00641640">
        <w:rPr>
          <w:rFonts w:ascii="Times New Roman" w:hAnsi="Times New Roman" w:cs="Times New Roman"/>
          <w:noProof/>
          <w:sz w:val="24"/>
          <w:szCs w:val="24"/>
          <w:lang w:val="sq-AL"/>
        </w:rPr>
        <w:t xml:space="preserve">në funksionim një sistem elektronik </w:t>
      </w:r>
      <w:r w:rsidR="00EC4B89" w:rsidRPr="00641640">
        <w:rPr>
          <w:rFonts w:ascii="Times New Roman" w:hAnsi="Times New Roman" w:cs="Times New Roman"/>
          <w:noProof/>
          <w:sz w:val="24"/>
          <w:szCs w:val="24"/>
          <w:lang w:val="sq-AL"/>
        </w:rPr>
        <w:t>p</w:t>
      </w:r>
      <w:r w:rsidR="007F00FB" w:rsidRPr="00641640">
        <w:rPr>
          <w:rFonts w:ascii="Times New Roman" w:hAnsi="Times New Roman" w:cs="Times New Roman"/>
          <w:noProof/>
          <w:sz w:val="24"/>
          <w:szCs w:val="24"/>
          <w:lang w:val="sq-AL"/>
        </w:rPr>
        <w:t>ë</w:t>
      </w:r>
      <w:r w:rsidR="00EC4B89" w:rsidRPr="00641640">
        <w:rPr>
          <w:rFonts w:ascii="Times New Roman" w:hAnsi="Times New Roman" w:cs="Times New Roman"/>
          <w:noProof/>
          <w:sz w:val="24"/>
          <w:szCs w:val="24"/>
          <w:lang w:val="sq-AL"/>
        </w:rPr>
        <w:t>r</w:t>
      </w:r>
      <w:r w:rsidR="00EC10B3" w:rsidRPr="00641640">
        <w:rPr>
          <w:rFonts w:ascii="Times New Roman" w:hAnsi="Times New Roman" w:cs="Times New Roman"/>
          <w:noProof/>
          <w:sz w:val="24"/>
          <w:szCs w:val="24"/>
          <w:lang w:val="sq-AL"/>
        </w:rPr>
        <w:t xml:space="preserve"> aplikimi</w:t>
      </w:r>
      <w:r w:rsidR="00EC4B89" w:rsidRPr="00641640">
        <w:rPr>
          <w:rFonts w:ascii="Times New Roman" w:hAnsi="Times New Roman" w:cs="Times New Roman"/>
          <w:noProof/>
          <w:sz w:val="24"/>
          <w:szCs w:val="24"/>
          <w:lang w:val="sq-AL"/>
        </w:rPr>
        <w:t>n</w:t>
      </w:r>
      <w:r w:rsidR="00EC10B3" w:rsidRPr="00641640">
        <w:rPr>
          <w:rFonts w:ascii="Times New Roman" w:hAnsi="Times New Roman" w:cs="Times New Roman"/>
          <w:noProof/>
          <w:sz w:val="24"/>
          <w:szCs w:val="24"/>
          <w:lang w:val="sq-AL"/>
        </w:rPr>
        <w:t xml:space="preserve"> </w:t>
      </w:r>
      <w:r w:rsidR="00EC4B89" w:rsidRPr="00641640">
        <w:rPr>
          <w:rFonts w:ascii="Times New Roman" w:hAnsi="Times New Roman" w:cs="Times New Roman"/>
          <w:noProof/>
          <w:sz w:val="24"/>
          <w:szCs w:val="24"/>
          <w:lang w:val="sq-AL"/>
        </w:rPr>
        <w:t>e</w:t>
      </w:r>
      <w:r w:rsidR="00EC10B3" w:rsidRPr="00641640">
        <w:rPr>
          <w:rFonts w:ascii="Times New Roman" w:hAnsi="Times New Roman" w:cs="Times New Roman"/>
          <w:noProof/>
          <w:sz w:val="24"/>
          <w:szCs w:val="24"/>
          <w:lang w:val="sq-AL"/>
        </w:rPr>
        <w:t xml:space="preserve"> kandidatëve</w:t>
      </w:r>
      <w:r w:rsidR="0036254F" w:rsidRPr="00641640">
        <w:rPr>
          <w:rFonts w:ascii="Times New Roman" w:hAnsi="Times New Roman" w:cs="Times New Roman"/>
          <w:noProof/>
          <w:sz w:val="24"/>
          <w:szCs w:val="24"/>
          <w:lang w:val="sq-AL"/>
        </w:rPr>
        <w:t>,</w:t>
      </w:r>
      <w:r w:rsidR="00C3270E" w:rsidRPr="00641640">
        <w:rPr>
          <w:rFonts w:ascii="Times New Roman" w:hAnsi="Times New Roman" w:cs="Times New Roman"/>
          <w:noProof/>
          <w:sz w:val="24"/>
          <w:szCs w:val="24"/>
          <w:lang w:val="sq-AL"/>
        </w:rPr>
        <w:t xml:space="preserve"> dor</w:t>
      </w:r>
      <w:r w:rsidR="00203E61" w:rsidRPr="00641640">
        <w:rPr>
          <w:rFonts w:ascii="Times New Roman" w:hAnsi="Times New Roman" w:cs="Times New Roman"/>
          <w:noProof/>
          <w:sz w:val="24"/>
          <w:szCs w:val="24"/>
          <w:lang w:val="sq-AL"/>
        </w:rPr>
        <w:t>ë</w:t>
      </w:r>
      <w:r w:rsidR="00C3270E" w:rsidRPr="00641640">
        <w:rPr>
          <w:rFonts w:ascii="Times New Roman" w:hAnsi="Times New Roman" w:cs="Times New Roman"/>
          <w:noProof/>
          <w:sz w:val="24"/>
          <w:szCs w:val="24"/>
          <w:lang w:val="sq-AL"/>
        </w:rPr>
        <w:t>zimi</w:t>
      </w:r>
      <w:r w:rsidR="00EC4B89" w:rsidRPr="00641640">
        <w:rPr>
          <w:rFonts w:ascii="Times New Roman" w:hAnsi="Times New Roman" w:cs="Times New Roman"/>
          <w:noProof/>
          <w:sz w:val="24"/>
          <w:szCs w:val="24"/>
          <w:lang w:val="sq-AL"/>
        </w:rPr>
        <w:t>n</w:t>
      </w:r>
      <w:r w:rsidR="00C3270E" w:rsidRPr="00641640">
        <w:rPr>
          <w:rFonts w:ascii="Times New Roman" w:hAnsi="Times New Roman" w:cs="Times New Roman"/>
          <w:noProof/>
          <w:sz w:val="24"/>
          <w:szCs w:val="24"/>
          <w:lang w:val="sq-AL"/>
        </w:rPr>
        <w:t xml:space="preserve"> </w:t>
      </w:r>
      <w:r w:rsidR="00EC4B89" w:rsidRPr="00641640">
        <w:rPr>
          <w:rFonts w:ascii="Times New Roman" w:hAnsi="Times New Roman" w:cs="Times New Roman"/>
          <w:noProof/>
          <w:sz w:val="24"/>
          <w:szCs w:val="24"/>
          <w:lang w:val="sq-AL"/>
        </w:rPr>
        <w:t>e</w:t>
      </w:r>
      <w:r w:rsidR="00C3270E" w:rsidRPr="00641640">
        <w:rPr>
          <w:rFonts w:ascii="Times New Roman" w:hAnsi="Times New Roman" w:cs="Times New Roman"/>
          <w:noProof/>
          <w:sz w:val="24"/>
          <w:szCs w:val="24"/>
          <w:lang w:val="sq-AL"/>
        </w:rPr>
        <w:t xml:space="preserve"> dokumentacionit</w:t>
      </w:r>
      <w:r w:rsidR="00EC4B89" w:rsidRPr="00641640">
        <w:rPr>
          <w:rFonts w:ascii="Times New Roman" w:hAnsi="Times New Roman" w:cs="Times New Roman"/>
          <w:noProof/>
          <w:sz w:val="24"/>
          <w:szCs w:val="24"/>
          <w:lang w:val="sq-AL"/>
        </w:rPr>
        <w:t xml:space="preserve"> t</w:t>
      </w:r>
      <w:r w:rsidR="007F00FB" w:rsidRPr="00641640">
        <w:rPr>
          <w:rFonts w:ascii="Times New Roman" w:hAnsi="Times New Roman" w:cs="Times New Roman"/>
          <w:noProof/>
          <w:sz w:val="24"/>
          <w:szCs w:val="24"/>
          <w:lang w:val="sq-AL"/>
        </w:rPr>
        <w:t>ë</w:t>
      </w:r>
      <w:r w:rsidR="00EC4B89" w:rsidRPr="00641640">
        <w:rPr>
          <w:rFonts w:ascii="Times New Roman" w:hAnsi="Times New Roman" w:cs="Times New Roman"/>
          <w:noProof/>
          <w:sz w:val="24"/>
          <w:szCs w:val="24"/>
          <w:lang w:val="sq-AL"/>
        </w:rPr>
        <w:t xml:space="preserve"> nevojsh</w:t>
      </w:r>
      <w:r w:rsidR="007F00FB" w:rsidRPr="00641640">
        <w:rPr>
          <w:rFonts w:ascii="Times New Roman" w:hAnsi="Times New Roman" w:cs="Times New Roman"/>
          <w:noProof/>
          <w:sz w:val="24"/>
          <w:szCs w:val="24"/>
          <w:lang w:val="sq-AL"/>
        </w:rPr>
        <w:t>ë</w:t>
      </w:r>
      <w:r w:rsidR="00EC4B89" w:rsidRPr="00641640">
        <w:rPr>
          <w:rFonts w:ascii="Times New Roman" w:hAnsi="Times New Roman" w:cs="Times New Roman"/>
          <w:noProof/>
          <w:sz w:val="24"/>
          <w:szCs w:val="24"/>
          <w:lang w:val="sq-AL"/>
        </w:rPr>
        <w:t>m</w:t>
      </w:r>
      <w:r w:rsidR="00203E61" w:rsidRPr="00641640">
        <w:rPr>
          <w:rFonts w:ascii="Times New Roman" w:hAnsi="Times New Roman" w:cs="Times New Roman"/>
          <w:noProof/>
          <w:sz w:val="24"/>
          <w:szCs w:val="24"/>
          <w:lang w:val="sq-AL"/>
        </w:rPr>
        <w:t xml:space="preserve">, </w:t>
      </w:r>
      <w:r w:rsidR="0036254F" w:rsidRPr="00641640">
        <w:rPr>
          <w:rFonts w:ascii="Times New Roman" w:hAnsi="Times New Roman" w:cs="Times New Roman"/>
          <w:noProof/>
          <w:sz w:val="24"/>
          <w:szCs w:val="24"/>
          <w:lang w:val="sq-AL"/>
        </w:rPr>
        <w:t xml:space="preserve">menaxhimin e </w:t>
      </w:r>
      <w:r w:rsidR="00D51AB2" w:rsidRPr="00641640">
        <w:rPr>
          <w:rFonts w:ascii="Times New Roman" w:hAnsi="Times New Roman" w:cs="Times New Roman"/>
          <w:noProof/>
          <w:sz w:val="24"/>
          <w:szCs w:val="24"/>
          <w:lang w:val="sq-AL"/>
        </w:rPr>
        <w:t>komunikimit me kandidatët dhe menaxhimin e proceseve</w:t>
      </w:r>
      <w:r w:rsidR="00AF2407" w:rsidRPr="00641640">
        <w:rPr>
          <w:rFonts w:ascii="Times New Roman" w:hAnsi="Times New Roman" w:cs="Times New Roman"/>
          <w:noProof/>
          <w:sz w:val="24"/>
          <w:szCs w:val="24"/>
          <w:lang w:val="sq-AL"/>
        </w:rPr>
        <w:t xml:space="preserve"> të brendshme të procxedurave të konkurrimit, </w:t>
      </w:r>
      <w:r w:rsidR="00203E61" w:rsidRPr="00641640">
        <w:rPr>
          <w:rFonts w:ascii="Times New Roman" w:hAnsi="Times New Roman" w:cs="Times New Roman"/>
          <w:noProof/>
          <w:sz w:val="24"/>
          <w:szCs w:val="24"/>
          <w:lang w:val="sq-AL"/>
        </w:rPr>
        <w:t xml:space="preserve">duke e kthyer DAP në një pararendës të </w:t>
      </w:r>
      <w:r w:rsidR="00237DA0" w:rsidRPr="00641640">
        <w:rPr>
          <w:rFonts w:ascii="Times New Roman" w:hAnsi="Times New Roman" w:cs="Times New Roman"/>
          <w:noProof/>
          <w:sz w:val="24"/>
          <w:szCs w:val="24"/>
          <w:lang w:val="sq-AL"/>
        </w:rPr>
        <w:t>vizionit t</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 xml:space="preserve"> </w:t>
      </w:r>
      <w:r w:rsidR="00203E61" w:rsidRPr="00641640">
        <w:rPr>
          <w:rFonts w:ascii="Times New Roman" w:hAnsi="Times New Roman" w:cs="Times New Roman"/>
          <w:i/>
          <w:noProof/>
          <w:sz w:val="24"/>
          <w:szCs w:val="24"/>
          <w:lang w:val="sq-AL"/>
        </w:rPr>
        <w:t>“administratës së gjelbër”</w:t>
      </w:r>
      <w:r w:rsidR="00EC4B89" w:rsidRPr="00641640">
        <w:rPr>
          <w:rFonts w:ascii="Times New Roman" w:hAnsi="Times New Roman" w:cs="Times New Roman"/>
          <w:i/>
          <w:noProof/>
          <w:sz w:val="24"/>
          <w:szCs w:val="24"/>
          <w:lang w:val="sq-AL"/>
        </w:rPr>
        <w:t>.</w:t>
      </w:r>
      <w:r w:rsidR="00EC4B89" w:rsidRPr="00641640">
        <w:rPr>
          <w:rFonts w:ascii="Times New Roman" w:hAnsi="Times New Roman" w:cs="Times New Roman"/>
          <w:noProof/>
          <w:sz w:val="24"/>
          <w:szCs w:val="24"/>
          <w:lang w:val="sq-AL"/>
        </w:rPr>
        <w:t xml:space="preserve"> </w:t>
      </w:r>
    </w:p>
    <w:p w14:paraId="1EDFC4DE" w14:textId="7367AEC5" w:rsidR="00EC4B89" w:rsidRPr="00641640" w:rsidRDefault="00874ACB"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Masat e nd</w:t>
      </w:r>
      <w:r w:rsidR="00446C9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rmarra dhe p</w:t>
      </w:r>
      <w:r w:rsidR="00446C9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rdorimi i hersh</w:t>
      </w:r>
      <w:r w:rsidR="00446C9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m i teknologjis</w:t>
      </w:r>
      <w:r w:rsidR="00446C9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n</w:t>
      </w:r>
      <w:r w:rsidR="00446C9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proces mund</w:t>
      </w:r>
      <w:r w:rsidR="00446C9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soi </w:t>
      </w:r>
      <w:r w:rsidR="00EC4B89" w:rsidRPr="00641640">
        <w:rPr>
          <w:rFonts w:ascii="Times New Roman" w:hAnsi="Times New Roman" w:cs="Times New Roman"/>
          <w:noProof/>
          <w:sz w:val="24"/>
          <w:szCs w:val="24"/>
          <w:lang w:val="sq-AL"/>
        </w:rPr>
        <w:t xml:space="preserve">funksionimin e plotë të </w:t>
      </w:r>
      <w:r w:rsidR="007157FB" w:rsidRPr="00641640">
        <w:rPr>
          <w:rFonts w:ascii="Times New Roman" w:hAnsi="Times New Roman" w:cs="Times New Roman"/>
          <w:noProof/>
          <w:sz w:val="24"/>
          <w:szCs w:val="24"/>
          <w:lang w:val="sq-AL"/>
        </w:rPr>
        <w:t>procedur</w:t>
      </w:r>
      <w:r w:rsidR="007F00FB" w:rsidRPr="00641640">
        <w:rPr>
          <w:rFonts w:ascii="Times New Roman" w:hAnsi="Times New Roman" w:cs="Times New Roman"/>
          <w:noProof/>
          <w:sz w:val="24"/>
          <w:szCs w:val="24"/>
          <w:lang w:val="sq-AL"/>
        </w:rPr>
        <w:t>ë</w:t>
      </w:r>
      <w:r w:rsidR="007157FB" w:rsidRPr="00641640">
        <w:rPr>
          <w:rFonts w:ascii="Times New Roman" w:hAnsi="Times New Roman" w:cs="Times New Roman"/>
          <w:noProof/>
          <w:sz w:val="24"/>
          <w:szCs w:val="24"/>
          <w:lang w:val="sq-AL"/>
        </w:rPr>
        <w:t>s s</w:t>
      </w:r>
      <w:r w:rsidR="007F00FB" w:rsidRPr="00641640">
        <w:rPr>
          <w:rFonts w:ascii="Times New Roman" w:hAnsi="Times New Roman" w:cs="Times New Roman"/>
          <w:noProof/>
          <w:sz w:val="24"/>
          <w:szCs w:val="24"/>
          <w:lang w:val="sq-AL"/>
        </w:rPr>
        <w:t>ë</w:t>
      </w:r>
      <w:r w:rsidR="007157FB" w:rsidRPr="00641640">
        <w:rPr>
          <w:rFonts w:ascii="Times New Roman" w:hAnsi="Times New Roman" w:cs="Times New Roman"/>
          <w:noProof/>
          <w:sz w:val="24"/>
          <w:szCs w:val="24"/>
          <w:lang w:val="sq-AL"/>
        </w:rPr>
        <w:t xml:space="preserve"> rekrutimit edhe</w:t>
      </w:r>
      <w:r w:rsidR="00EC4B89" w:rsidRPr="00641640">
        <w:rPr>
          <w:rFonts w:ascii="Times New Roman" w:hAnsi="Times New Roman" w:cs="Times New Roman"/>
          <w:noProof/>
          <w:sz w:val="24"/>
          <w:szCs w:val="24"/>
          <w:lang w:val="sq-AL"/>
        </w:rPr>
        <w:t xml:space="preserve"> </w:t>
      </w:r>
      <w:r w:rsidR="00237DA0" w:rsidRPr="00641640">
        <w:rPr>
          <w:rFonts w:ascii="Times New Roman" w:hAnsi="Times New Roman" w:cs="Times New Roman"/>
          <w:noProof/>
          <w:sz w:val="24"/>
          <w:szCs w:val="24"/>
          <w:lang w:val="sq-AL"/>
        </w:rPr>
        <w:t>p</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r</w:t>
      </w:r>
      <w:r w:rsidR="00EC4B89" w:rsidRPr="00641640">
        <w:rPr>
          <w:rFonts w:ascii="Times New Roman" w:hAnsi="Times New Roman" w:cs="Times New Roman"/>
          <w:noProof/>
          <w:sz w:val="24"/>
          <w:szCs w:val="24"/>
          <w:lang w:val="sq-AL"/>
        </w:rPr>
        <w:t>gjatë periudhës së pandemisë Covid</w:t>
      </w:r>
      <w:r w:rsidR="00237DA0" w:rsidRPr="00641640">
        <w:rPr>
          <w:rFonts w:ascii="Times New Roman" w:hAnsi="Times New Roman" w:cs="Times New Roman"/>
          <w:noProof/>
          <w:sz w:val="24"/>
          <w:szCs w:val="24"/>
          <w:lang w:val="sq-AL"/>
        </w:rPr>
        <w:t>-</w:t>
      </w:r>
      <w:r w:rsidR="00EC4B89" w:rsidRPr="00641640">
        <w:rPr>
          <w:rFonts w:ascii="Times New Roman" w:hAnsi="Times New Roman" w:cs="Times New Roman"/>
          <w:noProof/>
          <w:sz w:val="24"/>
          <w:szCs w:val="24"/>
          <w:lang w:val="sq-AL"/>
        </w:rPr>
        <w:t>19</w:t>
      </w:r>
      <w:r w:rsidRPr="00641640">
        <w:rPr>
          <w:rFonts w:ascii="Times New Roman" w:hAnsi="Times New Roman" w:cs="Times New Roman"/>
          <w:noProof/>
          <w:sz w:val="24"/>
          <w:szCs w:val="24"/>
          <w:lang w:val="sq-AL"/>
        </w:rPr>
        <w:t>, duke leht</w:t>
      </w:r>
      <w:r w:rsidR="00446C9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suar ndjesh</w:t>
      </w:r>
      <w:r w:rsidR="00446C9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m kalimin drejt menaxhimit në distancë të proceseve krahasimisht me fusha të tjera të </w:t>
      </w:r>
      <w:r w:rsidRPr="00641640">
        <w:rPr>
          <w:rFonts w:ascii="Times New Roman" w:hAnsi="Times New Roman" w:cs="Times New Roman"/>
          <w:noProof/>
          <w:sz w:val="24"/>
          <w:szCs w:val="24"/>
          <w:lang w:val="sq-AL"/>
        </w:rPr>
        <w:lastRenderedPageBreak/>
        <w:t>veprimtaris</w:t>
      </w:r>
      <w:r w:rsidR="00446C9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administrative</w:t>
      </w:r>
      <w:r w:rsidR="00EC4B89" w:rsidRPr="00641640">
        <w:rPr>
          <w:rFonts w:ascii="Times New Roman" w:hAnsi="Times New Roman" w:cs="Times New Roman"/>
          <w:noProof/>
          <w:sz w:val="24"/>
          <w:szCs w:val="24"/>
          <w:lang w:val="sq-AL"/>
        </w:rPr>
        <w:t xml:space="preserve">. </w:t>
      </w:r>
      <w:r w:rsidR="00237DA0" w:rsidRPr="00641640">
        <w:rPr>
          <w:rFonts w:ascii="Times New Roman" w:hAnsi="Times New Roman" w:cs="Times New Roman"/>
          <w:noProof/>
          <w:sz w:val="24"/>
          <w:szCs w:val="24"/>
          <w:lang w:val="sq-AL"/>
        </w:rPr>
        <w:t>Si pjes</w:t>
      </w:r>
      <w:r w:rsidR="00B81F4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e fleksibili</w:t>
      </w:r>
      <w:r w:rsidR="00237DA0" w:rsidRPr="00641640">
        <w:rPr>
          <w:rFonts w:ascii="Times New Roman" w:hAnsi="Times New Roman" w:cs="Times New Roman"/>
          <w:noProof/>
          <w:sz w:val="24"/>
          <w:szCs w:val="24"/>
          <w:lang w:val="sq-AL"/>
        </w:rPr>
        <w:t>tetit t</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 xml:space="preserve"> aplikuar g</w:t>
      </w:r>
      <w:r w:rsidR="00EC4B89" w:rsidRPr="00641640">
        <w:rPr>
          <w:rFonts w:ascii="Times New Roman" w:hAnsi="Times New Roman" w:cs="Times New Roman"/>
          <w:noProof/>
          <w:sz w:val="24"/>
          <w:szCs w:val="24"/>
          <w:lang w:val="sq-AL"/>
        </w:rPr>
        <w:t xml:space="preserve">jatë kësaj periudhe </w:t>
      </w:r>
      <w:r w:rsidR="007157FB" w:rsidRPr="00641640">
        <w:rPr>
          <w:rFonts w:ascii="Times New Roman" w:hAnsi="Times New Roman" w:cs="Times New Roman"/>
          <w:noProof/>
          <w:sz w:val="24"/>
          <w:szCs w:val="24"/>
          <w:lang w:val="sq-AL"/>
        </w:rPr>
        <w:t>u</w:t>
      </w:r>
      <w:r w:rsidRPr="00641640">
        <w:rPr>
          <w:rFonts w:ascii="Times New Roman" w:hAnsi="Times New Roman" w:cs="Times New Roman"/>
          <w:noProof/>
          <w:sz w:val="24"/>
          <w:szCs w:val="24"/>
          <w:lang w:val="sq-AL"/>
        </w:rPr>
        <w:t xml:space="preserve"> eksperimentua</w:t>
      </w:r>
      <w:r w:rsidR="00EC4B89" w:rsidRPr="00641640">
        <w:rPr>
          <w:rFonts w:ascii="Times New Roman" w:hAnsi="Times New Roman" w:cs="Times New Roman"/>
          <w:noProof/>
          <w:sz w:val="24"/>
          <w:szCs w:val="24"/>
          <w:lang w:val="sq-AL"/>
        </w:rPr>
        <w:t xml:space="preserve"> me sukses </w:t>
      </w:r>
      <w:r w:rsidR="00237DA0" w:rsidRPr="00641640">
        <w:rPr>
          <w:rFonts w:ascii="Times New Roman" w:hAnsi="Times New Roman" w:cs="Times New Roman"/>
          <w:noProof/>
          <w:sz w:val="24"/>
          <w:szCs w:val="24"/>
          <w:lang w:val="sq-AL"/>
        </w:rPr>
        <w:t xml:space="preserve">edhe </w:t>
      </w:r>
      <w:r w:rsidRPr="00641640">
        <w:rPr>
          <w:rFonts w:ascii="Times New Roman" w:hAnsi="Times New Roman" w:cs="Times New Roman"/>
          <w:noProof/>
          <w:sz w:val="24"/>
          <w:szCs w:val="24"/>
          <w:lang w:val="sq-AL"/>
        </w:rPr>
        <w:t xml:space="preserve">zhvillimi i </w:t>
      </w:r>
      <w:r w:rsidR="00EC4B89" w:rsidRPr="00641640">
        <w:rPr>
          <w:rFonts w:ascii="Times New Roman" w:hAnsi="Times New Roman" w:cs="Times New Roman"/>
          <w:noProof/>
          <w:sz w:val="24"/>
          <w:szCs w:val="24"/>
          <w:lang w:val="sq-AL"/>
        </w:rPr>
        <w:t>testimi</w:t>
      </w:r>
      <w:r w:rsidRPr="00641640">
        <w:rPr>
          <w:rFonts w:ascii="Times New Roman" w:hAnsi="Times New Roman" w:cs="Times New Roman"/>
          <w:noProof/>
          <w:sz w:val="24"/>
          <w:szCs w:val="24"/>
          <w:lang w:val="sq-AL"/>
        </w:rPr>
        <w:t>t n</w:t>
      </w:r>
      <w:r w:rsidR="00446C9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distanc</w:t>
      </w:r>
      <w:r w:rsidR="00446C9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p</w:t>
      </w:r>
      <w:r w:rsidR="00446C9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rfshir</w:t>
      </w:r>
      <w:r w:rsidR="00446C9B" w:rsidRPr="00641640">
        <w:rPr>
          <w:rFonts w:ascii="Times New Roman" w:hAnsi="Times New Roman" w:cs="Times New Roman"/>
          <w:noProof/>
          <w:sz w:val="24"/>
          <w:szCs w:val="24"/>
          <w:lang w:val="sq-AL"/>
        </w:rPr>
        <w:t>ë</w:t>
      </w:r>
      <w:r w:rsidR="00EC4B89" w:rsidRPr="00641640">
        <w:rPr>
          <w:rFonts w:ascii="Times New Roman" w:hAnsi="Times New Roman" w:cs="Times New Roman"/>
          <w:noProof/>
          <w:sz w:val="24"/>
          <w:szCs w:val="24"/>
          <w:lang w:val="sq-AL"/>
        </w:rPr>
        <w:t xml:space="preserve"> intervist</w:t>
      </w:r>
      <w:r w:rsidRPr="00641640">
        <w:rPr>
          <w:rFonts w:ascii="Times New Roman" w:hAnsi="Times New Roman" w:cs="Times New Roman"/>
          <w:noProof/>
          <w:sz w:val="24"/>
          <w:szCs w:val="24"/>
          <w:lang w:val="sq-AL"/>
        </w:rPr>
        <w:t>imin.</w:t>
      </w:r>
    </w:p>
    <w:p w14:paraId="4C4EEC6E" w14:textId="64DDB845" w:rsidR="00203E61" w:rsidRPr="00641640" w:rsidRDefault="0075223A"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Ligji</w:t>
      </w:r>
      <w:r w:rsidR="00203E61" w:rsidRPr="00641640">
        <w:rPr>
          <w:rFonts w:ascii="Times New Roman" w:hAnsi="Times New Roman" w:cs="Times New Roman"/>
          <w:noProof/>
          <w:sz w:val="24"/>
          <w:szCs w:val="24"/>
          <w:lang w:val="sq-AL"/>
        </w:rPr>
        <w:t xml:space="preserve"> </w:t>
      </w:r>
      <w:r w:rsidR="00EC4B89" w:rsidRPr="00641640">
        <w:rPr>
          <w:rFonts w:ascii="Times New Roman" w:hAnsi="Times New Roman" w:cs="Times New Roman"/>
          <w:noProof/>
          <w:sz w:val="24"/>
          <w:szCs w:val="24"/>
          <w:lang w:val="sq-AL"/>
        </w:rPr>
        <w:t>mund</w:t>
      </w:r>
      <w:r w:rsidR="007F00FB" w:rsidRPr="00641640">
        <w:rPr>
          <w:rFonts w:ascii="Times New Roman" w:hAnsi="Times New Roman" w:cs="Times New Roman"/>
          <w:noProof/>
          <w:sz w:val="24"/>
          <w:szCs w:val="24"/>
          <w:lang w:val="sq-AL"/>
        </w:rPr>
        <w:t>ë</w:t>
      </w:r>
      <w:r w:rsidR="00EC4B89" w:rsidRPr="00641640">
        <w:rPr>
          <w:rFonts w:ascii="Times New Roman" w:hAnsi="Times New Roman" w:cs="Times New Roman"/>
          <w:noProof/>
          <w:sz w:val="24"/>
          <w:szCs w:val="24"/>
          <w:lang w:val="sq-AL"/>
        </w:rPr>
        <w:t xml:space="preserve">soi </w:t>
      </w:r>
      <w:r w:rsidR="00237DA0" w:rsidRPr="00641640">
        <w:rPr>
          <w:rFonts w:ascii="Times New Roman" w:hAnsi="Times New Roman" w:cs="Times New Roman"/>
          <w:noProof/>
          <w:sz w:val="24"/>
          <w:szCs w:val="24"/>
          <w:lang w:val="sq-AL"/>
        </w:rPr>
        <w:t xml:space="preserve">gjithashtu </w:t>
      </w:r>
      <w:r w:rsidR="00EC4B89" w:rsidRPr="00641640">
        <w:rPr>
          <w:rFonts w:ascii="Times New Roman" w:hAnsi="Times New Roman" w:cs="Times New Roman"/>
          <w:noProof/>
          <w:sz w:val="24"/>
          <w:szCs w:val="24"/>
          <w:lang w:val="sq-AL"/>
        </w:rPr>
        <w:t>ngritjen e</w:t>
      </w:r>
      <w:r w:rsidR="00203E61" w:rsidRPr="00641640">
        <w:rPr>
          <w:rFonts w:ascii="Times New Roman" w:hAnsi="Times New Roman" w:cs="Times New Roman"/>
          <w:noProof/>
          <w:sz w:val="24"/>
          <w:szCs w:val="24"/>
          <w:lang w:val="sq-AL"/>
        </w:rPr>
        <w:t xml:space="preserve"> Trupë</w:t>
      </w:r>
      <w:r w:rsidR="00EC4B89" w:rsidRPr="00641640">
        <w:rPr>
          <w:rFonts w:ascii="Times New Roman" w:hAnsi="Times New Roman" w:cs="Times New Roman"/>
          <w:noProof/>
          <w:sz w:val="24"/>
          <w:szCs w:val="24"/>
          <w:lang w:val="sq-AL"/>
        </w:rPr>
        <w:t>s</w:t>
      </w:r>
      <w:r w:rsidR="00203E61" w:rsidRPr="00641640">
        <w:rPr>
          <w:rFonts w:ascii="Times New Roman" w:hAnsi="Times New Roman" w:cs="Times New Roman"/>
          <w:noProof/>
          <w:sz w:val="24"/>
          <w:szCs w:val="24"/>
          <w:lang w:val="sq-AL"/>
        </w:rPr>
        <w:t xml:space="preserve"> </w:t>
      </w:r>
      <w:r w:rsidR="00EC4B89" w:rsidRPr="00641640">
        <w:rPr>
          <w:rFonts w:ascii="Times New Roman" w:hAnsi="Times New Roman" w:cs="Times New Roman"/>
          <w:noProof/>
          <w:sz w:val="24"/>
          <w:szCs w:val="24"/>
          <w:lang w:val="sq-AL"/>
        </w:rPr>
        <w:t>s</w:t>
      </w:r>
      <w:r w:rsidR="007F00FB" w:rsidRPr="00641640">
        <w:rPr>
          <w:rFonts w:ascii="Times New Roman" w:hAnsi="Times New Roman" w:cs="Times New Roman"/>
          <w:noProof/>
          <w:sz w:val="24"/>
          <w:szCs w:val="24"/>
          <w:lang w:val="sq-AL"/>
        </w:rPr>
        <w:t>ë</w:t>
      </w:r>
      <w:r w:rsidR="00203E61" w:rsidRPr="00641640">
        <w:rPr>
          <w:rFonts w:ascii="Times New Roman" w:hAnsi="Times New Roman" w:cs="Times New Roman"/>
          <w:noProof/>
          <w:sz w:val="24"/>
          <w:szCs w:val="24"/>
          <w:lang w:val="sq-AL"/>
        </w:rPr>
        <w:t xml:space="preserve"> Nivelit të Lartë Drejtues (TND), </w:t>
      </w:r>
      <w:r w:rsidR="00237DA0" w:rsidRPr="00641640">
        <w:rPr>
          <w:rFonts w:ascii="Times New Roman" w:hAnsi="Times New Roman" w:cs="Times New Roman"/>
          <w:noProof/>
          <w:sz w:val="24"/>
          <w:szCs w:val="24"/>
          <w:lang w:val="sq-AL"/>
        </w:rPr>
        <w:t>e cila p</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rzgjidhet</w:t>
      </w:r>
      <w:r w:rsidR="00203E61" w:rsidRPr="00641640">
        <w:rPr>
          <w:rFonts w:ascii="Times New Roman" w:hAnsi="Times New Roman" w:cs="Times New Roman"/>
          <w:noProof/>
          <w:sz w:val="24"/>
          <w:szCs w:val="24"/>
          <w:lang w:val="sq-AL"/>
        </w:rPr>
        <w:t xml:space="preserve"> </w:t>
      </w:r>
      <w:r w:rsidR="00237DA0" w:rsidRPr="00641640">
        <w:rPr>
          <w:rFonts w:ascii="Times New Roman" w:hAnsi="Times New Roman" w:cs="Times New Roman"/>
          <w:noProof/>
          <w:sz w:val="24"/>
          <w:szCs w:val="24"/>
          <w:lang w:val="sq-AL"/>
        </w:rPr>
        <w:t>p</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rmes</w:t>
      </w:r>
      <w:r w:rsidR="00203E61" w:rsidRPr="00641640">
        <w:rPr>
          <w:rFonts w:ascii="Times New Roman" w:hAnsi="Times New Roman" w:cs="Times New Roman"/>
          <w:noProof/>
          <w:sz w:val="24"/>
          <w:szCs w:val="24"/>
          <w:lang w:val="sq-AL"/>
        </w:rPr>
        <w:t xml:space="preserve"> një procedur</w:t>
      </w:r>
      <w:r w:rsidR="00237DA0" w:rsidRPr="00641640">
        <w:rPr>
          <w:rFonts w:ascii="Times New Roman" w:hAnsi="Times New Roman" w:cs="Times New Roman"/>
          <w:noProof/>
          <w:sz w:val="24"/>
          <w:szCs w:val="24"/>
          <w:lang w:val="sq-AL"/>
        </w:rPr>
        <w:t>e</w:t>
      </w:r>
      <w:r w:rsidR="00203E61" w:rsidRPr="00641640">
        <w:rPr>
          <w:rFonts w:ascii="Times New Roman" w:hAnsi="Times New Roman" w:cs="Times New Roman"/>
          <w:noProof/>
          <w:sz w:val="24"/>
          <w:szCs w:val="24"/>
          <w:lang w:val="sq-AL"/>
        </w:rPr>
        <w:t xml:space="preserve"> të veçantë</w:t>
      </w:r>
      <w:r w:rsidR="00237DA0" w:rsidRPr="00641640">
        <w:rPr>
          <w:rFonts w:ascii="Times New Roman" w:hAnsi="Times New Roman" w:cs="Times New Roman"/>
          <w:noProof/>
          <w:sz w:val="24"/>
          <w:szCs w:val="24"/>
          <w:lang w:val="sq-AL"/>
        </w:rPr>
        <w:t xml:space="preserve"> q</w:t>
      </w:r>
      <w:r w:rsidR="00B81F4F" w:rsidRPr="00641640">
        <w:rPr>
          <w:rFonts w:ascii="Times New Roman" w:hAnsi="Times New Roman" w:cs="Times New Roman"/>
          <w:noProof/>
          <w:sz w:val="24"/>
          <w:szCs w:val="24"/>
          <w:lang w:val="sq-AL"/>
        </w:rPr>
        <w:t>ë</w:t>
      </w:r>
      <w:r w:rsidR="00203E61" w:rsidRPr="00641640">
        <w:rPr>
          <w:rFonts w:ascii="Times New Roman" w:hAnsi="Times New Roman" w:cs="Times New Roman"/>
          <w:noProof/>
          <w:sz w:val="24"/>
          <w:szCs w:val="24"/>
          <w:lang w:val="sq-AL"/>
        </w:rPr>
        <w:t xml:space="preserve"> synon vlerësimin e kapaciteteve menaxheriale dhe drejtuese për pozi</w:t>
      </w:r>
      <w:r w:rsidR="00322044" w:rsidRPr="00641640">
        <w:rPr>
          <w:rFonts w:ascii="Times New Roman" w:hAnsi="Times New Roman" w:cs="Times New Roman"/>
          <w:noProof/>
          <w:sz w:val="24"/>
          <w:szCs w:val="24"/>
          <w:lang w:val="sq-AL"/>
        </w:rPr>
        <w:t>cione</w:t>
      </w:r>
      <w:r w:rsidR="00EC4B89" w:rsidRPr="00641640">
        <w:rPr>
          <w:rFonts w:ascii="Times New Roman" w:hAnsi="Times New Roman" w:cs="Times New Roman"/>
          <w:noProof/>
          <w:sz w:val="24"/>
          <w:szCs w:val="24"/>
          <w:lang w:val="sq-AL"/>
        </w:rPr>
        <w:t>t</w:t>
      </w:r>
      <w:r w:rsidR="00203E61" w:rsidRPr="00641640">
        <w:rPr>
          <w:rFonts w:ascii="Times New Roman" w:hAnsi="Times New Roman" w:cs="Times New Roman"/>
          <w:noProof/>
          <w:sz w:val="24"/>
          <w:szCs w:val="24"/>
          <w:lang w:val="sq-AL"/>
        </w:rPr>
        <w:t xml:space="preserve"> </w:t>
      </w:r>
      <w:r w:rsidR="00EC4B89" w:rsidRPr="00641640">
        <w:rPr>
          <w:rFonts w:ascii="Times New Roman" w:hAnsi="Times New Roman" w:cs="Times New Roman"/>
          <w:noProof/>
          <w:sz w:val="24"/>
          <w:szCs w:val="24"/>
          <w:lang w:val="sq-AL"/>
        </w:rPr>
        <w:t>e</w:t>
      </w:r>
      <w:r w:rsidR="00203E61" w:rsidRPr="00641640">
        <w:rPr>
          <w:rFonts w:ascii="Times New Roman" w:hAnsi="Times New Roman" w:cs="Times New Roman"/>
          <w:noProof/>
          <w:sz w:val="24"/>
          <w:szCs w:val="24"/>
          <w:lang w:val="sq-AL"/>
        </w:rPr>
        <w:t xml:space="preserve"> rëndësishme </w:t>
      </w:r>
      <w:r w:rsidR="00237DA0" w:rsidRPr="00641640">
        <w:rPr>
          <w:rFonts w:ascii="Times New Roman" w:hAnsi="Times New Roman" w:cs="Times New Roman"/>
          <w:noProof/>
          <w:sz w:val="24"/>
          <w:szCs w:val="24"/>
          <w:lang w:val="sq-AL"/>
        </w:rPr>
        <w:t>drejtuese n</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 xml:space="preserve"> administrat</w:t>
      </w:r>
      <w:r w:rsidR="00B81F4F" w:rsidRPr="00641640">
        <w:rPr>
          <w:rFonts w:ascii="Times New Roman" w:hAnsi="Times New Roman" w:cs="Times New Roman"/>
          <w:noProof/>
          <w:sz w:val="24"/>
          <w:szCs w:val="24"/>
          <w:lang w:val="sq-AL"/>
        </w:rPr>
        <w:t>ë</w:t>
      </w:r>
      <w:r w:rsidR="00237DA0" w:rsidRPr="00641640">
        <w:rPr>
          <w:rFonts w:ascii="Times New Roman" w:hAnsi="Times New Roman" w:cs="Times New Roman"/>
          <w:noProof/>
          <w:sz w:val="24"/>
          <w:szCs w:val="24"/>
          <w:lang w:val="sq-AL"/>
        </w:rPr>
        <w:t>n publike</w:t>
      </w:r>
      <w:r w:rsidR="00203E61" w:rsidRPr="00641640">
        <w:rPr>
          <w:rFonts w:ascii="Times New Roman" w:hAnsi="Times New Roman" w:cs="Times New Roman"/>
          <w:noProof/>
          <w:sz w:val="24"/>
          <w:szCs w:val="24"/>
          <w:lang w:val="sq-AL"/>
        </w:rPr>
        <w:t xml:space="preserve">. </w:t>
      </w:r>
      <w:r w:rsidR="00EC4B89" w:rsidRPr="00641640">
        <w:rPr>
          <w:rFonts w:ascii="Times New Roman" w:hAnsi="Times New Roman" w:cs="Times New Roman"/>
          <w:noProof/>
          <w:sz w:val="24"/>
          <w:szCs w:val="24"/>
          <w:lang w:val="sq-AL"/>
        </w:rPr>
        <w:t>K</w:t>
      </w:r>
      <w:r w:rsidR="00203E61" w:rsidRPr="00641640">
        <w:rPr>
          <w:rFonts w:ascii="Times New Roman" w:hAnsi="Times New Roman" w:cs="Times New Roman"/>
          <w:noProof/>
          <w:sz w:val="24"/>
          <w:szCs w:val="24"/>
          <w:lang w:val="sq-AL"/>
        </w:rPr>
        <w:t>andidatët e kualifikuar</w:t>
      </w:r>
      <w:r w:rsidR="00EC4B89" w:rsidRPr="00641640">
        <w:rPr>
          <w:rFonts w:ascii="Times New Roman" w:hAnsi="Times New Roman" w:cs="Times New Roman"/>
          <w:noProof/>
          <w:sz w:val="24"/>
          <w:szCs w:val="24"/>
          <w:lang w:val="sq-AL"/>
        </w:rPr>
        <w:t xml:space="preserve"> p</w:t>
      </w:r>
      <w:r w:rsidR="007F00FB" w:rsidRPr="00641640">
        <w:rPr>
          <w:rFonts w:ascii="Times New Roman" w:hAnsi="Times New Roman" w:cs="Times New Roman"/>
          <w:noProof/>
          <w:sz w:val="24"/>
          <w:szCs w:val="24"/>
          <w:lang w:val="sq-AL"/>
        </w:rPr>
        <w:t>ë</w:t>
      </w:r>
      <w:r w:rsidR="00EC4B89" w:rsidRPr="00641640">
        <w:rPr>
          <w:rFonts w:ascii="Times New Roman" w:hAnsi="Times New Roman" w:cs="Times New Roman"/>
          <w:noProof/>
          <w:sz w:val="24"/>
          <w:szCs w:val="24"/>
          <w:lang w:val="sq-AL"/>
        </w:rPr>
        <w:t>rmes vler</w:t>
      </w:r>
      <w:r w:rsidR="007F00FB" w:rsidRPr="00641640">
        <w:rPr>
          <w:rFonts w:ascii="Times New Roman" w:hAnsi="Times New Roman" w:cs="Times New Roman"/>
          <w:noProof/>
          <w:sz w:val="24"/>
          <w:szCs w:val="24"/>
          <w:lang w:val="sq-AL"/>
        </w:rPr>
        <w:t>ë</w:t>
      </w:r>
      <w:r w:rsidR="00EC4B89" w:rsidRPr="00641640">
        <w:rPr>
          <w:rFonts w:ascii="Times New Roman" w:hAnsi="Times New Roman" w:cs="Times New Roman"/>
          <w:noProof/>
          <w:sz w:val="24"/>
          <w:szCs w:val="24"/>
          <w:lang w:val="sq-AL"/>
        </w:rPr>
        <w:t xml:space="preserve">simit nga një </w:t>
      </w:r>
      <w:r w:rsidR="00237DA0" w:rsidRPr="00641640">
        <w:rPr>
          <w:rFonts w:ascii="Times New Roman" w:hAnsi="Times New Roman" w:cs="Times New Roman"/>
          <w:noProof/>
          <w:sz w:val="24"/>
          <w:szCs w:val="24"/>
          <w:lang w:val="sq-AL"/>
        </w:rPr>
        <w:t>K</w:t>
      </w:r>
      <w:r w:rsidR="00EC4B89" w:rsidRPr="00641640">
        <w:rPr>
          <w:rFonts w:ascii="Times New Roman" w:hAnsi="Times New Roman" w:cs="Times New Roman"/>
          <w:noProof/>
          <w:sz w:val="24"/>
          <w:szCs w:val="24"/>
          <w:lang w:val="sq-AL"/>
        </w:rPr>
        <w:t>omision i posaçëm përzgjedhjeje</w:t>
      </w:r>
      <w:r w:rsidR="00203E61" w:rsidRPr="00641640">
        <w:rPr>
          <w:rFonts w:ascii="Times New Roman" w:hAnsi="Times New Roman" w:cs="Times New Roman"/>
          <w:noProof/>
          <w:sz w:val="24"/>
          <w:szCs w:val="24"/>
          <w:lang w:val="sq-AL"/>
        </w:rPr>
        <w:t xml:space="preserve"> bëhen pjesë e listës nga </w:t>
      </w:r>
      <w:r w:rsidR="00237DA0" w:rsidRPr="00641640">
        <w:rPr>
          <w:rFonts w:ascii="Times New Roman" w:hAnsi="Times New Roman" w:cs="Times New Roman"/>
          <w:noProof/>
          <w:sz w:val="24"/>
          <w:szCs w:val="24"/>
          <w:lang w:val="sq-AL"/>
        </w:rPr>
        <w:t>e cila</w:t>
      </w:r>
      <w:r w:rsidR="00203E61" w:rsidRPr="00641640">
        <w:rPr>
          <w:rFonts w:ascii="Times New Roman" w:hAnsi="Times New Roman" w:cs="Times New Roman"/>
          <w:noProof/>
          <w:sz w:val="24"/>
          <w:szCs w:val="24"/>
          <w:lang w:val="sq-AL"/>
        </w:rPr>
        <w:t xml:space="preserve"> institucionet </w:t>
      </w:r>
      <w:r w:rsidR="00237DA0" w:rsidRPr="00641640">
        <w:rPr>
          <w:rFonts w:ascii="Times New Roman" w:hAnsi="Times New Roman" w:cs="Times New Roman"/>
          <w:noProof/>
          <w:sz w:val="24"/>
          <w:szCs w:val="24"/>
          <w:lang w:val="sq-AL"/>
        </w:rPr>
        <w:t xml:space="preserve">me </w:t>
      </w:r>
      <w:r w:rsidR="00EC4B89" w:rsidRPr="00641640">
        <w:rPr>
          <w:rFonts w:ascii="Times New Roman" w:hAnsi="Times New Roman" w:cs="Times New Roman"/>
          <w:noProof/>
          <w:sz w:val="24"/>
          <w:szCs w:val="24"/>
          <w:lang w:val="sq-AL"/>
        </w:rPr>
        <w:t xml:space="preserve">pozicione drejtuese vakante </w:t>
      </w:r>
      <w:r w:rsidR="00203E61" w:rsidRPr="00641640">
        <w:rPr>
          <w:rFonts w:ascii="Times New Roman" w:hAnsi="Times New Roman" w:cs="Times New Roman"/>
          <w:noProof/>
          <w:sz w:val="24"/>
          <w:szCs w:val="24"/>
          <w:lang w:val="sq-AL"/>
        </w:rPr>
        <w:t>mund të zg</w:t>
      </w:r>
      <w:r w:rsidR="00B145B0" w:rsidRPr="00641640">
        <w:rPr>
          <w:rFonts w:ascii="Times New Roman" w:hAnsi="Times New Roman" w:cs="Times New Roman"/>
          <w:noProof/>
          <w:sz w:val="24"/>
          <w:szCs w:val="24"/>
          <w:lang w:val="sq-AL"/>
        </w:rPr>
        <w:t>j</w:t>
      </w:r>
      <w:r w:rsidR="00203E61" w:rsidRPr="00641640">
        <w:rPr>
          <w:rFonts w:ascii="Times New Roman" w:hAnsi="Times New Roman" w:cs="Times New Roman"/>
          <w:noProof/>
          <w:sz w:val="24"/>
          <w:szCs w:val="24"/>
          <w:lang w:val="sq-AL"/>
        </w:rPr>
        <w:t>edhin drejtuesit e tyre.</w:t>
      </w:r>
      <w:r w:rsidR="007963F3" w:rsidRPr="00641640">
        <w:rPr>
          <w:rFonts w:ascii="Times New Roman" w:hAnsi="Times New Roman" w:cs="Times New Roman"/>
          <w:noProof/>
          <w:sz w:val="24"/>
          <w:szCs w:val="24"/>
          <w:lang w:val="sq-AL"/>
        </w:rPr>
        <w:t xml:space="preserve"> </w:t>
      </w:r>
    </w:p>
    <w:p w14:paraId="2FCD4439" w14:textId="69B3BB5A" w:rsidR="00874ACB" w:rsidRPr="00641640" w:rsidRDefault="00237DA0"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K</w:t>
      </w:r>
      <w:r w:rsidR="00D34359" w:rsidRPr="00641640">
        <w:rPr>
          <w:rFonts w:ascii="Times New Roman" w:hAnsi="Times New Roman" w:cs="Times New Roman"/>
          <w:noProof/>
          <w:sz w:val="24"/>
          <w:szCs w:val="24"/>
          <w:lang w:val="sq-AL"/>
        </w:rPr>
        <w:t>ëto ndërhyrje u shoqëruan me rritjen e kapaciteteve menaxhuese të DAP</w:t>
      </w:r>
      <w:r w:rsidR="00EC4B89" w:rsidRPr="00641640">
        <w:rPr>
          <w:rFonts w:ascii="Times New Roman" w:hAnsi="Times New Roman" w:cs="Times New Roman"/>
          <w:noProof/>
          <w:sz w:val="24"/>
          <w:szCs w:val="24"/>
          <w:lang w:val="sq-AL"/>
        </w:rPr>
        <w:t>,</w:t>
      </w:r>
      <w:r w:rsidR="00D34359" w:rsidRPr="00641640">
        <w:rPr>
          <w:rFonts w:ascii="Times New Roman" w:hAnsi="Times New Roman" w:cs="Times New Roman"/>
          <w:noProof/>
          <w:sz w:val="24"/>
          <w:szCs w:val="24"/>
          <w:lang w:val="sq-AL"/>
        </w:rPr>
        <w:t xml:space="preserve"> si qendra e sistemit</w:t>
      </w:r>
      <w:r w:rsidRPr="00641640">
        <w:rPr>
          <w:rFonts w:ascii="Times New Roman" w:hAnsi="Times New Roman" w:cs="Times New Roman"/>
          <w:noProof/>
          <w:sz w:val="24"/>
          <w:szCs w:val="24"/>
          <w:lang w:val="sq-AL"/>
        </w:rPr>
        <w:t xml:space="preserve"> t</w:t>
      </w:r>
      <w:r w:rsidR="00B81F4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rekrutimit</w:t>
      </w:r>
      <w:r w:rsidR="00D34359"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si </w:t>
      </w:r>
      <w:r w:rsidR="00D34359" w:rsidRPr="00641640">
        <w:rPr>
          <w:rFonts w:ascii="Times New Roman" w:hAnsi="Times New Roman" w:cs="Times New Roman"/>
          <w:noProof/>
          <w:sz w:val="24"/>
          <w:szCs w:val="24"/>
          <w:lang w:val="sq-AL"/>
        </w:rPr>
        <w:t>dhe të institucioneve</w:t>
      </w:r>
      <w:r w:rsidR="00EC4B89"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q</w:t>
      </w:r>
      <w:r w:rsidR="00B81F4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g</w:t>
      </w:r>
      <w:r w:rsidR="00B81F4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zojn</w:t>
      </w:r>
      <w:r w:rsidR="00B81F4F" w:rsidRPr="00641640">
        <w:rPr>
          <w:rFonts w:ascii="Times New Roman" w:hAnsi="Times New Roman" w:cs="Times New Roman"/>
          <w:noProof/>
          <w:sz w:val="24"/>
          <w:szCs w:val="24"/>
          <w:lang w:val="sq-AL"/>
        </w:rPr>
        <w:t>ë</w:t>
      </w:r>
      <w:r w:rsidR="00D34359" w:rsidRPr="00641640">
        <w:rPr>
          <w:rFonts w:ascii="Times New Roman" w:hAnsi="Times New Roman" w:cs="Times New Roman"/>
          <w:noProof/>
          <w:sz w:val="24"/>
          <w:szCs w:val="24"/>
          <w:lang w:val="sq-AL"/>
        </w:rPr>
        <w:t xml:space="preserve"> kompetenca të zgjeruara në </w:t>
      </w:r>
      <w:r w:rsidR="00DC3036" w:rsidRPr="00641640">
        <w:rPr>
          <w:rFonts w:ascii="Times New Roman" w:hAnsi="Times New Roman" w:cs="Times New Roman"/>
          <w:noProof/>
          <w:sz w:val="24"/>
          <w:szCs w:val="24"/>
          <w:lang w:val="sq-AL"/>
        </w:rPr>
        <w:t>zbatimin e</w:t>
      </w:r>
      <w:r w:rsidR="00D34359" w:rsidRPr="00641640">
        <w:rPr>
          <w:rFonts w:ascii="Times New Roman" w:hAnsi="Times New Roman" w:cs="Times New Roman"/>
          <w:noProof/>
          <w:sz w:val="24"/>
          <w:szCs w:val="24"/>
          <w:lang w:val="sq-AL"/>
        </w:rPr>
        <w:t xml:space="preserve"> procedurave të ngritjes në detyrë. </w:t>
      </w:r>
      <w:r w:rsidR="00265014" w:rsidRPr="00641640">
        <w:rPr>
          <w:rFonts w:ascii="Times New Roman" w:hAnsi="Times New Roman" w:cs="Times New Roman"/>
          <w:noProof/>
          <w:sz w:val="24"/>
          <w:szCs w:val="24"/>
          <w:lang w:val="sq-AL"/>
        </w:rPr>
        <w:t>Stoku prej 4</w:t>
      </w:r>
      <w:r w:rsidR="00A323EE" w:rsidRPr="00641640">
        <w:rPr>
          <w:rFonts w:ascii="Times New Roman" w:hAnsi="Times New Roman" w:cs="Times New Roman"/>
          <w:noProof/>
          <w:sz w:val="24"/>
          <w:szCs w:val="24"/>
          <w:lang w:val="sq-AL"/>
        </w:rPr>
        <w:t>93</w:t>
      </w:r>
      <w:r w:rsidR="00265014" w:rsidRPr="00641640">
        <w:rPr>
          <w:rFonts w:ascii="Times New Roman" w:hAnsi="Times New Roman" w:cs="Times New Roman"/>
          <w:noProof/>
          <w:sz w:val="24"/>
          <w:szCs w:val="24"/>
          <w:lang w:val="sq-AL"/>
        </w:rPr>
        <w:t xml:space="preserve"> vendimesh gjyqësore të formës së prerë lidhura me proceset e menaxhimit të BNJ (për periudhën 2013 – 202</w:t>
      </w:r>
      <w:r w:rsidR="00A323EE" w:rsidRPr="00641640">
        <w:rPr>
          <w:rFonts w:ascii="Times New Roman" w:hAnsi="Times New Roman" w:cs="Times New Roman"/>
          <w:noProof/>
          <w:sz w:val="24"/>
          <w:szCs w:val="24"/>
          <w:lang w:val="sq-AL"/>
        </w:rPr>
        <w:t>4</w:t>
      </w:r>
      <w:r w:rsidR="00265014" w:rsidRPr="00641640">
        <w:rPr>
          <w:rFonts w:ascii="Times New Roman" w:hAnsi="Times New Roman" w:cs="Times New Roman"/>
          <w:noProof/>
          <w:sz w:val="24"/>
          <w:szCs w:val="24"/>
          <w:lang w:val="sq-AL"/>
        </w:rPr>
        <w:t>)</w:t>
      </w:r>
      <w:r w:rsidR="00C93D2E" w:rsidRPr="00641640">
        <w:rPr>
          <w:rFonts w:ascii="Times New Roman" w:hAnsi="Times New Roman" w:cs="Times New Roman"/>
          <w:noProof/>
          <w:sz w:val="24"/>
          <w:szCs w:val="24"/>
          <w:lang w:val="sq-AL"/>
        </w:rPr>
        <w:t>,</w:t>
      </w:r>
      <w:r w:rsidR="00265014" w:rsidRPr="00641640">
        <w:rPr>
          <w:rFonts w:ascii="Times New Roman" w:hAnsi="Times New Roman" w:cs="Times New Roman"/>
          <w:noProof/>
          <w:sz w:val="24"/>
          <w:szCs w:val="24"/>
          <w:lang w:val="sq-AL"/>
        </w:rPr>
        <w:t xml:space="preserve"> </w:t>
      </w:r>
      <w:r w:rsidR="00F078FC" w:rsidRPr="00641640">
        <w:rPr>
          <w:rFonts w:ascii="Times New Roman" w:hAnsi="Times New Roman" w:cs="Times New Roman"/>
          <w:noProof/>
          <w:sz w:val="24"/>
          <w:szCs w:val="24"/>
          <w:lang w:val="sq-AL"/>
        </w:rPr>
        <w:t xml:space="preserve"> n</w:t>
      </w:r>
      <w:r w:rsidR="00DA55E2" w:rsidRPr="00641640">
        <w:rPr>
          <w:rFonts w:ascii="Times New Roman" w:hAnsi="Times New Roman" w:cs="Times New Roman"/>
          <w:noProof/>
          <w:sz w:val="24"/>
          <w:szCs w:val="24"/>
          <w:lang w:val="sq-AL"/>
        </w:rPr>
        <w:t>ë</w:t>
      </w:r>
      <w:r w:rsidR="00F078FC" w:rsidRPr="00641640">
        <w:rPr>
          <w:rFonts w:ascii="Times New Roman" w:hAnsi="Times New Roman" w:cs="Times New Roman"/>
          <w:noProof/>
          <w:sz w:val="24"/>
          <w:szCs w:val="24"/>
          <w:lang w:val="sq-AL"/>
        </w:rPr>
        <w:t xml:space="preserve"> fund t</w:t>
      </w:r>
      <w:r w:rsidR="00DA55E2" w:rsidRPr="00641640">
        <w:rPr>
          <w:rFonts w:ascii="Times New Roman" w:hAnsi="Times New Roman" w:cs="Times New Roman"/>
          <w:noProof/>
          <w:sz w:val="24"/>
          <w:szCs w:val="24"/>
          <w:lang w:val="sq-AL"/>
        </w:rPr>
        <w:t>ë</w:t>
      </w:r>
      <w:r w:rsidR="00F078FC" w:rsidRPr="00641640">
        <w:rPr>
          <w:rFonts w:ascii="Times New Roman" w:hAnsi="Times New Roman" w:cs="Times New Roman"/>
          <w:noProof/>
          <w:sz w:val="24"/>
          <w:szCs w:val="24"/>
          <w:lang w:val="sq-AL"/>
        </w:rPr>
        <w:t xml:space="preserve"> vitit 202</w:t>
      </w:r>
      <w:r w:rsidR="00A323EE" w:rsidRPr="00641640">
        <w:rPr>
          <w:rFonts w:ascii="Times New Roman" w:hAnsi="Times New Roman" w:cs="Times New Roman"/>
          <w:noProof/>
          <w:sz w:val="24"/>
          <w:szCs w:val="24"/>
          <w:lang w:val="sq-AL"/>
        </w:rPr>
        <w:t>4</w:t>
      </w:r>
      <w:r w:rsidR="00874ACB" w:rsidRPr="00641640">
        <w:rPr>
          <w:rFonts w:ascii="Times New Roman" w:hAnsi="Times New Roman" w:cs="Times New Roman"/>
          <w:noProof/>
          <w:sz w:val="24"/>
          <w:szCs w:val="24"/>
          <w:lang w:val="sq-AL"/>
        </w:rPr>
        <w:t xml:space="preserve">, </w:t>
      </w:r>
      <w:r w:rsidR="00C93D2E" w:rsidRPr="00641640">
        <w:rPr>
          <w:rFonts w:ascii="Times New Roman" w:hAnsi="Times New Roman" w:cs="Times New Roman"/>
          <w:noProof/>
          <w:sz w:val="24"/>
          <w:szCs w:val="24"/>
          <w:lang w:val="sq-AL"/>
        </w:rPr>
        <w:t>u</w:t>
      </w:r>
      <w:r w:rsidR="00874ACB" w:rsidRPr="00641640">
        <w:rPr>
          <w:rFonts w:ascii="Times New Roman" w:hAnsi="Times New Roman" w:cs="Times New Roman"/>
          <w:noProof/>
          <w:sz w:val="24"/>
          <w:szCs w:val="24"/>
          <w:lang w:val="sq-AL"/>
        </w:rPr>
        <w:t xml:space="preserve"> reduktua në </w:t>
      </w:r>
      <w:r w:rsidR="00A323EE" w:rsidRPr="00641640">
        <w:rPr>
          <w:rFonts w:ascii="Times New Roman" w:hAnsi="Times New Roman" w:cs="Times New Roman"/>
          <w:noProof/>
          <w:sz w:val="24"/>
          <w:szCs w:val="24"/>
          <w:lang w:val="sq-AL"/>
        </w:rPr>
        <w:t>6</w:t>
      </w:r>
      <w:r w:rsidR="00F078FC" w:rsidRPr="00641640">
        <w:rPr>
          <w:rFonts w:ascii="Times New Roman" w:hAnsi="Times New Roman" w:cs="Times New Roman"/>
          <w:noProof/>
          <w:sz w:val="24"/>
          <w:szCs w:val="24"/>
          <w:lang w:val="sq-AL"/>
        </w:rPr>
        <w:t>6</w:t>
      </w:r>
      <w:r w:rsidR="00874ACB" w:rsidRPr="00641640">
        <w:rPr>
          <w:rFonts w:ascii="Times New Roman" w:hAnsi="Times New Roman" w:cs="Times New Roman"/>
          <w:noProof/>
          <w:sz w:val="24"/>
          <w:szCs w:val="24"/>
          <w:lang w:val="sq-AL"/>
        </w:rPr>
        <w:t xml:space="preserve"> vendime të mbetura për ekzekutim. </w:t>
      </w:r>
    </w:p>
    <w:p w14:paraId="68B8C731" w14:textId="0AD15E4D" w:rsidR="007963F3" w:rsidRDefault="007963F3"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t</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drejtim, Raporti i vitit 2024 i OECD/SIGMA p</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Shqip</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rin</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vler</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son p</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rgjith</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sisht se kuadri ligjor, përfshirë at</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dyt</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sor dhe tret</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sor mbi rekrutimin, vlerësimet e performancës, zhvillimin profesional, procedurat disiplinore dhe shkarkimet, garanton që nëpunësit civilë të kenë bazën e nevojshme për të kryer detyrat e tyre me profesionalizëm, neutralitet dhe përgjegjshmëri, duke kufizuar ndërhyrjet politike në proceset e menaxhimit t</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burimeve njerëzore.</w:t>
      </w:r>
      <w:r w:rsidRPr="00641640">
        <w:rPr>
          <w:rStyle w:val="FootnoteReference"/>
          <w:rFonts w:ascii="Times New Roman" w:hAnsi="Times New Roman" w:cs="Times New Roman"/>
          <w:noProof/>
          <w:sz w:val="24"/>
          <w:szCs w:val="24"/>
          <w:lang w:val="sq-AL"/>
        </w:rPr>
        <w:footnoteReference w:id="39"/>
      </w:r>
    </w:p>
    <w:p w14:paraId="10790517" w14:textId="77777777" w:rsidR="00D32B76" w:rsidRPr="00D32B76" w:rsidRDefault="00D32B76" w:rsidP="003A395D">
      <w:pPr>
        <w:spacing w:line="276" w:lineRule="auto"/>
        <w:jc w:val="both"/>
        <w:rPr>
          <w:rFonts w:ascii="Times New Roman" w:hAnsi="Times New Roman" w:cs="Times New Roman"/>
          <w:noProof/>
          <w:sz w:val="14"/>
          <w:szCs w:val="14"/>
          <w:lang w:val="sq-AL"/>
        </w:rPr>
      </w:pPr>
    </w:p>
    <w:p w14:paraId="5FFD4195" w14:textId="48AB7D5F" w:rsidR="008828DD" w:rsidRPr="00641640" w:rsidRDefault="008828DD" w:rsidP="003A395D">
      <w:pPr>
        <w:spacing w:line="276" w:lineRule="auto"/>
        <w:jc w:val="both"/>
        <w:rPr>
          <w:rFonts w:ascii="Times New Roman" w:hAnsi="Times New Roman" w:cs="Times New Roman"/>
          <w:b/>
          <w:bCs/>
          <w:i/>
          <w:iCs/>
          <w:noProof/>
          <w:sz w:val="24"/>
          <w:szCs w:val="24"/>
          <w:lang w:val="sq-AL"/>
        </w:rPr>
      </w:pPr>
      <w:r w:rsidRPr="00641640">
        <w:rPr>
          <w:rFonts w:ascii="Times New Roman" w:hAnsi="Times New Roman" w:cs="Times New Roman"/>
          <w:b/>
          <w:bCs/>
          <w:i/>
          <w:iCs/>
          <w:noProof/>
          <w:sz w:val="24"/>
          <w:szCs w:val="24"/>
          <w:lang w:val="sq-AL"/>
        </w:rPr>
        <w:t>Sistemi i pagave dhe motivimi</w:t>
      </w:r>
    </w:p>
    <w:p w14:paraId="10CEF377" w14:textId="6FF7E945" w:rsidR="004C20C4" w:rsidRPr="00641640" w:rsidRDefault="00874ACB" w:rsidP="003A395D">
      <w:pPr>
        <w:spacing w:line="276" w:lineRule="auto"/>
        <w:jc w:val="both"/>
        <w:rPr>
          <w:rFonts w:ascii="Times New Roman" w:hAnsi="Times New Roman" w:cs="Times New Roman"/>
          <w:noProof/>
          <w:sz w:val="24"/>
          <w:szCs w:val="24"/>
          <w:lang w:val="sq-AL"/>
        </w:rPr>
      </w:pPr>
      <w:bookmarkStart w:id="20" w:name="_Hlk183020102"/>
      <w:r w:rsidRPr="00641640">
        <w:rPr>
          <w:rFonts w:ascii="Times New Roman" w:hAnsi="Times New Roman" w:cs="Times New Roman"/>
          <w:noProof/>
          <w:sz w:val="24"/>
          <w:szCs w:val="24"/>
          <w:lang w:val="sq-AL"/>
        </w:rPr>
        <w:t xml:space="preserve">Sistemi i pagave për nëpunësit civilë është i rregulluar qartë. Paga llogaritet sipas pozicionit të punës së nëpunësit civil, sistem që tashmë është i njëjti edhe për institucionet e qeverisjes vendore. </w:t>
      </w:r>
      <w:r w:rsidR="00945F1B" w:rsidRPr="00641640">
        <w:rPr>
          <w:rFonts w:ascii="Times New Roman" w:hAnsi="Times New Roman" w:cs="Times New Roman"/>
          <w:noProof/>
          <w:sz w:val="24"/>
          <w:szCs w:val="24"/>
          <w:lang w:val="sq-AL"/>
        </w:rPr>
        <w:t>P</w:t>
      </w:r>
      <w:r w:rsidR="00B81F4F" w:rsidRPr="00641640">
        <w:rPr>
          <w:rFonts w:ascii="Times New Roman" w:hAnsi="Times New Roman" w:cs="Times New Roman"/>
          <w:noProof/>
          <w:sz w:val="24"/>
          <w:szCs w:val="24"/>
          <w:lang w:val="sq-AL"/>
        </w:rPr>
        <w:t>ë</w:t>
      </w:r>
      <w:r w:rsidR="00945F1B" w:rsidRPr="00641640">
        <w:rPr>
          <w:rFonts w:ascii="Times New Roman" w:hAnsi="Times New Roman" w:cs="Times New Roman"/>
          <w:noProof/>
          <w:sz w:val="24"/>
          <w:szCs w:val="24"/>
          <w:lang w:val="sq-AL"/>
        </w:rPr>
        <w:t>rgjat</w:t>
      </w:r>
      <w:r w:rsidR="00B81F4F" w:rsidRPr="00641640">
        <w:rPr>
          <w:rFonts w:ascii="Times New Roman" w:hAnsi="Times New Roman" w:cs="Times New Roman"/>
          <w:noProof/>
          <w:sz w:val="24"/>
          <w:szCs w:val="24"/>
          <w:lang w:val="sq-AL"/>
        </w:rPr>
        <w:t>ë</w:t>
      </w:r>
      <w:r w:rsidR="00945F1B" w:rsidRPr="00641640">
        <w:rPr>
          <w:rFonts w:ascii="Times New Roman" w:hAnsi="Times New Roman" w:cs="Times New Roman"/>
          <w:noProof/>
          <w:sz w:val="24"/>
          <w:szCs w:val="24"/>
          <w:lang w:val="sq-AL"/>
        </w:rPr>
        <w:t xml:space="preserve"> viteve, </w:t>
      </w:r>
      <w:r w:rsidR="004C20C4" w:rsidRPr="00641640">
        <w:rPr>
          <w:rFonts w:ascii="Times New Roman" w:hAnsi="Times New Roman" w:cs="Times New Roman"/>
          <w:noProof/>
          <w:sz w:val="24"/>
          <w:szCs w:val="24"/>
          <w:lang w:val="sq-AL"/>
        </w:rPr>
        <w:t xml:space="preserve">Qeveria </w:t>
      </w:r>
      <w:r w:rsidR="00237DA0" w:rsidRPr="00641640">
        <w:rPr>
          <w:rFonts w:ascii="Times New Roman" w:hAnsi="Times New Roman" w:cs="Times New Roman"/>
          <w:noProof/>
          <w:sz w:val="24"/>
          <w:szCs w:val="24"/>
          <w:lang w:val="sq-AL"/>
        </w:rPr>
        <w:t xml:space="preserve">Shqiptare </w:t>
      </w:r>
      <w:r w:rsidR="004C20C4" w:rsidRPr="00641640">
        <w:rPr>
          <w:rFonts w:ascii="Times New Roman" w:hAnsi="Times New Roman" w:cs="Times New Roman"/>
          <w:noProof/>
          <w:sz w:val="24"/>
          <w:szCs w:val="24"/>
          <w:lang w:val="sq-AL"/>
        </w:rPr>
        <w:t xml:space="preserve">ka </w:t>
      </w:r>
      <w:r w:rsidR="00945F1B" w:rsidRPr="00641640">
        <w:rPr>
          <w:rFonts w:ascii="Times New Roman" w:hAnsi="Times New Roman" w:cs="Times New Roman"/>
          <w:noProof/>
          <w:sz w:val="24"/>
          <w:szCs w:val="24"/>
          <w:lang w:val="sq-AL"/>
        </w:rPr>
        <w:t>nd</w:t>
      </w:r>
      <w:r w:rsidR="00B81F4F" w:rsidRPr="00641640">
        <w:rPr>
          <w:rFonts w:ascii="Times New Roman" w:hAnsi="Times New Roman" w:cs="Times New Roman"/>
          <w:noProof/>
          <w:sz w:val="24"/>
          <w:szCs w:val="24"/>
          <w:lang w:val="sq-AL"/>
        </w:rPr>
        <w:t>ë</w:t>
      </w:r>
      <w:r w:rsidR="00945F1B" w:rsidRPr="00641640">
        <w:rPr>
          <w:rFonts w:ascii="Times New Roman" w:hAnsi="Times New Roman" w:cs="Times New Roman"/>
          <w:noProof/>
          <w:sz w:val="24"/>
          <w:szCs w:val="24"/>
          <w:lang w:val="sq-AL"/>
        </w:rPr>
        <w:t>rmarr</w:t>
      </w:r>
      <w:r w:rsidR="00B81F4F" w:rsidRPr="00641640">
        <w:rPr>
          <w:rFonts w:ascii="Times New Roman" w:hAnsi="Times New Roman" w:cs="Times New Roman"/>
          <w:noProof/>
          <w:sz w:val="24"/>
          <w:szCs w:val="24"/>
          <w:lang w:val="sq-AL"/>
        </w:rPr>
        <w:t>ë</w:t>
      </w:r>
      <w:r w:rsidR="00945F1B" w:rsidRPr="00641640">
        <w:rPr>
          <w:rFonts w:ascii="Times New Roman" w:hAnsi="Times New Roman" w:cs="Times New Roman"/>
          <w:noProof/>
          <w:sz w:val="24"/>
          <w:szCs w:val="24"/>
          <w:lang w:val="sq-AL"/>
        </w:rPr>
        <w:t xml:space="preserve"> vazhdimisht</w:t>
      </w:r>
      <w:r w:rsidR="004C20C4" w:rsidRPr="00641640">
        <w:rPr>
          <w:rFonts w:ascii="Times New Roman" w:hAnsi="Times New Roman" w:cs="Times New Roman"/>
          <w:noProof/>
          <w:sz w:val="24"/>
          <w:szCs w:val="24"/>
          <w:lang w:val="sq-AL"/>
        </w:rPr>
        <w:t xml:space="preserve"> </w:t>
      </w:r>
      <w:r w:rsidR="00945F1B" w:rsidRPr="00641640">
        <w:rPr>
          <w:rFonts w:ascii="Times New Roman" w:hAnsi="Times New Roman" w:cs="Times New Roman"/>
          <w:noProof/>
          <w:sz w:val="24"/>
          <w:szCs w:val="24"/>
          <w:lang w:val="sq-AL"/>
        </w:rPr>
        <w:t xml:space="preserve">reforma </w:t>
      </w:r>
      <w:r w:rsidR="004C20C4" w:rsidRPr="00641640">
        <w:rPr>
          <w:rFonts w:ascii="Times New Roman" w:hAnsi="Times New Roman" w:cs="Times New Roman"/>
          <w:noProof/>
          <w:sz w:val="24"/>
          <w:szCs w:val="24"/>
          <w:lang w:val="sq-AL"/>
        </w:rPr>
        <w:t xml:space="preserve">në sistemin e pagave të administratës publike, </w:t>
      </w:r>
      <w:r w:rsidR="00945F1B" w:rsidRPr="00641640">
        <w:rPr>
          <w:rFonts w:ascii="Times New Roman" w:hAnsi="Times New Roman" w:cs="Times New Roman"/>
          <w:noProof/>
          <w:sz w:val="24"/>
          <w:szCs w:val="24"/>
          <w:lang w:val="sq-AL"/>
        </w:rPr>
        <w:t>prej t</w:t>
      </w:r>
      <w:r w:rsidR="00B81F4F" w:rsidRPr="00641640">
        <w:rPr>
          <w:rFonts w:ascii="Times New Roman" w:hAnsi="Times New Roman" w:cs="Times New Roman"/>
          <w:noProof/>
          <w:sz w:val="24"/>
          <w:szCs w:val="24"/>
          <w:lang w:val="sq-AL"/>
        </w:rPr>
        <w:t>ë</w:t>
      </w:r>
      <w:r w:rsidR="00945F1B" w:rsidRPr="00641640">
        <w:rPr>
          <w:rFonts w:ascii="Times New Roman" w:hAnsi="Times New Roman" w:cs="Times New Roman"/>
          <w:noProof/>
          <w:sz w:val="24"/>
          <w:szCs w:val="24"/>
          <w:lang w:val="sq-AL"/>
        </w:rPr>
        <w:t xml:space="preserve"> cilave</w:t>
      </w:r>
      <w:r w:rsidR="004C20C4" w:rsidRPr="00641640">
        <w:rPr>
          <w:rFonts w:ascii="Times New Roman" w:hAnsi="Times New Roman" w:cs="Times New Roman"/>
          <w:noProof/>
          <w:sz w:val="24"/>
          <w:szCs w:val="24"/>
          <w:lang w:val="sq-AL"/>
        </w:rPr>
        <w:t xml:space="preserve"> kanë përfituar kryesisht </w:t>
      </w:r>
      <w:r w:rsidR="007A2B51" w:rsidRPr="00641640">
        <w:rPr>
          <w:rFonts w:ascii="Times New Roman" w:hAnsi="Times New Roman" w:cs="Times New Roman"/>
          <w:noProof/>
          <w:sz w:val="24"/>
          <w:szCs w:val="24"/>
          <w:lang w:val="sq-AL"/>
        </w:rPr>
        <w:t>punonj</w:t>
      </w:r>
      <w:r w:rsidR="00DA55E2" w:rsidRPr="00641640">
        <w:rPr>
          <w:rFonts w:ascii="Times New Roman" w:hAnsi="Times New Roman" w:cs="Times New Roman"/>
          <w:noProof/>
          <w:sz w:val="24"/>
          <w:szCs w:val="24"/>
          <w:lang w:val="sq-AL"/>
        </w:rPr>
        <w:t>ë</w:t>
      </w:r>
      <w:r w:rsidR="007A2B51" w:rsidRPr="00641640">
        <w:rPr>
          <w:rFonts w:ascii="Times New Roman" w:hAnsi="Times New Roman" w:cs="Times New Roman"/>
          <w:noProof/>
          <w:sz w:val="24"/>
          <w:szCs w:val="24"/>
          <w:lang w:val="sq-AL"/>
        </w:rPr>
        <w:t>sit e administrat</w:t>
      </w:r>
      <w:r w:rsidR="00DA55E2" w:rsidRPr="00641640">
        <w:rPr>
          <w:rFonts w:ascii="Times New Roman" w:hAnsi="Times New Roman" w:cs="Times New Roman"/>
          <w:noProof/>
          <w:sz w:val="24"/>
          <w:szCs w:val="24"/>
          <w:lang w:val="sq-AL"/>
        </w:rPr>
        <w:t>ë</w:t>
      </w:r>
      <w:r w:rsidR="007A2B51" w:rsidRPr="00641640">
        <w:rPr>
          <w:rFonts w:ascii="Times New Roman" w:hAnsi="Times New Roman" w:cs="Times New Roman"/>
          <w:noProof/>
          <w:sz w:val="24"/>
          <w:szCs w:val="24"/>
          <w:lang w:val="sq-AL"/>
        </w:rPr>
        <w:t>s publike n</w:t>
      </w:r>
      <w:r w:rsidR="00DA55E2" w:rsidRPr="00641640">
        <w:rPr>
          <w:rFonts w:ascii="Times New Roman" w:hAnsi="Times New Roman" w:cs="Times New Roman"/>
          <w:noProof/>
          <w:sz w:val="24"/>
          <w:szCs w:val="24"/>
          <w:lang w:val="sq-AL"/>
        </w:rPr>
        <w:t>ë</w:t>
      </w:r>
      <w:r w:rsidR="007A2B51" w:rsidRPr="00641640">
        <w:rPr>
          <w:rFonts w:ascii="Times New Roman" w:hAnsi="Times New Roman" w:cs="Times New Roman"/>
          <w:noProof/>
          <w:sz w:val="24"/>
          <w:szCs w:val="24"/>
          <w:lang w:val="sq-AL"/>
        </w:rPr>
        <w:t xml:space="preserve"> ministri dhe n</w:t>
      </w:r>
      <w:r w:rsidR="00DA55E2" w:rsidRPr="00641640">
        <w:rPr>
          <w:rFonts w:ascii="Times New Roman" w:hAnsi="Times New Roman" w:cs="Times New Roman"/>
          <w:noProof/>
          <w:sz w:val="24"/>
          <w:szCs w:val="24"/>
          <w:lang w:val="sq-AL"/>
        </w:rPr>
        <w:t>ë</w:t>
      </w:r>
      <w:r w:rsidR="007A2B51" w:rsidRPr="00641640">
        <w:rPr>
          <w:rFonts w:ascii="Times New Roman" w:hAnsi="Times New Roman" w:cs="Times New Roman"/>
          <w:noProof/>
          <w:sz w:val="24"/>
          <w:szCs w:val="24"/>
          <w:lang w:val="sq-AL"/>
        </w:rPr>
        <w:t xml:space="preserve"> </w:t>
      </w:r>
      <w:r w:rsidR="004C20C4" w:rsidRPr="00641640">
        <w:rPr>
          <w:rFonts w:ascii="Times New Roman" w:hAnsi="Times New Roman" w:cs="Times New Roman"/>
          <w:noProof/>
          <w:sz w:val="24"/>
          <w:szCs w:val="24"/>
          <w:lang w:val="sq-AL"/>
        </w:rPr>
        <w:t>s</w:t>
      </w:r>
      <w:r w:rsidR="00945F1B" w:rsidRPr="00641640">
        <w:rPr>
          <w:rFonts w:ascii="Times New Roman" w:hAnsi="Times New Roman" w:cs="Times New Roman"/>
          <w:noProof/>
          <w:sz w:val="24"/>
          <w:szCs w:val="24"/>
          <w:lang w:val="sq-AL"/>
        </w:rPr>
        <w:t>ektor</w:t>
      </w:r>
      <w:r w:rsidR="00B81F4F" w:rsidRPr="00641640">
        <w:rPr>
          <w:rFonts w:ascii="Times New Roman" w:hAnsi="Times New Roman" w:cs="Times New Roman"/>
          <w:noProof/>
          <w:sz w:val="24"/>
          <w:szCs w:val="24"/>
          <w:lang w:val="sq-AL"/>
        </w:rPr>
        <w:t>ë</w:t>
      </w:r>
      <w:r w:rsidR="00945F1B" w:rsidRPr="00641640">
        <w:rPr>
          <w:rFonts w:ascii="Times New Roman" w:hAnsi="Times New Roman" w:cs="Times New Roman"/>
          <w:noProof/>
          <w:sz w:val="24"/>
          <w:szCs w:val="24"/>
          <w:lang w:val="sq-AL"/>
        </w:rPr>
        <w:t xml:space="preserve">t </w:t>
      </w:r>
      <w:r w:rsidR="004C20C4" w:rsidRPr="00641640">
        <w:rPr>
          <w:rFonts w:ascii="Times New Roman" w:hAnsi="Times New Roman" w:cs="Times New Roman"/>
          <w:noProof/>
          <w:sz w:val="24"/>
          <w:szCs w:val="24"/>
          <w:lang w:val="sq-AL"/>
        </w:rPr>
        <w:t>e shëndetësisë, arsimit</w:t>
      </w:r>
      <w:r w:rsidR="007A2B51" w:rsidRPr="00641640">
        <w:rPr>
          <w:rFonts w:ascii="Times New Roman" w:hAnsi="Times New Roman" w:cs="Times New Roman"/>
          <w:noProof/>
          <w:sz w:val="24"/>
          <w:szCs w:val="24"/>
          <w:lang w:val="sq-AL"/>
        </w:rPr>
        <w:t>, siguris</w:t>
      </w:r>
      <w:r w:rsidR="00DA55E2" w:rsidRPr="00641640">
        <w:rPr>
          <w:rFonts w:ascii="Times New Roman" w:hAnsi="Times New Roman" w:cs="Times New Roman"/>
          <w:noProof/>
          <w:sz w:val="24"/>
          <w:szCs w:val="24"/>
          <w:lang w:val="sq-AL"/>
        </w:rPr>
        <w:t>ë</w:t>
      </w:r>
      <w:r w:rsidR="00945F1B" w:rsidRPr="00641640">
        <w:rPr>
          <w:rFonts w:ascii="Times New Roman" w:hAnsi="Times New Roman" w:cs="Times New Roman"/>
          <w:noProof/>
          <w:sz w:val="24"/>
          <w:szCs w:val="24"/>
          <w:lang w:val="sq-AL"/>
        </w:rPr>
        <w:t xml:space="preserve"> dhe</w:t>
      </w:r>
      <w:r w:rsidR="004C20C4" w:rsidRPr="00641640">
        <w:rPr>
          <w:rFonts w:ascii="Times New Roman" w:hAnsi="Times New Roman" w:cs="Times New Roman"/>
          <w:noProof/>
          <w:sz w:val="24"/>
          <w:szCs w:val="24"/>
          <w:lang w:val="sq-AL"/>
        </w:rPr>
        <w:t xml:space="preserve"> forca</w:t>
      </w:r>
      <w:r w:rsidR="005A5E9A" w:rsidRPr="00641640">
        <w:rPr>
          <w:rFonts w:ascii="Times New Roman" w:hAnsi="Times New Roman" w:cs="Times New Roman"/>
          <w:noProof/>
          <w:sz w:val="24"/>
          <w:szCs w:val="24"/>
          <w:lang w:val="sq-AL"/>
        </w:rPr>
        <w:t>ve</w:t>
      </w:r>
      <w:r w:rsidR="004C20C4" w:rsidRPr="00641640">
        <w:rPr>
          <w:rFonts w:ascii="Times New Roman" w:hAnsi="Times New Roman" w:cs="Times New Roman"/>
          <w:noProof/>
          <w:sz w:val="24"/>
          <w:szCs w:val="24"/>
          <w:lang w:val="sq-AL"/>
        </w:rPr>
        <w:t xml:space="preserve"> </w:t>
      </w:r>
      <w:r w:rsidR="005A5E9A" w:rsidRPr="00641640">
        <w:rPr>
          <w:rFonts w:ascii="Times New Roman" w:hAnsi="Times New Roman" w:cs="Times New Roman"/>
          <w:noProof/>
          <w:sz w:val="24"/>
          <w:szCs w:val="24"/>
          <w:lang w:val="sq-AL"/>
        </w:rPr>
        <w:t>t</w:t>
      </w:r>
      <w:r w:rsidR="007F00FB" w:rsidRPr="00641640">
        <w:rPr>
          <w:rFonts w:ascii="Times New Roman" w:hAnsi="Times New Roman" w:cs="Times New Roman"/>
          <w:noProof/>
          <w:sz w:val="24"/>
          <w:szCs w:val="24"/>
          <w:lang w:val="sq-AL"/>
        </w:rPr>
        <w:t>ë</w:t>
      </w:r>
      <w:r w:rsidR="004C20C4" w:rsidRPr="00641640">
        <w:rPr>
          <w:rFonts w:ascii="Times New Roman" w:hAnsi="Times New Roman" w:cs="Times New Roman"/>
          <w:noProof/>
          <w:sz w:val="24"/>
          <w:szCs w:val="24"/>
          <w:lang w:val="sq-AL"/>
        </w:rPr>
        <w:t xml:space="preserve"> armatosura</w:t>
      </w:r>
      <w:r w:rsidR="007963F3" w:rsidRPr="00641640">
        <w:rPr>
          <w:rFonts w:ascii="Times New Roman" w:hAnsi="Times New Roman" w:cs="Times New Roman"/>
          <w:noProof/>
          <w:sz w:val="24"/>
          <w:szCs w:val="24"/>
          <w:lang w:val="sq-AL"/>
        </w:rPr>
        <w:t>.</w:t>
      </w:r>
    </w:p>
    <w:p w14:paraId="3056012E" w14:textId="0893D9FD" w:rsidR="00874ACB" w:rsidRPr="00641640" w:rsidRDefault="007A2B51"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Rritja </w:t>
      </w:r>
      <w:r w:rsidR="00874ACB" w:rsidRPr="00641640">
        <w:rPr>
          <w:rFonts w:ascii="Times New Roman" w:hAnsi="Times New Roman" w:cs="Times New Roman"/>
          <w:noProof/>
          <w:sz w:val="24"/>
          <w:szCs w:val="24"/>
          <w:lang w:val="sq-AL"/>
        </w:rPr>
        <w:t>e fundit e pagave për nëpunësit civilë është zbatuar nga Qeveria Shqiptare gjatë viteve 2023 dhe 2024, me synimin për të rritur nivelin e kënaqësisë dhe motivimit të nëpunësve të administratës publike, si dhe për të pozicionuar shërbimin publik si një punëdhënës konkurrues në tregun e punës. Krahas rritjes së pagave, reforma mund</w:t>
      </w:r>
      <w:r w:rsidR="00446C9B" w:rsidRPr="00641640">
        <w:rPr>
          <w:rFonts w:ascii="Times New Roman" w:hAnsi="Times New Roman" w:cs="Times New Roman"/>
          <w:noProof/>
          <w:sz w:val="24"/>
          <w:szCs w:val="24"/>
          <w:lang w:val="sq-AL"/>
        </w:rPr>
        <w:t>ë</w:t>
      </w:r>
      <w:r w:rsidR="00874ACB" w:rsidRPr="00641640">
        <w:rPr>
          <w:rFonts w:ascii="Times New Roman" w:hAnsi="Times New Roman" w:cs="Times New Roman"/>
          <w:noProof/>
          <w:sz w:val="24"/>
          <w:szCs w:val="24"/>
          <w:lang w:val="sq-AL"/>
        </w:rPr>
        <w:t>soi edhe një rregullim në strukturën e pagës. Krahasuar me vitin 2013, pagat e nëpunësve civilë janë rritur mesatarisht nga 35% deri në 65%, sipas kategorive. Paralelisht, është rritur edhe indeksi i shkallës së komprimimit të pagave dhe është rritur pesha e elementit të vjetërsisë në pagën totale. Këto ndyshime janë realizuar n</w:t>
      </w:r>
      <w:r w:rsidR="00446C9B" w:rsidRPr="00641640">
        <w:rPr>
          <w:rFonts w:ascii="Times New Roman" w:hAnsi="Times New Roman" w:cs="Times New Roman"/>
          <w:noProof/>
          <w:sz w:val="24"/>
          <w:szCs w:val="24"/>
          <w:lang w:val="sq-AL"/>
        </w:rPr>
        <w:t>ë</w:t>
      </w:r>
      <w:r w:rsidR="00874ACB" w:rsidRPr="00641640">
        <w:rPr>
          <w:rFonts w:ascii="Times New Roman" w:hAnsi="Times New Roman" w:cs="Times New Roman"/>
          <w:noProof/>
          <w:sz w:val="24"/>
          <w:szCs w:val="24"/>
          <w:lang w:val="sq-AL"/>
        </w:rPr>
        <w:t xml:space="preserve"> dy faza p</w:t>
      </w:r>
      <w:r w:rsidR="00446C9B" w:rsidRPr="00641640">
        <w:rPr>
          <w:rFonts w:ascii="Times New Roman" w:hAnsi="Times New Roman" w:cs="Times New Roman"/>
          <w:noProof/>
          <w:sz w:val="24"/>
          <w:szCs w:val="24"/>
          <w:lang w:val="sq-AL"/>
        </w:rPr>
        <w:t>ë</w:t>
      </w:r>
      <w:r w:rsidR="00874ACB" w:rsidRPr="00641640">
        <w:rPr>
          <w:rFonts w:ascii="Times New Roman" w:hAnsi="Times New Roman" w:cs="Times New Roman"/>
          <w:noProof/>
          <w:sz w:val="24"/>
          <w:szCs w:val="24"/>
          <w:lang w:val="sq-AL"/>
        </w:rPr>
        <w:t>rmes nismave ligjore t</w:t>
      </w:r>
      <w:r w:rsidR="00446C9B" w:rsidRPr="00641640">
        <w:rPr>
          <w:rFonts w:ascii="Times New Roman" w:hAnsi="Times New Roman" w:cs="Times New Roman"/>
          <w:noProof/>
          <w:sz w:val="24"/>
          <w:szCs w:val="24"/>
          <w:lang w:val="sq-AL"/>
        </w:rPr>
        <w:t>ë</w:t>
      </w:r>
      <w:r w:rsidR="00874ACB" w:rsidRPr="00641640">
        <w:rPr>
          <w:rFonts w:ascii="Times New Roman" w:hAnsi="Times New Roman" w:cs="Times New Roman"/>
          <w:noProof/>
          <w:sz w:val="24"/>
          <w:szCs w:val="24"/>
          <w:lang w:val="sq-AL"/>
        </w:rPr>
        <w:t xml:space="preserve"> miratuara në vitin 2023, dhe vendimeve të qeverisë gjatë viteve 2023-2024. </w:t>
      </w:r>
    </w:p>
    <w:p w14:paraId="13025E4D" w14:textId="6FF9D51F" w:rsidR="00874ACB" w:rsidRPr="00641640" w:rsidRDefault="00874ACB"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lastRenderedPageBreak/>
        <w:t xml:space="preserve">Si rezultat i të gjitha ndërhyrjeve, Qeveria Shqiptare ka mundur jo vetëm të arrijë objektivin e caktuar për pagë mesatare në administratën publike në </w:t>
      </w:r>
      <w:r w:rsidR="00EF1C00" w:rsidRPr="00641640">
        <w:rPr>
          <w:rFonts w:ascii="Times New Roman" w:hAnsi="Times New Roman" w:cs="Times New Roman"/>
          <w:noProof/>
          <w:sz w:val="24"/>
          <w:szCs w:val="24"/>
          <w:lang w:val="sq-AL"/>
        </w:rPr>
        <w:t xml:space="preserve">mbi </w:t>
      </w:r>
      <w:r w:rsidRPr="00641640">
        <w:rPr>
          <w:rFonts w:ascii="Times New Roman" w:hAnsi="Times New Roman" w:cs="Times New Roman"/>
          <w:noProof/>
          <w:sz w:val="24"/>
          <w:szCs w:val="24"/>
          <w:lang w:val="sq-AL"/>
        </w:rPr>
        <w:t>900 euro sipas Udhërrëfyesit të Reformës në Administratën Publike, por të sigurojë një pagë mesatare në nivelin e 1.050 euro, nga 530 euro në fillim t</w:t>
      </w:r>
      <w:r w:rsidR="008D64E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vitit 2023, si një rritje që vlerësohet domethënëse edhe nga Komisioni Evropian në vlerësimin më të fundit për Shqipërinë.</w:t>
      </w:r>
      <w:r w:rsidRPr="00641640">
        <w:rPr>
          <w:rFonts w:ascii="Times New Roman" w:hAnsi="Times New Roman" w:cs="Times New Roman"/>
          <w:noProof/>
          <w:sz w:val="24"/>
          <w:szCs w:val="24"/>
          <w:vertAlign w:val="superscript"/>
          <w:lang w:val="sq-AL"/>
        </w:rPr>
        <w:footnoteReference w:id="40"/>
      </w:r>
      <w:r w:rsidRPr="00641640">
        <w:rPr>
          <w:rFonts w:ascii="Times New Roman" w:hAnsi="Times New Roman" w:cs="Times New Roman"/>
          <w:noProof/>
          <w:sz w:val="24"/>
          <w:szCs w:val="24"/>
          <w:lang w:val="sq-AL"/>
        </w:rPr>
        <w:t xml:space="preserve"> </w:t>
      </w:r>
    </w:p>
    <w:p w14:paraId="1DD9BE36" w14:textId="2D62B62D" w:rsidR="00874ACB" w:rsidRPr="00641640" w:rsidRDefault="00874ACB" w:rsidP="003A395D">
      <w:pPr>
        <w:spacing w:before="100" w:beforeAutospacing="1" w:after="100" w:afterAutospacing="1"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Qeveria Shqiptare miratoi në gusht 2024 një reformë të plotë të pagave edhe për punonjësit e njësive të vetëqeverisjes vendore, duke ndryshuar metodën e llogaritjes së vjetërsisë për ta përshtatur me atë të nëpunësve civilë në administratën shtetërore dhe duke barazuar kështu pagën nëpunësve lokalë me atë të klasës përkatëse në administratën shtetërore. Ndryshimet ligjore mundësuan rritjen e pagave nga 40% deri në dyfishimin e pagës për disa pozicione/profesione specifike, si dhe standardizimin e pagave në të 61 bashkitë e vendit.</w:t>
      </w:r>
      <w:r w:rsidRPr="00641640">
        <w:rPr>
          <w:rStyle w:val="FootnoteReference"/>
          <w:rFonts w:ascii="Times New Roman" w:eastAsia="Times New Roman" w:hAnsi="Times New Roman" w:cs="Times New Roman"/>
          <w:noProof/>
          <w:sz w:val="24"/>
          <w:szCs w:val="24"/>
          <w:lang w:val="sq-AL"/>
        </w:rPr>
        <w:footnoteReference w:id="41"/>
      </w:r>
    </w:p>
    <w:p w14:paraId="392A67FA" w14:textId="5A6D7DED" w:rsidR="005649B3" w:rsidRPr="00641640" w:rsidRDefault="00DF64D5" w:rsidP="003A395D">
      <w:pPr>
        <w:spacing w:line="276" w:lineRule="auto"/>
        <w:jc w:val="both"/>
        <w:rPr>
          <w:rFonts w:ascii="Times New Roman" w:eastAsia="Times New Roman" w:hAnsi="Times New Roman" w:cs="Times New Roman"/>
          <w:noProof/>
          <w:sz w:val="24"/>
          <w:szCs w:val="24"/>
          <w:lang w:val="sq-AL"/>
        </w:rPr>
      </w:pPr>
      <w:r w:rsidRPr="00641640">
        <w:rPr>
          <w:rFonts w:ascii="Times New Roman" w:hAnsi="Times New Roman" w:cs="Times New Roman"/>
          <w:noProof/>
          <w:sz w:val="24"/>
          <w:szCs w:val="24"/>
          <w:lang w:val="sq-AL"/>
        </w:rPr>
        <w:t>Nd</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rkoh</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s</w:t>
      </w:r>
      <w:r w:rsidR="00E63A0E" w:rsidRPr="00641640">
        <w:rPr>
          <w:rFonts w:ascii="Times New Roman" w:hAnsi="Times New Roman" w:cs="Times New Roman"/>
          <w:noProof/>
          <w:sz w:val="24"/>
          <w:szCs w:val="24"/>
          <w:lang w:val="sq-AL"/>
        </w:rPr>
        <w:t>ipas sondazhit rajonal t</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 xml:space="preserve"> kryer </w:t>
      </w:r>
      <w:r w:rsidR="00F03E28" w:rsidRPr="00641640">
        <w:rPr>
          <w:rFonts w:ascii="Times New Roman" w:hAnsi="Times New Roman" w:cs="Times New Roman"/>
          <w:noProof/>
          <w:sz w:val="24"/>
          <w:szCs w:val="24"/>
          <w:lang w:val="sq-AL"/>
        </w:rPr>
        <w:t>nga OECD/SIGMA</w:t>
      </w:r>
      <w:r w:rsidR="00E63A0E" w:rsidRPr="00641640">
        <w:rPr>
          <w:rFonts w:ascii="Times New Roman" w:hAnsi="Times New Roman" w:cs="Times New Roman"/>
          <w:noProof/>
          <w:sz w:val="24"/>
          <w:szCs w:val="24"/>
          <w:lang w:val="sq-AL"/>
        </w:rPr>
        <w:t xml:space="preserve"> n</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 xml:space="preserve"> 2024,</w:t>
      </w:r>
      <w:r w:rsidR="00F03E28" w:rsidRPr="00641640">
        <w:rPr>
          <w:rFonts w:ascii="Times New Roman" w:hAnsi="Times New Roman" w:cs="Times New Roman"/>
          <w:noProof/>
          <w:sz w:val="24"/>
          <w:szCs w:val="24"/>
          <w:lang w:val="sq-AL"/>
        </w:rPr>
        <w:t xml:space="preserve"> reforma e pagave ka ndikuar n</w:t>
      </w:r>
      <w:r w:rsidR="00DB4DF5" w:rsidRPr="00641640">
        <w:rPr>
          <w:rFonts w:ascii="Times New Roman" w:hAnsi="Times New Roman" w:cs="Times New Roman"/>
          <w:noProof/>
          <w:sz w:val="24"/>
          <w:szCs w:val="24"/>
          <w:lang w:val="sq-AL"/>
        </w:rPr>
        <w:t>ë</w:t>
      </w:r>
      <w:r w:rsidR="00F03E28" w:rsidRPr="00641640">
        <w:rPr>
          <w:rFonts w:ascii="Times New Roman" w:hAnsi="Times New Roman" w:cs="Times New Roman"/>
          <w:noProof/>
          <w:sz w:val="24"/>
          <w:szCs w:val="24"/>
          <w:lang w:val="sq-AL"/>
        </w:rPr>
        <w:t xml:space="preserve"> rritjen e </w:t>
      </w:r>
      <w:r w:rsidR="00E63A0E" w:rsidRPr="00641640">
        <w:rPr>
          <w:rFonts w:ascii="Times New Roman" w:hAnsi="Times New Roman" w:cs="Times New Roman"/>
          <w:noProof/>
          <w:sz w:val="24"/>
          <w:szCs w:val="24"/>
          <w:lang w:val="sq-AL"/>
        </w:rPr>
        <w:t>k</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naq</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sis</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 xml:space="preserve"> n</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 xml:space="preserve"> pun</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 xml:space="preserve"> dhe </w:t>
      </w:r>
      <w:r w:rsidR="00F03E28" w:rsidRPr="00641640">
        <w:rPr>
          <w:rFonts w:ascii="Times New Roman" w:hAnsi="Times New Roman" w:cs="Times New Roman"/>
          <w:noProof/>
          <w:sz w:val="24"/>
          <w:szCs w:val="24"/>
          <w:lang w:val="sq-AL"/>
        </w:rPr>
        <w:t>atraktivitetit t</w:t>
      </w:r>
      <w:r w:rsidR="00DB4DF5" w:rsidRPr="00641640">
        <w:rPr>
          <w:rFonts w:ascii="Times New Roman" w:hAnsi="Times New Roman" w:cs="Times New Roman"/>
          <w:noProof/>
          <w:sz w:val="24"/>
          <w:szCs w:val="24"/>
          <w:lang w:val="sq-AL"/>
        </w:rPr>
        <w:t>ë</w:t>
      </w:r>
      <w:r w:rsidR="00F03E28" w:rsidRPr="00641640">
        <w:rPr>
          <w:rFonts w:ascii="Times New Roman" w:hAnsi="Times New Roman" w:cs="Times New Roman"/>
          <w:noProof/>
          <w:sz w:val="24"/>
          <w:szCs w:val="24"/>
          <w:lang w:val="sq-AL"/>
        </w:rPr>
        <w:t xml:space="preserve"> sektorit publik s</w:t>
      </w:r>
      <w:r w:rsidR="00E63A0E" w:rsidRPr="00641640">
        <w:rPr>
          <w:rFonts w:ascii="Times New Roman" w:hAnsi="Times New Roman" w:cs="Times New Roman"/>
          <w:noProof/>
          <w:sz w:val="24"/>
          <w:szCs w:val="24"/>
          <w:lang w:val="sq-AL"/>
        </w:rPr>
        <w:t>i pun</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dh</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n</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s konkurrues n</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 xml:space="preserve"> treg, duke sh</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nuar nj</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 xml:space="preserve"> rritje t</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 xml:space="preserve"> n</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pun</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sve t</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 xml:space="preserve"> k</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naqur me pag</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n e tyre nga 13% n</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 xml:space="preserve"> vitin 2022 n</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 xml:space="preserve"> 47% deri n</w:t>
      </w:r>
      <w:r w:rsidR="00DB4DF5" w:rsidRPr="00641640">
        <w:rPr>
          <w:rFonts w:ascii="Times New Roman" w:hAnsi="Times New Roman" w:cs="Times New Roman"/>
          <w:noProof/>
          <w:sz w:val="24"/>
          <w:szCs w:val="24"/>
          <w:lang w:val="sq-AL"/>
        </w:rPr>
        <w:t>ë</w:t>
      </w:r>
      <w:r w:rsidR="00E63A0E" w:rsidRPr="00641640">
        <w:rPr>
          <w:rFonts w:ascii="Times New Roman" w:hAnsi="Times New Roman" w:cs="Times New Roman"/>
          <w:noProof/>
          <w:sz w:val="24"/>
          <w:szCs w:val="24"/>
          <w:lang w:val="sq-AL"/>
        </w:rPr>
        <w:t xml:space="preserve"> prill 2024.</w:t>
      </w:r>
      <w:r w:rsidR="00F03E28" w:rsidRPr="00641640">
        <w:rPr>
          <w:rStyle w:val="FootnoteReference"/>
          <w:rFonts w:ascii="Times New Roman" w:hAnsi="Times New Roman" w:cs="Times New Roman"/>
          <w:noProof/>
          <w:sz w:val="24"/>
          <w:szCs w:val="24"/>
          <w:lang w:val="sq-AL"/>
        </w:rPr>
        <w:footnoteReference w:id="42"/>
      </w:r>
      <w:r w:rsidR="00F03E28" w:rsidRPr="00641640">
        <w:rPr>
          <w:rFonts w:ascii="Times New Roman" w:hAnsi="Times New Roman" w:cs="Times New Roman"/>
          <w:noProof/>
          <w:sz w:val="24"/>
          <w:szCs w:val="24"/>
          <w:lang w:val="sq-AL"/>
        </w:rPr>
        <w:t xml:space="preserve">  </w:t>
      </w:r>
    </w:p>
    <w:p w14:paraId="1248BEE6" w14:textId="768E8F9F" w:rsidR="00D350BB" w:rsidRPr="00641640" w:rsidRDefault="00D350BB" w:rsidP="003A395D">
      <w:pPr>
        <w:pStyle w:val="NormalWeb"/>
        <w:spacing w:line="276" w:lineRule="auto"/>
        <w:jc w:val="both"/>
        <w:rPr>
          <w:noProof/>
          <w:lang w:val="sq-AL"/>
        </w:rPr>
      </w:pPr>
      <w:r w:rsidRPr="00641640">
        <w:rPr>
          <w:noProof/>
          <w:lang w:val="sq-AL"/>
        </w:rPr>
        <w:t>Nj</w:t>
      </w:r>
      <w:r w:rsidR="00DB4DF5" w:rsidRPr="00641640">
        <w:rPr>
          <w:noProof/>
          <w:lang w:val="sq-AL"/>
        </w:rPr>
        <w:t>ë</w:t>
      </w:r>
      <w:r w:rsidRPr="00641640">
        <w:rPr>
          <w:noProof/>
          <w:lang w:val="sq-AL"/>
        </w:rPr>
        <w:t xml:space="preserve"> tjet</w:t>
      </w:r>
      <w:r w:rsidR="00DB4DF5" w:rsidRPr="00641640">
        <w:rPr>
          <w:noProof/>
          <w:lang w:val="sq-AL"/>
        </w:rPr>
        <w:t>ë</w:t>
      </w:r>
      <w:r w:rsidRPr="00641640">
        <w:rPr>
          <w:noProof/>
          <w:lang w:val="sq-AL"/>
        </w:rPr>
        <w:t>r zhvillim i r</w:t>
      </w:r>
      <w:r w:rsidR="00DB4DF5" w:rsidRPr="00641640">
        <w:rPr>
          <w:noProof/>
          <w:lang w:val="sq-AL"/>
        </w:rPr>
        <w:t>ë</w:t>
      </w:r>
      <w:r w:rsidRPr="00641640">
        <w:rPr>
          <w:noProof/>
          <w:lang w:val="sq-AL"/>
        </w:rPr>
        <w:t>nd</w:t>
      </w:r>
      <w:r w:rsidR="00DB4DF5" w:rsidRPr="00641640">
        <w:rPr>
          <w:noProof/>
          <w:lang w:val="sq-AL"/>
        </w:rPr>
        <w:t>ë</w:t>
      </w:r>
      <w:r w:rsidRPr="00641640">
        <w:rPr>
          <w:noProof/>
          <w:lang w:val="sq-AL"/>
        </w:rPr>
        <w:t>sish</w:t>
      </w:r>
      <w:r w:rsidR="00DB4DF5" w:rsidRPr="00641640">
        <w:rPr>
          <w:noProof/>
          <w:lang w:val="sq-AL"/>
        </w:rPr>
        <w:t>ë</w:t>
      </w:r>
      <w:r w:rsidRPr="00641640">
        <w:rPr>
          <w:noProof/>
          <w:lang w:val="sq-AL"/>
        </w:rPr>
        <w:t>m ishte edhe organizimi p</w:t>
      </w:r>
      <w:r w:rsidR="00DB4DF5" w:rsidRPr="00641640">
        <w:rPr>
          <w:noProof/>
          <w:lang w:val="sq-AL"/>
        </w:rPr>
        <w:t>ë</w:t>
      </w:r>
      <w:r w:rsidRPr="00641640">
        <w:rPr>
          <w:noProof/>
          <w:lang w:val="sq-AL"/>
        </w:rPr>
        <w:t>r her</w:t>
      </w:r>
      <w:r w:rsidR="00DB4DF5" w:rsidRPr="00641640">
        <w:rPr>
          <w:noProof/>
          <w:lang w:val="sq-AL"/>
        </w:rPr>
        <w:t>ë</w:t>
      </w:r>
      <w:r w:rsidRPr="00641640">
        <w:rPr>
          <w:noProof/>
          <w:lang w:val="sq-AL"/>
        </w:rPr>
        <w:t xml:space="preserve"> t</w:t>
      </w:r>
      <w:r w:rsidR="00DB4DF5" w:rsidRPr="00641640">
        <w:rPr>
          <w:noProof/>
          <w:lang w:val="sq-AL"/>
        </w:rPr>
        <w:t>ë</w:t>
      </w:r>
      <w:r w:rsidRPr="00641640">
        <w:rPr>
          <w:noProof/>
          <w:lang w:val="sq-AL"/>
        </w:rPr>
        <w:t xml:space="preserve"> par</w:t>
      </w:r>
      <w:r w:rsidR="00DB4DF5" w:rsidRPr="00641640">
        <w:rPr>
          <w:noProof/>
          <w:lang w:val="sq-AL"/>
        </w:rPr>
        <w:t>ë</w:t>
      </w:r>
      <w:r w:rsidRPr="00641640">
        <w:rPr>
          <w:noProof/>
          <w:lang w:val="sq-AL"/>
        </w:rPr>
        <w:t xml:space="preserve"> nga Qeveria Shqiptare i </w:t>
      </w:r>
      <w:r w:rsidRPr="00641640">
        <w:rPr>
          <w:i/>
          <w:noProof/>
          <w:lang w:val="sq-AL"/>
        </w:rPr>
        <w:t>“Javës s</w:t>
      </w:r>
      <w:r w:rsidR="00DB4DF5" w:rsidRPr="00641640">
        <w:rPr>
          <w:i/>
          <w:noProof/>
          <w:lang w:val="sq-AL"/>
        </w:rPr>
        <w:t>ë</w:t>
      </w:r>
      <w:r w:rsidRPr="00641640">
        <w:rPr>
          <w:i/>
          <w:noProof/>
          <w:lang w:val="sq-AL"/>
        </w:rPr>
        <w:t xml:space="preserve"> Administratës Publike”</w:t>
      </w:r>
      <w:r w:rsidRPr="00641640">
        <w:rPr>
          <w:noProof/>
          <w:lang w:val="sq-AL"/>
        </w:rPr>
        <w:t xml:space="preserve"> nga 27 deri më 31 maj 2024, me temën </w:t>
      </w:r>
      <w:r w:rsidRPr="00641640">
        <w:rPr>
          <w:i/>
          <w:noProof/>
          <w:lang w:val="sq-AL"/>
        </w:rPr>
        <w:t>“Modernizimi në Veprim”,</w:t>
      </w:r>
      <w:r w:rsidRPr="00641640">
        <w:rPr>
          <w:noProof/>
          <w:lang w:val="sq-AL"/>
        </w:rPr>
        <w:t xml:space="preserve"> duke shënuar një moment të rëndësishëm në njohjen dhe festimin e shërbimit publik. Gjatë javës u zhvilluan një sërë ngjarjesh, si Panairi i Administratës Publike, </w:t>
      </w:r>
      <w:r w:rsidR="00A81691" w:rsidRPr="00641640">
        <w:rPr>
          <w:noProof/>
          <w:lang w:val="sq-AL"/>
        </w:rPr>
        <w:t>Forumi i Inovacionit n</w:t>
      </w:r>
      <w:r w:rsidR="000151AE" w:rsidRPr="00641640">
        <w:rPr>
          <w:noProof/>
          <w:lang w:val="sq-AL"/>
        </w:rPr>
        <w:t>ë</w:t>
      </w:r>
      <w:r w:rsidR="00A81691" w:rsidRPr="00641640">
        <w:rPr>
          <w:noProof/>
          <w:lang w:val="sq-AL"/>
        </w:rPr>
        <w:t xml:space="preserve"> Administrat</w:t>
      </w:r>
      <w:r w:rsidR="000151AE" w:rsidRPr="00641640">
        <w:rPr>
          <w:noProof/>
          <w:lang w:val="sq-AL"/>
        </w:rPr>
        <w:t>ë</w:t>
      </w:r>
      <w:r w:rsidR="00A81691" w:rsidRPr="00641640">
        <w:rPr>
          <w:noProof/>
          <w:lang w:val="sq-AL"/>
        </w:rPr>
        <w:t>n Publike, Forumi i Strukturave t</w:t>
      </w:r>
      <w:r w:rsidR="000151AE" w:rsidRPr="00641640">
        <w:rPr>
          <w:noProof/>
          <w:lang w:val="sq-AL"/>
        </w:rPr>
        <w:t>ë</w:t>
      </w:r>
      <w:r w:rsidR="00A81691" w:rsidRPr="00641640">
        <w:rPr>
          <w:noProof/>
          <w:lang w:val="sq-AL"/>
        </w:rPr>
        <w:t xml:space="preserve"> Burimeve Njer</w:t>
      </w:r>
      <w:r w:rsidR="000151AE" w:rsidRPr="00641640">
        <w:rPr>
          <w:noProof/>
          <w:lang w:val="sq-AL"/>
        </w:rPr>
        <w:t>ë</w:t>
      </w:r>
      <w:r w:rsidR="00A81691" w:rsidRPr="00641640">
        <w:rPr>
          <w:noProof/>
          <w:lang w:val="sq-AL"/>
        </w:rPr>
        <w:t>zore n</w:t>
      </w:r>
      <w:r w:rsidR="000151AE" w:rsidRPr="00641640">
        <w:rPr>
          <w:noProof/>
          <w:lang w:val="sq-AL"/>
        </w:rPr>
        <w:t>ë</w:t>
      </w:r>
      <w:r w:rsidR="00A81691" w:rsidRPr="00641640">
        <w:rPr>
          <w:noProof/>
          <w:lang w:val="sq-AL"/>
        </w:rPr>
        <w:t xml:space="preserve"> Ministri, </w:t>
      </w:r>
      <w:r w:rsidRPr="00641640">
        <w:rPr>
          <w:noProof/>
          <w:lang w:val="sq-AL"/>
        </w:rPr>
        <w:t xml:space="preserve">Turneu i Volejbollit, dhe iniciativa </w:t>
      </w:r>
      <w:r w:rsidRPr="00641640">
        <w:rPr>
          <w:i/>
          <w:noProof/>
          <w:lang w:val="sq-AL"/>
        </w:rPr>
        <w:t>“Sill Fëmijën në Punë!”</w:t>
      </w:r>
      <w:r w:rsidR="00B93ABC" w:rsidRPr="00641640">
        <w:rPr>
          <w:i/>
          <w:noProof/>
          <w:lang w:val="sq-AL"/>
        </w:rPr>
        <w:t xml:space="preserve"> </w:t>
      </w:r>
      <w:r w:rsidR="00A81691" w:rsidRPr="00641640">
        <w:rPr>
          <w:noProof/>
          <w:lang w:val="sq-AL"/>
        </w:rPr>
        <w:t>dhe p</w:t>
      </w:r>
      <w:r w:rsidR="000151AE" w:rsidRPr="00641640">
        <w:rPr>
          <w:noProof/>
          <w:lang w:val="sq-AL"/>
        </w:rPr>
        <w:t>ë</w:t>
      </w:r>
      <w:r w:rsidR="00A81691" w:rsidRPr="00641640">
        <w:rPr>
          <w:noProof/>
          <w:lang w:val="sq-AL"/>
        </w:rPr>
        <w:t>rzgjedhja nga vet</w:t>
      </w:r>
      <w:r w:rsidR="000151AE" w:rsidRPr="00641640">
        <w:rPr>
          <w:noProof/>
          <w:lang w:val="sq-AL"/>
        </w:rPr>
        <w:t>ë</w:t>
      </w:r>
      <w:r w:rsidR="00A81691" w:rsidRPr="00641640">
        <w:rPr>
          <w:noProof/>
          <w:lang w:val="sq-AL"/>
        </w:rPr>
        <w:t xml:space="preserve"> punonj</w:t>
      </w:r>
      <w:r w:rsidR="000151AE" w:rsidRPr="00641640">
        <w:rPr>
          <w:noProof/>
          <w:lang w:val="sq-AL"/>
        </w:rPr>
        <w:t>ë</w:t>
      </w:r>
      <w:r w:rsidR="00A81691" w:rsidRPr="00641640">
        <w:rPr>
          <w:noProof/>
          <w:lang w:val="sq-AL"/>
        </w:rPr>
        <w:t>sit e adminsitrat</w:t>
      </w:r>
      <w:r w:rsidR="000151AE" w:rsidRPr="00641640">
        <w:rPr>
          <w:noProof/>
          <w:lang w:val="sq-AL"/>
        </w:rPr>
        <w:t>ë</w:t>
      </w:r>
      <w:r w:rsidR="00A81691" w:rsidRPr="00641640">
        <w:rPr>
          <w:noProof/>
          <w:lang w:val="sq-AL"/>
        </w:rPr>
        <w:t>s publike t</w:t>
      </w:r>
      <w:r w:rsidR="000151AE" w:rsidRPr="00641640">
        <w:rPr>
          <w:noProof/>
          <w:lang w:val="sq-AL"/>
        </w:rPr>
        <w:t>ë</w:t>
      </w:r>
      <w:r w:rsidR="00A81691" w:rsidRPr="00641640">
        <w:rPr>
          <w:noProof/>
          <w:lang w:val="sq-AL"/>
        </w:rPr>
        <w:t xml:space="preserve"> punonj</w:t>
      </w:r>
      <w:r w:rsidR="000151AE" w:rsidRPr="00641640">
        <w:rPr>
          <w:noProof/>
          <w:lang w:val="sq-AL"/>
        </w:rPr>
        <w:t>ë</w:t>
      </w:r>
      <w:r w:rsidR="00A81691" w:rsidRPr="00641640">
        <w:rPr>
          <w:noProof/>
          <w:lang w:val="sq-AL"/>
        </w:rPr>
        <w:t>sit m</w:t>
      </w:r>
      <w:r w:rsidR="000151AE" w:rsidRPr="00641640">
        <w:rPr>
          <w:noProof/>
          <w:lang w:val="sq-AL"/>
        </w:rPr>
        <w:t>ë</w:t>
      </w:r>
      <w:r w:rsidR="00A81691" w:rsidRPr="00641640">
        <w:rPr>
          <w:noProof/>
          <w:lang w:val="sq-AL"/>
        </w:rPr>
        <w:t xml:space="preserve"> t</w:t>
      </w:r>
      <w:r w:rsidR="000151AE" w:rsidRPr="00641640">
        <w:rPr>
          <w:noProof/>
          <w:lang w:val="sq-AL"/>
        </w:rPr>
        <w:t>ë</w:t>
      </w:r>
      <w:r w:rsidR="00A81691" w:rsidRPr="00641640">
        <w:rPr>
          <w:noProof/>
          <w:lang w:val="sq-AL"/>
        </w:rPr>
        <w:t xml:space="preserve"> mir</w:t>
      </w:r>
      <w:r w:rsidR="000151AE" w:rsidRPr="00641640">
        <w:rPr>
          <w:noProof/>
          <w:lang w:val="sq-AL"/>
        </w:rPr>
        <w:t>ë</w:t>
      </w:r>
      <w:r w:rsidR="00A81691" w:rsidRPr="00641640">
        <w:rPr>
          <w:noProof/>
          <w:lang w:val="sq-AL"/>
        </w:rPr>
        <w:t xml:space="preserve"> n</w:t>
      </w:r>
      <w:r w:rsidR="000151AE" w:rsidRPr="00641640">
        <w:rPr>
          <w:noProof/>
          <w:lang w:val="sq-AL"/>
        </w:rPr>
        <w:t>ë</w:t>
      </w:r>
      <w:r w:rsidR="00A81691" w:rsidRPr="00641640">
        <w:rPr>
          <w:noProof/>
          <w:lang w:val="sq-AL"/>
        </w:rPr>
        <w:t xml:space="preserve"> çdo ministri</w:t>
      </w:r>
      <w:r w:rsidRPr="00641640">
        <w:rPr>
          <w:noProof/>
          <w:lang w:val="sq-AL"/>
        </w:rPr>
        <w:t>. Aktivitetet synuan promovimin e kapitalit njerëzor, rritjen e aksesit t</w:t>
      </w:r>
      <w:r w:rsidR="00DB4DF5" w:rsidRPr="00641640">
        <w:rPr>
          <w:noProof/>
          <w:lang w:val="sq-AL"/>
        </w:rPr>
        <w:t>ë</w:t>
      </w:r>
      <w:r w:rsidR="00162214" w:rsidRPr="00641640">
        <w:rPr>
          <w:noProof/>
          <w:lang w:val="sq-AL"/>
        </w:rPr>
        <w:t xml:space="preserve"> qytetar</w:t>
      </w:r>
      <w:r w:rsidR="00DB4DF5" w:rsidRPr="00641640">
        <w:rPr>
          <w:noProof/>
          <w:lang w:val="sq-AL"/>
        </w:rPr>
        <w:t>ë</w:t>
      </w:r>
      <w:r w:rsidR="00162214" w:rsidRPr="00641640">
        <w:rPr>
          <w:noProof/>
          <w:lang w:val="sq-AL"/>
        </w:rPr>
        <w:t>ve n</w:t>
      </w:r>
      <w:r w:rsidR="00DB4DF5" w:rsidRPr="00641640">
        <w:rPr>
          <w:noProof/>
          <w:lang w:val="sq-AL"/>
        </w:rPr>
        <w:t>ë</w:t>
      </w:r>
      <w:r w:rsidR="00162214" w:rsidRPr="00641640">
        <w:rPr>
          <w:noProof/>
          <w:lang w:val="sq-AL"/>
        </w:rPr>
        <w:t xml:space="preserve"> veprimtarin</w:t>
      </w:r>
      <w:r w:rsidR="00DB4DF5" w:rsidRPr="00641640">
        <w:rPr>
          <w:noProof/>
          <w:lang w:val="sq-AL"/>
        </w:rPr>
        <w:t>ë</w:t>
      </w:r>
      <w:r w:rsidR="00162214" w:rsidRPr="00641640">
        <w:rPr>
          <w:noProof/>
          <w:lang w:val="sq-AL"/>
        </w:rPr>
        <w:t xml:space="preserve"> e institucioneve</w:t>
      </w:r>
      <w:r w:rsidRPr="00641640">
        <w:rPr>
          <w:noProof/>
          <w:lang w:val="sq-AL"/>
        </w:rPr>
        <w:t xml:space="preserve">, </w:t>
      </w:r>
      <w:r w:rsidR="00162214" w:rsidRPr="00641640">
        <w:rPr>
          <w:noProof/>
          <w:lang w:val="sq-AL"/>
        </w:rPr>
        <w:t xml:space="preserve">si dhe </w:t>
      </w:r>
      <w:r w:rsidRPr="00641640">
        <w:rPr>
          <w:noProof/>
          <w:lang w:val="sq-AL"/>
        </w:rPr>
        <w:t>forcimin e frymës së ekipit në administratë.</w:t>
      </w:r>
    </w:p>
    <w:p w14:paraId="3248465D" w14:textId="46F5206C" w:rsidR="00861BCF" w:rsidRPr="00641640" w:rsidRDefault="00861BCF" w:rsidP="003A395D">
      <w:pPr>
        <w:pStyle w:val="NormalWeb"/>
        <w:spacing w:line="276" w:lineRule="auto"/>
        <w:jc w:val="both"/>
        <w:rPr>
          <w:noProof/>
          <w:lang w:val="sq-AL"/>
        </w:rPr>
      </w:pPr>
      <w:r w:rsidRPr="00641640">
        <w:rPr>
          <w:noProof/>
          <w:lang w:val="sq-AL"/>
        </w:rPr>
        <w:t xml:space="preserve">Krahas </w:t>
      </w:r>
      <w:r w:rsidR="00162214" w:rsidRPr="00641640">
        <w:rPr>
          <w:noProof/>
          <w:lang w:val="sq-AL"/>
        </w:rPr>
        <w:t>k</w:t>
      </w:r>
      <w:r w:rsidR="00DB4DF5" w:rsidRPr="00641640">
        <w:rPr>
          <w:noProof/>
          <w:lang w:val="sq-AL"/>
        </w:rPr>
        <w:t>ë</w:t>
      </w:r>
      <w:r w:rsidR="00162214" w:rsidRPr="00641640">
        <w:rPr>
          <w:noProof/>
          <w:lang w:val="sq-AL"/>
        </w:rPr>
        <w:t>tyre zhvillimeve,</w:t>
      </w:r>
      <w:r w:rsidRPr="00641640">
        <w:rPr>
          <w:noProof/>
          <w:lang w:val="sq-AL"/>
        </w:rPr>
        <w:t xml:space="preserve"> Qeveria Shqiptare ka ndërmarrë hapa të rëndësishëm për të forcuar koordinimin, punën në ekip dhe motivimin e stafit. Në maj 2024, Ministri i Shtetit për Administratën Publike dhe Anti-Korrupsion prezantoi një </w:t>
      </w:r>
      <w:r w:rsidRPr="00641640">
        <w:rPr>
          <w:i/>
          <w:noProof/>
          <w:lang w:val="sq-AL"/>
        </w:rPr>
        <w:t>“Paketë Motivimi”,</w:t>
      </w:r>
      <w:r w:rsidRPr="00641640">
        <w:rPr>
          <w:noProof/>
          <w:lang w:val="sq-AL"/>
        </w:rPr>
        <w:t xml:space="preserve"> e ideuar për të rritur motivimin e punonjësve dhe për të përmirësuar kulturën organizative në administratën publike. Paketa u zhvillua me Asistenc</w:t>
      </w:r>
      <w:r w:rsidR="00DB4DF5" w:rsidRPr="00641640">
        <w:rPr>
          <w:noProof/>
          <w:lang w:val="sq-AL"/>
        </w:rPr>
        <w:t>ë</w:t>
      </w:r>
      <w:r w:rsidRPr="00641640">
        <w:rPr>
          <w:noProof/>
          <w:lang w:val="sq-AL"/>
        </w:rPr>
        <w:t>n Teknike t</w:t>
      </w:r>
      <w:r w:rsidR="00DB4DF5" w:rsidRPr="00641640">
        <w:rPr>
          <w:noProof/>
          <w:lang w:val="sq-AL"/>
        </w:rPr>
        <w:t>ë</w:t>
      </w:r>
      <w:r w:rsidRPr="00641640">
        <w:rPr>
          <w:noProof/>
          <w:lang w:val="sq-AL"/>
        </w:rPr>
        <w:t xml:space="preserve"> Projektit </w:t>
      </w:r>
      <w:r w:rsidRPr="00641640">
        <w:rPr>
          <w:i/>
          <w:noProof/>
          <w:lang w:val="sq-AL"/>
        </w:rPr>
        <w:t xml:space="preserve">“BE për </w:t>
      </w:r>
      <w:r w:rsidR="00B93ABC" w:rsidRPr="00641640">
        <w:rPr>
          <w:i/>
          <w:noProof/>
          <w:lang w:val="sq-AL"/>
        </w:rPr>
        <w:t>Mirëq</w:t>
      </w:r>
      <w:r w:rsidRPr="00641640">
        <w:rPr>
          <w:i/>
          <w:noProof/>
          <w:lang w:val="sq-AL"/>
        </w:rPr>
        <w:t>everisjen”,</w:t>
      </w:r>
      <w:r w:rsidRPr="00641640">
        <w:rPr>
          <w:noProof/>
          <w:lang w:val="sq-AL"/>
        </w:rPr>
        <w:t xml:space="preserve"> bazuar në </w:t>
      </w:r>
      <w:r w:rsidRPr="00641640">
        <w:rPr>
          <w:noProof/>
          <w:lang w:val="sq-AL"/>
        </w:rPr>
        <w:lastRenderedPageBreak/>
        <w:t>praktikat më të mira evropiane për ekselencën e administratës publike dhe duke u përshtatur posaçërisht për aplikim n</w:t>
      </w:r>
      <w:r w:rsidR="00DB4DF5" w:rsidRPr="00641640">
        <w:rPr>
          <w:noProof/>
          <w:lang w:val="sq-AL"/>
        </w:rPr>
        <w:t>ë</w:t>
      </w:r>
      <w:r w:rsidRPr="00641640">
        <w:rPr>
          <w:noProof/>
          <w:lang w:val="sq-AL"/>
        </w:rPr>
        <w:t xml:space="preserve"> mjedisin e administratës publike shqiptare.</w:t>
      </w:r>
      <w:r w:rsidR="008F1261" w:rsidRPr="00641640">
        <w:rPr>
          <w:noProof/>
          <w:lang w:val="sq-AL"/>
        </w:rPr>
        <w:t xml:space="preserve"> </w:t>
      </w:r>
      <w:r w:rsidRPr="00641640">
        <w:rPr>
          <w:noProof/>
          <w:lang w:val="sq-AL"/>
        </w:rPr>
        <w:t>Paketa përbëhet nga katër shtylla kryesore: (i) përshtatja me sfidat bashkëkohore dhe mirëqenia; (ii) akses në shërbime dhe aktivitete; (iii) fryma e ekipit dhe konkurrenca e shëndetshme në punë; dhe (iv) motivimi financiar.</w:t>
      </w:r>
      <w:r w:rsidR="008F1261" w:rsidRPr="00641640">
        <w:rPr>
          <w:rStyle w:val="FootnoteReference"/>
          <w:noProof/>
          <w:lang w:val="sq-AL"/>
        </w:rPr>
        <w:footnoteReference w:id="43"/>
      </w:r>
    </w:p>
    <w:p w14:paraId="63820DAF" w14:textId="52BF01CF" w:rsidR="00861BCF" w:rsidRPr="00641640" w:rsidRDefault="008F1261" w:rsidP="003A395D">
      <w:pPr>
        <w:pStyle w:val="NormalWeb"/>
        <w:spacing w:line="276" w:lineRule="auto"/>
        <w:jc w:val="both"/>
        <w:rPr>
          <w:noProof/>
          <w:lang w:val="sq-AL"/>
        </w:rPr>
      </w:pPr>
      <w:r w:rsidRPr="00641640">
        <w:rPr>
          <w:noProof/>
          <w:lang w:val="sq-AL"/>
        </w:rPr>
        <w:t>Nga lançimi i Paket</w:t>
      </w:r>
      <w:r w:rsidR="00DB4DF5" w:rsidRPr="00641640">
        <w:rPr>
          <w:noProof/>
          <w:lang w:val="sq-AL"/>
        </w:rPr>
        <w:t>ë</w:t>
      </w:r>
      <w:r w:rsidRPr="00641640">
        <w:rPr>
          <w:noProof/>
          <w:lang w:val="sq-AL"/>
        </w:rPr>
        <w:t>s deri n</w:t>
      </w:r>
      <w:r w:rsidR="00DB4DF5" w:rsidRPr="00641640">
        <w:rPr>
          <w:noProof/>
          <w:lang w:val="sq-AL"/>
        </w:rPr>
        <w:t>ë</w:t>
      </w:r>
      <w:r w:rsidRPr="00641640">
        <w:rPr>
          <w:noProof/>
          <w:lang w:val="sq-AL"/>
        </w:rPr>
        <w:t xml:space="preserve"> tetor 2024 </w:t>
      </w:r>
      <w:r w:rsidR="00DB4DF5" w:rsidRPr="00641640">
        <w:rPr>
          <w:noProof/>
          <w:lang w:val="sq-AL"/>
        </w:rPr>
        <w:t>ë</w:t>
      </w:r>
      <w:r w:rsidRPr="00641640">
        <w:rPr>
          <w:noProof/>
          <w:lang w:val="sq-AL"/>
        </w:rPr>
        <w:t>sht</w:t>
      </w:r>
      <w:r w:rsidR="00DB4DF5" w:rsidRPr="00641640">
        <w:rPr>
          <w:noProof/>
          <w:lang w:val="sq-AL"/>
        </w:rPr>
        <w:t>ë</w:t>
      </w:r>
      <w:r w:rsidRPr="00641640">
        <w:rPr>
          <w:noProof/>
          <w:lang w:val="sq-AL"/>
        </w:rPr>
        <w:t xml:space="preserve"> zbatuar shtylla e parë e Paketës, p</w:t>
      </w:r>
      <w:r w:rsidR="00DB4DF5" w:rsidRPr="00641640">
        <w:rPr>
          <w:noProof/>
          <w:lang w:val="sq-AL"/>
        </w:rPr>
        <w:t>ë</w:t>
      </w:r>
      <w:r w:rsidRPr="00641640">
        <w:rPr>
          <w:noProof/>
          <w:lang w:val="sq-AL"/>
        </w:rPr>
        <w:t xml:space="preserve">rmes dy ndryshimeve kryesore </w:t>
      </w:r>
      <w:r w:rsidR="005649B3" w:rsidRPr="00641640">
        <w:rPr>
          <w:noProof/>
          <w:lang w:val="sq-AL"/>
        </w:rPr>
        <w:t>n</w:t>
      </w:r>
      <w:r w:rsidR="00DB4DF5" w:rsidRPr="00641640">
        <w:rPr>
          <w:noProof/>
          <w:lang w:val="sq-AL"/>
        </w:rPr>
        <w:t>ë</w:t>
      </w:r>
      <w:r w:rsidR="005649B3" w:rsidRPr="00641640">
        <w:rPr>
          <w:noProof/>
          <w:lang w:val="sq-AL"/>
        </w:rPr>
        <w:t xml:space="preserve"> k</w:t>
      </w:r>
      <w:r w:rsidR="00402BCA" w:rsidRPr="00641640">
        <w:rPr>
          <w:noProof/>
          <w:lang w:val="sq-AL"/>
        </w:rPr>
        <w:t>ornizën</w:t>
      </w:r>
      <w:r w:rsidR="005649B3" w:rsidRPr="00641640">
        <w:rPr>
          <w:noProof/>
          <w:lang w:val="sq-AL"/>
        </w:rPr>
        <w:t xml:space="preserve"> </w:t>
      </w:r>
      <w:r w:rsidRPr="00641640">
        <w:rPr>
          <w:noProof/>
          <w:lang w:val="sq-AL"/>
        </w:rPr>
        <w:t>ligjor</w:t>
      </w:r>
      <w:r w:rsidR="00402BCA" w:rsidRPr="00641640">
        <w:rPr>
          <w:noProof/>
          <w:lang w:val="sq-AL"/>
        </w:rPr>
        <w:t>e</w:t>
      </w:r>
      <w:r w:rsidRPr="00641640">
        <w:rPr>
          <w:noProof/>
          <w:lang w:val="sq-AL"/>
        </w:rPr>
        <w:t xml:space="preserve"> dhe rregul</w:t>
      </w:r>
      <w:r w:rsidR="005649B3" w:rsidRPr="00641640">
        <w:rPr>
          <w:noProof/>
          <w:lang w:val="sq-AL"/>
        </w:rPr>
        <w:t>lator</w:t>
      </w:r>
      <w:r w:rsidR="00402BCA" w:rsidRPr="00641640">
        <w:rPr>
          <w:noProof/>
          <w:lang w:val="sq-AL"/>
        </w:rPr>
        <w:t>e</w:t>
      </w:r>
      <w:r w:rsidRPr="00641640">
        <w:rPr>
          <w:noProof/>
          <w:lang w:val="sq-AL"/>
        </w:rPr>
        <w:t>:</w:t>
      </w:r>
    </w:p>
    <w:p w14:paraId="0F53EB10" w14:textId="781F186E" w:rsidR="00861BCF" w:rsidRPr="00641640" w:rsidRDefault="00DB4DF5" w:rsidP="003A395D">
      <w:pPr>
        <w:pStyle w:val="NormalWeb"/>
        <w:numPr>
          <w:ilvl w:val="0"/>
          <w:numId w:val="10"/>
        </w:numPr>
        <w:spacing w:line="276" w:lineRule="auto"/>
        <w:jc w:val="both"/>
        <w:rPr>
          <w:noProof/>
          <w:lang w:val="sq-AL"/>
        </w:rPr>
      </w:pPr>
      <w:r w:rsidRPr="00641640">
        <w:rPr>
          <w:rStyle w:val="Strong"/>
          <w:rFonts w:eastAsiaTheme="majorEastAsia"/>
          <w:b w:val="0"/>
          <w:noProof/>
          <w:lang w:val="sq-AL"/>
        </w:rPr>
        <w:t>Ë</w:t>
      </w:r>
      <w:r w:rsidR="005649B3" w:rsidRPr="00641640">
        <w:rPr>
          <w:rStyle w:val="Strong"/>
          <w:rFonts w:eastAsiaTheme="majorEastAsia"/>
          <w:b w:val="0"/>
          <w:noProof/>
          <w:lang w:val="sq-AL"/>
        </w:rPr>
        <w:t>sht</w:t>
      </w:r>
      <w:r w:rsidRPr="00641640">
        <w:rPr>
          <w:rStyle w:val="Strong"/>
          <w:rFonts w:eastAsiaTheme="majorEastAsia"/>
          <w:b w:val="0"/>
          <w:noProof/>
          <w:lang w:val="sq-AL"/>
        </w:rPr>
        <w:t>ë</w:t>
      </w:r>
      <w:r w:rsidR="005649B3" w:rsidRPr="00641640">
        <w:rPr>
          <w:rStyle w:val="Strong"/>
          <w:rFonts w:eastAsiaTheme="majorEastAsia"/>
          <w:b w:val="0"/>
          <w:noProof/>
          <w:lang w:val="sq-AL"/>
        </w:rPr>
        <w:t xml:space="preserve"> tashm</w:t>
      </w:r>
      <w:r w:rsidRPr="00641640">
        <w:rPr>
          <w:rStyle w:val="Strong"/>
          <w:rFonts w:eastAsiaTheme="majorEastAsia"/>
          <w:b w:val="0"/>
          <w:noProof/>
          <w:lang w:val="sq-AL"/>
        </w:rPr>
        <w:t>ë</w:t>
      </w:r>
      <w:r w:rsidR="005649B3" w:rsidRPr="00641640">
        <w:rPr>
          <w:rStyle w:val="Strong"/>
          <w:rFonts w:eastAsiaTheme="majorEastAsia"/>
          <w:b w:val="0"/>
          <w:noProof/>
          <w:lang w:val="sq-AL"/>
        </w:rPr>
        <w:t xml:space="preserve"> n</w:t>
      </w:r>
      <w:r w:rsidRPr="00641640">
        <w:rPr>
          <w:rStyle w:val="Strong"/>
          <w:rFonts w:eastAsiaTheme="majorEastAsia"/>
          <w:b w:val="0"/>
          <w:noProof/>
          <w:lang w:val="sq-AL"/>
        </w:rPr>
        <w:t>ë</w:t>
      </w:r>
      <w:r w:rsidR="005649B3" w:rsidRPr="00641640">
        <w:rPr>
          <w:rStyle w:val="Strong"/>
          <w:rFonts w:eastAsiaTheme="majorEastAsia"/>
          <w:b w:val="0"/>
          <w:noProof/>
          <w:lang w:val="sq-AL"/>
        </w:rPr>
        <w:t xml:space="preserve"> fuqi </w:t>
      </w:r>
      <w:r w:rsidR="008F1261" w:rsidRPr="00641640">
        <w:rPr>
          <w:rStyle w:val="Strong"/>
          <w:rFonts w:eastAsiaTheme="majorEastAsia"/>
          <w:b w:val="0"/>
          <w:noProof/>
          <w:lang w:val="sq-AL"/>
        </w:rPr>
        <w:t>fleksibiliteti i</w:t>
      </w:r>
      <w:r w:rsidR="00861BCF" w:rsidRPr="00641640">
        <w:rPr>
          <w:rStyle w:val="Strong"/>
          <w:rFonts w:eastAsiaTheme="majorEastAsia"/>
          <w:b w:val="0"/>
          <w:noProof/>
          <w:lang w:val="sq-AL"/>
        </w:rPr>
        <w:t xml:space="preserve"> orarit të punës</w:t>
      </w:r>
      <w:r w:rsidR="008F1261" w:rsidRPr="00641640">
        <w:rPr>
          <w:rStyle w:val="Strong"/>
          <w:rFonts w:eastAsiaTheme="majorEastAsia"/>
          <w:b w:val="0"/>
          <w:noProof/>
          <w:lang w:val="sq-AL"/>
        </w:rPr>
        <w:t>, p</w:t>
      </w:r>
      <w:r w:rsidRPr="00641640">
        <w:rPr>
          <w:rStyle w:val="Strong"/>
          <w:rFonts w:eastAsiaTheme="majorEastAsia"/>
          <w:b w:val="0"/>
          <w:noProof/>
          <w:lang w:val="sq-AL"/>
        </w:rPr>
        <w:t>ë</w:t>
      </w:r>
      <w:r w:rsidR="008F1261" w:rsidRPr="00641640">
        <w:rPr>
          <w:rStyle w:val="Strong"/>
          <w:rFonts w:eastAsiaTheme="majorEastAsia"/>
          <w:b w:val="0"/>
          <w:noProof/>
          <w:lang w:val="sq-AL"/>
        </w:rPr>
        <w:t>rmes miratimit t</w:t>
      </w:r>
      <w:r w:rsidRPr="00641640">
        <w:rPr>
          <w:rStyle w:val="Strong"/>
          <w:rFonts w:eastAsiaTheme="majorEastAsia"/>
          <w:b w:val="0"/>
          <w:noProof/>
          <w:lang w:val="sq-AL"/>
        </w:rPr>
        <w:t>ë</w:t>
      </w:r>
      <w:r w:rsidR="008F1261" w:rsidRPr="00641640">
        <w:rPr>
          <w:rStyle w:val="Strong"/>
          <w:rFonts w:eastAsiaTheme="majorEastAsia"/>
          <w:b w:val="0"/>
          <w:noProof/>
          <w:lang w:val="sq-AL"/>
        </w:rPr>
        <w:t xml:space="preserve"> ndryshimeve </w:t>
      </w:r>
      <w:r w:rsidR="00861BCF" w:rsidRPr="00641640">
        <w:rPr>
          <w:noProof/>
          <w:lang w:val="sq-AL"/>
        </w:rPr>
        <w:t xml:space="preserve">në </w:t>
      </w:r>
      <w:r w:rsidR="00972152" w:rsidRPr="00641640">
        <w:rPr>
          <w:noProof/>
          <w:lang w:val="sq-AL"/>
        </w:rPr>
        <w:t>VKM-n</w:t>
      </w:r>
      <w:r w:rsidRPr="00641640">
        <w:rPr>
          <w:noProof/>
          <w:lang w:val="sq-AL"/>
        </w:rPr>
        <w:t>ë</w:t>
      </w:r>
      <w:r w:rsidR="00972152" w:rsidRPr="00641640">
        <w:rPr>
          <w:noProof/>
          <w:lang w:val="sq-AL"/>
        </w:rPr>
        <w:t xml:space="preserve"> rregullatore</w:t>
      </w:r>
      <w:r w:rsidR="00861BCF" w:rsidRPr="00641640">
        <w:rPr>
          <w:noProof/>
          <w:lang w:val="sq-AL"/>
        </w:rPr>
        <w:t xml:space="preserve"> për orarin e punës dhe periudhat e pushimit për administratën shtetërore, institucionet e pavarura dhe njësitë e vetëqeverisjes vendore.</w:t>
      </w:r>
      <w:r w:rsidR="00972152" w:rsidRPr="00641640">
        <w:rPr>
          <w:noProof/>
          <w:lang w:val="sq-AL"/>
        </w:rPr>
        <w:t xml:space="preserve"> Ndryshimet e miratuara </w:t>
      </w:r>
      <w:r w:rsidR="00861BCF" w:rsidRPr="00641640">
        <w:rPr>
          <w:noProof/>
          <w:lang w:val="sq-AL"/>
        </w:rPr>
        <w:t>synojnë të ofrojnë më shumë fleksibilitet në orarin e punës, duke përmirësuar balancën punë-jetë, veçanërisht për prindërit, duke u mundësuar atyre përshtatjen e orarit të punës me shërbimet sociale për fëmijët (çerdhe/shkollë), ndërkohë që ruhet produktiviteti brenda institucioneve publike.</w:t>
      </w:r>
      <w:r w:rsidR="008F1261" w:rsidRPr="00641640">
        <w:rPr>
          <w:rStyle w:val="FootnoteReference"/>
          <w:noProof/>
          <w:lang w:val="sq-AL"/>
        </w:rPr>
        <w:footnoteReference w:id="44"/>
      </w:r>
    </w:p>
    <w:p w14:paraId="6730DF24" w14:textId="1975F292" w:rsidR="004D618C" w:rsidRPr="00641640" w:rsidRDefault="00DB4DF5" w:rsidP="003A395D">
      <w:pPr>
        <w:pStyle w:val="NormalWeb"/>
        <w:numPr>
          <w:ilvl w:val="0"/>
          <w:numId w:val="10"/>
        </w:numPr>
        <w:spacing w:line="276" w:lineRule="auto"/>
        <w:jc w:val="both"/>
        <w:rPr>
          <w:noProof/>
          <w:lang w:val="sq-AL"/>
        </w:rPr>
      </w:pPr>
      <w:r w:rsidRPr="00641640">
        <w:rPr>
          <w:rStyle w:val="Strong"/>
          <w:rFonts w:eastAsiaTheme="majorEastAsia"/>
          <w:b w:val="0"/>
          <w:noProof/>
          <w:lang w:val="sq-AL"/>
        </w:rPr>
        <w:t>Ë</w:t>
      </w:r>
      <w:r w:rsidR="004D618C" w:rsidRPr="00641640">
        <w:rPr>
          <w:rStyle w:val="Strong"/>
          <w:rFonts w:eastAsiaTheme="majorEastAsia"/>
          <w:b w:val="0"/>
          <w:noProof/>
          <w:lang w:val="sq-AL"/>
        </w:rPr>
        <w:t>sht</w:t>
      </w:r>
      <w:r w:rsidRPr="00641640">
        <w:rPr>
          <w:rStyle w:val="Strong"/>
          <w:rFonts w:eastAsiaTheme="majorEastAsia"/>
          <w:b w:val="0"/>
          <w:noProof/>
          <w:lang w:val="sq-AL"/>
        </w:rPr>
        <w:t>ë</w:t>
      </w:r>
      <w:r w:rsidR="004D618C" w:rsidRPr="00641640">
        <w:rPr>
          <w:rStyle w:val="Strong"/>
          <w:rFonts w:eastAsiaTheme="majorEastAsia"/>
          <w:b w:val="0"/>
          <w:noProof/>
          <w:lang w:val="sq-AL"/>
        </w:rPr>
        <w:t xml:space="preserve"> shtuar fleksibiliteti mbi pushimet</w:t>
      </w:r>
      <w:r w:rsidR="00861BCF" w:rsidRPr="00641640">
        <w:rPr>
          <w:rStyle w:val="Strong"/>
          <w:rFonts w:eastAsiaTheme="majorEastAsia"/>
          <w:b w:val="0"/>
          <w:noProof/>
          <w:lang w:val="sq-AL"/>
        </w:rPr>
        <w:t xml:space="preserve"> vjetore</w:t>
      </w:r>
      <w:r w:rsidR="004D618C" w:rsidRPr="00641640">
        <w:rPr>
          <w:rStyle w:val="Strong"/>
          <w:rFonts w:eastAsiaTheme="majorEastAsia"/>
          <w:b w:val="0"/>
          <w:noProof/>
          <w:lang w:val="sq-AL"/>
        </w:rPr>
        <w:t>, p</w:t>
      </w:r>
      <w:r w:rsidRPr="00641640">
        <w:rPr>
          <w:rStyle w:val="Strong"/>
          <w:rFonts w:eastAsiaTheme="majorEastAsia"/>
          <w:b w:val="0"/>
          <w:noProof/>
          <w:lang w:val="sq-AL"/>
        </w:rPr>
        <w:t>ë</w:t>
      </w:r>
      <w:r w:rsidR="004D618C" w:rsidRPr="00641640">
        <w:rPr>
          <w:rStyle w:val="Strong"/>
          <w:rFonts w:eastAsiaTheme="majorEastAsia"/>
          <w:b w:val="0"/>
          <w:noProof/>
          <w:lang w:val="sq-AL"/>
        </w:rPr>
        <w:t>rmes n</w:t>
      </w:r>
      <w:r w:rsidR="004D618C" w:rsidRPr="00641640">
        <w:rPr>
          <w:noProof/>
          <w:lang w:val="sq-AL"/>
        </w:rPr>
        <w:t>dryshimeve m</w:t>
      </w:r>
      <w:r w:rsidRPr="00641640">
        <w:rPr>
          <w:noProof/>
          <w:lang w:val="sq-AL"/>
        </w:rPr>
        <w:t>ë</w:t>
      </w:r>
      <w:r w:rsidR="004D618C" w:rsidRPr="00641640">
        <w:rPr>
          <w:noProof/>
          <w:lang w:val="sq-AL"/>
        </w:rPr>
        <w:t xml:space="preserve"> t</w:t>
      </w:r>
      <w:r w:rsidRPr="00641640">
        <w:rPr>
          <w:noProof/>
          <w:lang w:val="sq-AL"/>
        </w:rPr>
        <w:t>ë</w:t>
      </w:r>
      <w:r w:rsidR="004D618C" w:rsidRPr="00641640">
        <w:rPr>
          <w:noProof/>
          <w:lang w:val="sq-AL"/>
        </w:rPr>
        <w:t xml:space="preserve"> fundit </w:t>
      </w:r>
      <w:r w:rsidR="00861BCF" w:rsidRPr="00641640">
        <w:rPr>
          <w:noProof/>
          <w:lang w:val="sq-AL"/>
        </w:rPr>
        <w:t>të miratuara në Kodin e Punës</w:t>
      </w:r>
      <w:r w:rsidR="004D618C" w:rsidRPr="00641640">
        <w:rPr>
          <w:noProof/>
          <w:lang w:val="sq-AL"/>
        </w:rPr>
        <w:t>, t</w:t>
      </w:r>
      <w:r w:rsidRPr="00641640">
        <w:rPr>
          <w:noProof/>
          <w:lang w:val="sq-AL"/>
        </w:rPr>
        <w:t>ë</w:t>
      </w:r>
      <w:r w:rsidR="004D618C" w:rsidRPr="00641640">
        <w:rPr>
          <w:noProof/>
          <w:lang w:val="sq-AL"/>
        </w:rPr>
        <w:t xml:space="preserve"> cilat</w:t>
      </w:r>
      <w:r w:rsidR="00861BCF" w:rsidRPr="00641640">
        <w:rPr>
          <w:noProof/>
          <w:lang w:val="sq-AL"/>
        </w:rPr>
        <w:t xml:space="preserve"> kanë hequr kufizimin që ndalonte punonjësit e administratës publike të merrnin pushime vjetore më pak se një javë kalendarike. </w:t>
      </w:r>
      <w:r w:rsidR="004D618C" w:rsidRPr="00641640">
        <w:rPr>
          <w:noProof/>
          <w:lang w:val="sq-AL"/>
        </w:rPr>
        <w:t>Dispozitat n</w:t>
      </w:r>
      <w:r w:rsidRPr="00641640">
        <w:rPr>
          <w:noProof/>
          <w:lang w:val="sq-AL"/>
        </w:rPr>
        <w:t>ë</w:t>
      </w:r>
      <w:r w:rsidR="004D618C" w:rsidRPr="00641640">
        <w:rPr>
          <w:noProof/>
          <w:lang w:val="sq-AL"/>
        </w:rPr>
        <w:t xml:space="preserve"> fuqi tashm</w:t>
      </w:r>
      <w:r w:rsidRPr="00641640">
        <w:rPr>
          <w:noProof/>
          <w:lang w:val="sq-AL"/>
        </w:rPr>
        <w:t>ë</w:t>
      </w:r>
      <w:r w:rsidR="004D618C" w:rsidRPr="00641640">
        <w:rPr>
          <w:noProof/>
          <w:lang w:val="sq-AL"/>
        </w:rPr>
        <w:t xml:space="preserve"> përcaktojn</w:t>
      </w:r>
      <w:r w:rsidRPr="00641640">
        <w:rPr>
          <w:noProof/>
          <w:lang w:val="sq-AL"/>
        </w:rPr>
        <w:t>ë</w:t>
      </w:r>
      <w:r w:rsidR="00861BCF" w:rsidRPr="00641640">
        <w:rPr>
          <w:noProof/>
          <w:lang w:val="sq-AL"/>
        </w:rPr>
        <w:t xml:space="preserve"> qartë se pushimet vjetore janë 22 ditë pune, me 2 ditë shtesë të dhëna për të gjithë punonjësit.</w:t>
      </w:r>
      <w:r w:rsidR="004D618C" w:rsidRPr="00641640">
        <w:rPr>
          <w:rStyle w:val="FootnoteReference"/>
          <w:noProof/>
          <w:lang w:val="sq-AL"/>
        </w:rPr>
        <w:footnoteReference w:id="45"/>
      </w:r>
      <w:r w:rsidR="00861BCF" w:rsidRPr="00641640">
        <w:rPr>
          <w:noProof/>
          <w:lang w:val="sq-AL"/>
        </w:rPr>
        <w:t xml:space="preserve"> </w:t>
      </w:r>
    </w:p>
    <w:p w14:paraId="1C929F10" w14:textId="7095B99E" w:rsidR="00861BCF" w:rsidRPr="00641640" w:rsidRDefault="00874ACB" w:rsidP="003A395D">
      <w:pPr>
        <w:pStyle w:val="NormalWeb"/>
        <w:spacing w:line="276" w:lineRule="auto"/>
        <w:jc w:val="both"/>
        <w:rPr>
          <w:noProof/>
          <w:lang w:val="sq-AL"/>
        </w:rPr>
      </w:pPr>
      <w:r w:rsidRPr="00641640">
        <w:rPr>
          <w:noProof/>
          <w:lang w:val="sq-AL"/>
        </w:rPr>
        <w:t xml:space="preserve">Zbatimi i orarit fleksibël shihet si një hap i parë drejt aplikimit të punës hibride dhe në distancë, e aplikuar gjerësisht me sukses gjatë periudhës së pandemisë. Gjithashtu, zgjedhja dhe shpallja e punonjësve të vitit në institucione synohet të kthehet në një traditë dhe element motivues për stafin. </w:t>
      </w:r>
      <w:r w:rsidR="004D618C" w:rsidRPr="00641640">
        <w:rPr>
          <w:noProof/>
          <w:lang w:val="sq-AL"/>
        </w:rPr>
        <w:lastRenderedPageBreak/>
        <w:t>N</w:t>
      </w:r>
      <w:r w:rsidR="00DB4DF5" w:rsidRPr="00641640">
        <w:rPr>
          <w:noProof/>
          <w:lang w:val="sq-AL"/>
        </w:rPr>
        <w:t>ë</w:t>
      </w:r>
      <w:r w:rsidR="004D618C" w:rsidRPr="00641640">
        <w:rPr>
          <w:noProof/>
          <w:lang w:val="sq-AL"/>
        </w:rPr>
        <w:t xml:space="preserve"> reflektim t</w:t>
      </w:r>
      <w:r w:rsidR="00DB4DF5" w:rsidRPr="00641640">
        <w:rPr>
          <w:noProof/>
          <w:lang w:val="sq-AL"/>
        </w:rPr>
        <w:t>ë</w:t>
      </w:r>
      <w:r w:rsidR="004D618C" w:rsidRPr="00641640">
        <w:rPr>
          <w:noProof/>
          <w:lang w:val="sq-AL"/>
        </w:rPr>
        <w:t xml:space="preserve"> angazhimit t</w:t>
      </w:r>
      <w:r w:rsidR="00DB4DF5" w:rsidRPr="00641640">
        <w:rPr>
          <w:noProof/>
          <w:lang w:val="sq-AL"/>
        </w:rPr>
        <w:t>ë</w:t>
      </w:r>
      <w:r w:rsidR="004D618C" w:rsidRPr="00641640">
        <w:rPr>
          <w:noProof/>
          <w:lang w:val="sq-AL"/>
        </w:rPr>
        <w:t xml:space="preserve"> Qeveris</w:t>
      </w:r>
      <w:r w:rsidR="00DB4DF5" w:rsidRPr="00641640">
        <w:rPr>
          <w:noProof/>
          <w:lang w:val="sq-AL"/>
        </w:rPr>
        <w:t>ë</w:t>
      </w:r>
      <w:r w:rsidR="004D618C" w:rsidRPr="00641640">
        <w:rPr>
          <w:noProof/>
          <w:lang w:val="sq-AL"/>
        </w:rPr>
        <w:t xml:space="preserve"> Shqiptare për të krijuar një mjedis pune dinamik, mbështetës dhe motivues për punonjësit e administratës publike, dialogu </w:t>
      </w:r>
      <w:r w:rsidR="00861BCF" w:rsidRPr="00641640">
        <w:rPr>
          <w:noProof/>
          <w:lang w:val="sq-AL"/>
        </w:rPr>
        <w:t xml:space="preserve">me </w:t>
      </w:r>
      <w:r w:rsidR="004D618C" w:rsidRPr="00641640">
        <w:rPr>
          <w:noProof/>
          <w:lang w:val="sq-AL"/>
        </w:rPr>
        <w:t>n</w:t>
      </w:r>
      <w:r w:rsidR="00DB4DF5" w:rsidRPr="00641640">
        <w:rPr>
          <w:noProof/>
          <w:lang w:val="sq-AL"/>
        </w:rPr>
        <w:t>ë</w:t>
      </w:r>
      <w:r w:rsidR="004D618C" w:rsidRPr="00641640">
        <w:rPr>
          <w:noProof/>
          <w:lang w:val="sq-AL"/>
        </w:rPr>
        <w:t>pun</w:t>
      </w:r>
      <w:r w:rsidR="00DB4DF5" w:rsidRPr="00641640">
        <w:rPr>
          <w:noProof/>
          <w:lang w:val="sq-AL"/>
        </w:rPr>
        <w:t>ë</w:t>
      </w:r>
      <w:r w:rsidR="004D618C" w:rsidRPr="00641640">
        <w:rPr>
          <w:noProof/>
          <w:lang w:val="sq-AL"/>
        </w:rPr>
        <w:t>sit p</w:t>
      </w:r>
      <w:r w:rsidR="00DB4DF5" w:rsidRPr="00641640">
        <w:rPr>
          <w:noProof/>
          <w:lang w:val="sq-AL"/>
        </w:rPr>
        <w:t>ë</w:t>
      </w:r>
      <w:r w:rsidR="004D618C" w:rsidRPr="00641640">
        <w:rPr>
          <w:noProof/>
          <w:lang w:val="sq-AL"/>
        </w:rPr>
        <w:t>r mbledhjen e nevojave dhe vlerësimeve t</w:t>
      </w:r>
      <w:r w:rsidR="00DB4DF5" w:rsidRPr="00641640">
        <w:rPr>
          <w:noProof/>
          <w:lang w:val="sq-AL"/>
        </w:rPr>
        <w:t>ë</w:t>
      </w:r>
      <w:r w:rsidR="004D618C" w:rsidRPr="00641640">
        <w:rPr>
          <w:noProof/>
          <w:lang w:val="sq-AL"/>
        </w:rPr>
        <w:t xml:space="preserve"> tyre për ndërhyrjet e planifikuara vijon t</w:t>
      </w:r>
      <w:r w:rsidR="00DB4DF5" w:rsidRPr="00641640">
        <w:rPr>
          <w:noProof/>
          <w:lang w:val="sq-AL"/>
        </w:rPr>
        <w:t>ë</w:t>
      </w:r>
      <w:r w:rsidR="004D618C" w:rsidRPr="00641640">
        <w:rPr>
          <w:noProof/>
          <w:lang w:val="sq-AL"/>
        </w:rPr>
        <w:t xml:space="preserve"> udh</w:t>
      </w:r>
      <w:r w:rsidR="00DB4DF5" w:rsidRPr="00641640">
        <w:rPr>
          <w:noProof/>
          <w:lang w:val="sq-AL"/>
        </w:rPr>
        <w:t>ë</w:t>
      </w:r>
      <w:r w:rsidR="004D618C" w:rsidRPr="00641640">
        <w:rPr>
          <w:noProof/>
          <w:lang w:val="sq-AL"/>
        </w:rPr>
        <w:t>heq</w:t>
      </w:r>
      <w:r w:rsidR="00DB4DF5" w:rsidRPr="00641640">
        <w:rPr>
          <w:noProof/>
          <w:lang w:val="sq-AL"/>
        </w:rPr>
        <w:t>ë</w:t>
      </w:r>
      <w:r w:rsidR="004D618C" w:rsidRPr="00641640">
        <w:rPr>
          <w:noProof/>
          <w:lang w:val="sq-AL"/>
        </w:rPr>
        <w:t xml:space="preserve"> pun</w:t>
      </w:r>
      <w:r w:rsidR="00DB4DF5" w:rsidRPr="00641640">
        <w:rPr>
          <w:noProof/>
          <w:lang w:val="sq-AL"/>
        </w:rPr>
        <w:t>ë</w:t>
      </w:r>
      <w:r w:rsidR="004D618C" w:rsidRPr="00641640">
        <w:rPr>
          <w:noProof/>
          <w:lang w:val="sq-AL"/>
        </w:rPr>
        <w:t>n p</w:t>
      </w:r>
      <w:r w:rsidR="00DB4DF5" w:rsidRPr="00641640">
        <w:rPr>
          <w:noProof/>
          <w:lang w:val="sq-AL"/>
        </w:rPr>
        <w:t>ë</w:t>
      </w:r>
      <w:r w:rsidR="004D618C" w:rsidRPr="00641640">
        <w:rPr>
          <w:noProof/>
          <w:lang w:val="sq-AL"/>
        </w:rPr>
        <w:t xml:space="preserve">r zhvillimin </w:t>
      </w:r>
      <w:r w:rsidRPr="00641640">
        <w:rPr>
          <w:noProof/>
          <w:lang w:val="sq-AL"/>
        </w:rPr>
        <w:t>dinamik t</w:t>
      </w:r>
      <w:r w:rsidR="00446C9B" w:rsidRPr="00641640">
        <w:rPr>
          <w:noProof/>
          <w:lang w:val="sq-AL"/>
        </w:rPr>
        <w:t>ë</w:t>
      </w:r>
      <w:r w:rsidRPr="00641640">
        <w:rPr>
          <w:noProof/>
          <w:lang w:val="sq-AL"/>
        </w:rPr>
        <w:t xml:space="preserve"> </w:t>
      </w:r>
      <w:r w:rsidR="004D618C" w:rsidRPr="00641640">
        <w:rPr>
          <w:noProof/>
          <w:lang w:val="sq-AL"/>
        </w:rPr>
        <w:t>paketës, për të siguruar zbatimin e saj progresiv dhe efikas</w:t>
      </w:r>
      <w:r w:rsidRPr="00641640">
        <w:rPr>
          <w:noProof/>
          <w:lang w:val="sq-AL"/>
        </w:rPr>
        <w:t>, n</w:t>
      </w:r>
      <w:r w:rsidR="00446C9B" w:rsidRPr="00641640">
        <w:rPr>
          <w:noProof/>
          <w:lang w:val="sq-AL"/>
        </w:rPr>
        <w:t>ë</w:t>
      </w:r>
      <w:r w:rsidRPr="00641640">
        <w:rPr>
          <w:noProof/>
          <w:lang w:val="sq-AL"/>
        </w:rPr>
        <w:t xml:space="preserve"> p</w:t>
      </w:r>
      <w:r w:rsidR="00446C9B" w:rsidRPr="00641640">
        <w:rPr>
          <w:noProof/>
          <w:lang w:val="sq-AL"/>
        </w:rPr>
        <w:t>ë</w:t>
      </w:r>
      <w:r w:rsidRPr="00641640">
        <w:rPr>
          <w:noProof/>
          <w:lang w:val="sq-AL"/>
        </w:rPr>
        <w:t>rgjigje t</w:t>
      </w:r>
      <w:r w:rsidR="00446C9B" w:rsidRPr="00641640">
        <w:rPr>
          <w:noProof/>
          <w:lang w:val="sq-AL"/>
        </w:rPr>
        <w:t>ë</w:t>
      </w:r>
      <w:r w:rsidRPr="00641640">
        <w:rPr>
          <w:noProof/>
          <w:lang w:val="sq-AL"/>
        </w:rPr>
        <w:t xml:space="preserve"> nevojave reale t</w:t>
      </w:r>
      <w:r w:rsidR="00446C9B" w:rsidRPr="00641640">
        <w:rPr>
          <w:noProof/>
          <w:lang w:val="sq-AL"/>
        </w:rPr>
        <w:t>ë</w:t>
      </w:r>
      <w:r w:rsidRPr="00641640">
        <w:rPr>
          <w:noProof/>
          <w:lang w:val="sq-AL"/>
        </w:rPr>
        <w:t xml:space="preserve"> n</w:t>
      </w:r>
      <w:r w:rsidR="00446C9B" w:rsidRPr="00641640">
        <w:rPr>
          <w:noProof/>
          <w:lang w:val="sq-AL"/>
        </w:rPr>
        <w:t>ë</w:t>
      </w:r>
      <w:r w:rsidRPr="00641640">
        <w:rPr>
          <w:noProof/>
          <w:lang w:val="sq-AL"/>
        </w:rPr>
        <w:t>pun</w:t>
      </w:r>
      <w:r w:rsidR="00446C9B" w:rsidRPr="00641640">
        <w:rPr>
          <w:noProof/>
          <w:lang w:val="sq-AL"/>
        </w:rPr>
        <w:t>ë</w:t>
      </w:r>
      <w:r w:rsidRPr="00641640">
        <w:rPr>
          <w:noProof/>
          <w:lang w:val="sq-AL"/>
        </w:rPr>
        <w:t>sve publik</w:t>
      </w:r>
      <w:r w:rsidR="00446C9B" w:rsidRPr="00641640">
        <w:rPr>
          <w:noProof/>
          <w:lang w:val="sq-AL"/>
        </w:rPr>
        <w:t>ë</w:t>
      </w:r>
      <w:r w:rsidRPr="00641640">
        <w:rPr>
          <w:noProof/>
          <w:lang w:val="sq-AL"/>
        </w:rPr>
        <w:t>.</w:t>
      </w:r>
      <w:r w:rsidR="004D618C" w:rsidRPr="00641640">
        <w:rPr>
          <w:noProof/>
          <w:lang w:val="sq-AL"/>
        </w:rPr>
        <w:t xml:space="preserve"> </w:t>
      </w:r>
    </w:p>
    <w:p w14:paraId="0472AE26" w14:textId="77777777" w:rsidR="00080607" w:rsidRPr="00D32B76" w:rsidRDefault="00080607" w:rsidP="003A395D">
      <w:pPr>
        <w:pStyle w:val="NormalWeb"/>
        <w:spacing w:after="0" w:afterAutospacing="0" w:line="276" w:lineRule="auto"/>
        <w:jc w:val="both"/>
        <w:rPr>
          <w:noProof/>
          <w:sz w:val="20"/>
          <w:szCs w:val="20"/>
          <w:lang w:val="sq-AL"/>
        </w:rPr>
      </w:pPr>
    </w:p>
    <w:bookmarkEnd w:id="20"/>
    <w:p w14:paraId="51E421DC" w14:textId="0E247186" w:rsidR="004D17DE" w:rsidRPr="00641640" w:rsidRDefault="004D17DE" w:rsidP="003A395D">
      <w:pPr>
        <w:spacing w:line="276" w:lineRule="auto"/>
        <w:jc w:val="both"/>
        <w:rPr>
          <w:rFonts w:ascii="Times New Roman" w:hAnsi="Times New Roman" w:cs="Times New Roman"/>
          <w:b/>
          <w:bCs/>
          <w:i/>
          <w:iCs/>
          <w:noProof/>
          <w:sz w:val="24"/>
          <w:szCs w:val="24"/>
          <w:lang w:val="sq-AL"/>
        </w:rPr>
      </w:pPr>
      <w:r w:rsidRPr="00641640">
        <w:rPr>
          <w:rFonts w:ascii="Times New Roman" w:hAnsi="Times New Roman" w:cs="Times New Roman"/>
          <w:b/>
          <w:bCs/>
          <w:i/>
          <w:iCs/>
          <w:noProof/>
          <w:sz w:val="24"/>
          <w:szCs w:val="24"/>
          <w:lang w:val="sq-AL"/>
        </w:rPr>
        <w:t xml:space="preserve">Zhvillimi i </w:t>
      </w:r>
      <w:r w:rsidR="00CB6EF7" w:rsidRPr="00641640">
        <w:rPr>
          <w:rFonts w:ascii="Times New Roman" w:hAnsi="Times New Roman" w:cs="Times New Roman"/>
          <w:b/>
          <w:bCs/>
          <w:i/>
          <w:iCs/>
          <w:noProof/>
          <w:sz w:val="24"/>
          <w:szCs w:val="24"/>
          <w:lang w:val="sq-AL"/>
        </w:rPr>
        <w:t xml:space="preserve">shërbimit civil </w:t>
      </w:r>
      <w:r w:rsidRPr="00641640">
        <w:rPr>
          <w:rFonts w:ascii="Times New Roman" w:hAnsi="Times New Roman" w:cs="Times New Roman"/>
          <w:b/>
          <w:bCs/>
          <w:i/>
          <w:iCs/>
          <w:noProof/>
          <w:sz w:val="24"/>
          <w:szCs w:val="24"/>
          <w:lang w:val="sq-AL"/>
        </w:rPr>
        <w:t>dhe forcimi i kapaciteteve</w:t>
      </w:r>
    </w:p>
    <w:p w14:paraId="69750259" w14:textId="2CA3C9EA" w:rsidR="008D3D82" w:rsidRPr="00641640" w:rsidRDefault="00CB6EF7"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Gjatë periudhës së zbatimit</w:t>
      </w:r>
      <w:r w:rsidR="00C3062A" w:rsidRPr="00641640">
        <w:rPr>
          <w:rFonts w:ascii="Times New Roman" w:hAnsi="Times New Roman" w:cs="Times New Roman"/>
          <w:noProof/>
          <w:sz w:val="24"/>
          <w:szCs w:val="24"/>
          <w:lang w:val="sq-AL"/>
        </w:rPr>
        <w:t xml:space="preserve"> t</w:t>
      </w:r>
      <w:r w:rsidR="00B81F4F" w:rsidRPr="00641640">
        <w:rPr>
          <w:rFonts w:ascii="Times New Roman" w:hAnsi="Times New Roman" w:cs="Times New Roman"/>
          <w:noProof/>
          <w:sz w:val="24"/>
          <w:szCs w:val="24"/>
          <w:lang w:val="sq-AL"/>
        </w:rPr>
        <w:t>ë</w:t>
      </w:r>
      <w:r w:rsidR="00C3062A" w:rsidRPr="00641640">
        <w:rPr>
          <w:rFonts w:ascii="Times New Roman" w:hAnsi="Times New Roman" w:cs="Times New Roman"/>
          <w:noProof/>
          <w:sz w:val="24"/>
          <w:szCs w:val="24"/>
          <w:lang w:val="sq-AL"/>
        </w:rPr>
        <w:t xml:space="preserve"> Strategjis</w:t>
      </w:r>
      <w:r w:rsidR="00B81F4F" w:rsidRPr="00641640">
        <w:rPr>
          <w:rFonts w:ascii="Times New Roman" w:hAnsi="Times New Roman" w:cs="Times New Roman"/>
          <w:noProof/>
          <w:sz w:val="24"/>
          <w:szCs w:val="24"/>
          <w:lang w:val="sq-AL"/>
        </w:rPr>
        <w:t>ë</w:t>
      </w:r>
      <w:r w:rsidR="00C3062A" w:rsidRPr="00641640">
        <w:rPr>
          <w:rFonts w:ascii="Times New Roman" w:hAnsi="Times New Roman" w:cs="Times New Roman"/>
          <w:noProof/>
          <w:sz w:val="24"/>
          <w:szCs w:val="24"/>
          <w:lang w:val="sq-AL"/>
        </w:rPr>
        <w:t xml:space="preserve"> Nd</w:t>
      </w:r>
      <w:r w:rsidR="00B81F4F" w:rsidRPr="00641640">
        <w:rPr>
          <w:rFonts w:ascii="Times New Roman" w:hAnsi="Times New Roman" w:cs="Times New Roman"/>
          <w:noProof/>
          <w:sz w:val="24"/>
          <w:szCs w:val="24"/>
          <w:lang w:val="sq-AL"/>
        </w:rPr>
        <w:t>ë</w:t>
      </w:r>
      <w:r w:rsidR="00C3062A" w:rsidRPr="00641640">
        <w:rPr>
          <w:rFonts w:ascii="Times New Roman" w:hAnsi="Times New Roman" w:cs="Times New Roman"/>
          <w:noProof/>
          <w:sz w:val="24"/>
          <w:szCs w:val="24"/>
          <w:lang w:val="sq-AL"/>
        </w:rPr>
        <w:t>rsektoriale t</w:t>
      </w:r>
      <w:r w:rsidR="00B81F4F" w:rsidRPr="00641640">
        <w:rPr>
          <w:rFonts w:ascii="Times New Roman" w:hAnsi="Times New Roman" w:cs="Times New Roman"/>
          <w:noProof/>
          <w:sz w:val="24"/>
          <w:szCs w:val="24"/>
          <w:lang w:val="sq-AL"/>
        </w:rPr>
        <w:t>ë</w:t>
      </w:r>
      <w:r w:rsidR="00C3062A" w:rsidRPr="00641640">
        <w:rPr>
          <w:rFonts w:ascii="Times New Roman" w:hAnsi="Times New Roman" w:cs="Times New Roman"/>
          <w:noProof/>
          <w:sz w:val="24"/>
          <w:szCs w:val="24"/>
          <w:lang w:val="sq-AL"/>
        </w:rPr>
        <w:t xml:space="preserve"> RAP 2015-2022</w:t>
      </w:r>
      <w:r w:rsidRPr="00641640">
        <w:rPr>
          <w:rFonts w:ascii="Times New Roman" w:hAnsi="Times New Roman" w:cs="Times New Roman"/>
          <w:noProof/>
          <w:sz w:val="24"/>
          <w:szCs w:val="24"/>
          <w:lang w:val="sq-AL"/>
        </w:rPr>
        <w:t xml:space="preserve"> </w:t>
      </w:r>
      <w:r w:rsidR="00447F02" w:rsidRPr="00641640">
        <w:rPr>
          <w:rFonts w:ascii="Times New Roman" w:hAnsi="Times New Roman" w:cs="Times New Roman"/>
          <w:noProof/>
          <w:sz w:val="24"/>
          <w:szCs w:val="24"/>
          <w:lang w:val="sq-AL"/>
        </w:rPr>
        <w:t>jan</w:t>
      </w:r>
      <w:r w:rsidR="00DB4DF5" w:rsidRPr="00641640">
        <w:rPr>
          <w:rFonts w:ascii="Times New Roman" w:hAnsi="Times New Roman" w:cs="Times New Roman"/>
          <w:noProof/>
          <w:sz w:val="24"/>
          <w:szCs w:val="24"/>
          <w:lang w:val="sq-AL"/>
        </w:rPr>
        <w:t>ë</w:t>
      </w:r>
      <w:r w:rsidR="00447F02" w:rsidRPr="00641640">
        <w:rPr>
          <w:rFonts w:ascii="Times New Roman" w:hAnsi="Times New Roman" w:cs="Times New Roman"/>
          <w:noProof/>
          <w:sz w:val="24"/>
          <w:szCs w:val="24"/>
          <w:lang w:val="sq-AL"/>
        </w:rPr>
        <w:t xml:space="preserve"> sh</w:t>
      </w:r>
      <w:r w:rsidR="00DB4DF5" w:rsidRPr="00641640">
        <w:rPr>
          <w:rFonts w:ascii="Times New Roman" w:hAnsi="Times New Roman" w:cs="Times New Roman"/>
          <w:noProof/>
          <w:sz w:val="24"/>
          <w:szCs w:val="24"/>
          <w:lang w:val="sq-AL"/>
        </w:rPr>
        <w:t>ë</w:t>
      </w:r>
      <w:r w:rsidR="00447F02" w:rsidRPr="00641640">
        <w:rPr>
          <w:rFonts w:ascii="Times New Roman" w:hAnsi="Times New Roman" w:cs="Times New Roman"/>
          <w:noProof/>
          <w:sz w:val="24"/>
          <w:szCs w:val="24"/>
          <w:lang w:val="sq-AL"/>
        </w:rPr>
        <w:t>nuar nj</w:t>
      </w:r>
      <w:r w:rsidR="00DB4DF5" w:rsidRPr="00641640">
        <w:rPr>
          <w:rFonts w:ascii="Times New Roman" w:hAnsi="Times New Roman" w:cs="Times New Roman"/>
          <w:noProof/>
          <w:sz w:val="24"/>
          <w:szCs w:val="24"/>
          <w:lang w:val="sq-AL"/>
        </w:rPr>
        <w:t>ë</w:t>
      </w:r>
      <w:r w:rsidR="00447F02" w:rsidRPr="00641640">
        <w:rPr>
          <w:rFonts w:ascii="Times New Roman" w:hAnsi="Times New Roman" w:cs="Times New Roman"/>
          <w:noProof/>
          <w:sz w:val="24"/>
          <w:szCs w:val="24"/>
          <w:lang w:val="sq-AL"/>
        </w:rPr>
        <w:t xml:space="preserve"> s</w:t>
      </w:r>
      <w:r w:rsidR="00DB4DF5" w:rsidRPr="00641640">
        <w:rPr>
          <w:rFonts w:ascii="Times New Roman" w:hAnsi="Times New Roman" w:cs="Times New Roman"/>
          <w:noProof/>
          <w:sz w:val="24"/>
          <w:szCs w:val="24"/>
          <w:lang w:val="sq-AL"/>
        </w:rPr>
        <w:t>ë</w:t>
      </w:r>
      <w:r w:rsidR="00447F02" w:rsidRPr="00641640">
        <w:rPr>
          <w:rFonts w:ascii="Times New Roman" w:hAnsi="Times New Roman" w:cs="Times New Roman"/>
          <w:noProof/>
          <w:sz w:val="24"/>
          <w:szCs w:val="24"/>
          <w:lang w:val="sq-AL"/>
        </w:rPr>
        <w:t>r</w:t>
      </w:r>
      <w:r w:rsidR="00DB4DF5" w:rsidRPr="00641640">
        <w:rPr>
          <w:rFonts w:ascii="Times New Roman" w:hAnsi="Times New Roman" w:cs="Times New Roman"/>
          <w:noProof/>
          <w:sz w:val="24"/>
          <w:szCs w:val="24"/>
          <w:lang w:val="sq-AL"/>
        </w:rPr>
        <w:t>ë</w:t>
      </w:r>
      <w:r w:rsidR="00447F02"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 </w:t>
      </w:r>
      <w:r w:rsidR="007963F3" w:rsidRPr="00641640">
        <w:rPr>
          <w:rFonts w:ascii="Times New Roman" w:hAnsi="Times New Roman" w:cs="Times New Roman"/>
          <w:noProof/>
          <w:sz w:val="24"/>
          <w:szCs w:val="24"/>
          <w:lang w:val="sq-AL"/>
        </w:rPr>
        <w:t xml:space="preserve">arritjesh </w:t>
      </w:r>
      <w:r w:rsidRPr="00641640">
        <w:rPr>
          <w:rFonts w:ascii="Times New Roman" w:hAnsi="Times New Roman" w:cs="Times New Roman"/>
          <w:noProof/>
          <w:sz w:val="24"/>
          <w:szCs w:val="24"/>
          <w:lang w:val="sq-AL"/>
        </w:rPr>
        <w:t>dhe risi</w:t>
      </w:r>
      <w:r w:rsidR="00447F02" w:rsidRPr="00641640">
        <w:rPr>
          <w:rFonts w:ascii="Times New Roman" w:hAnsi="Times New Roman" w:cs="Times New Roman"/>
          <w:noProof/>
          <w:sz w:val="24"/>
          <w:szCs w:val="24"/>
          <w:lang w:val="sq-AL"/>
        </w:rPr>
        <w:t>sh</w:t>
      </w:r>
      <w:r w:rsidRPr="00641640">
        <w:rPr>
          <w:rFonts w:ascii="Times New Roman" w:hAnsi="Times New Roman" w:cs="Times New Roman"/>
          <w:noProof/>
          <w:sz w:val="24"/>
          <w:szCs w:val="24"/>
          <w:lang w:val="sq-AL"/>
        </w:rPr>
        <w:t xml:space="preserve"> në menaxhimin e shërbimit civil dhe </w:t>
      </w:r>
      <w:r w:rsidR="00447F02" w:rsidRPr="00641640">
        <w:rPr>
          <w:rFonts w:ascii="Times New Roman" w:hAnsi="Times New Roman" w:cs="Times New Roman"/>
          <w:noProof/>
          <w:sz w:val="24"/>
          <w:szCs w:val="24"/>
          <w:lang w:val="sq-AL"/>
        </w:rPr>
        <w:t>p</w:t>
      </w:r>
      <w:r w:rsidR="00DB4DF5" w:rsidRPr="00641640">
        <w:rPr>
          <w:rFonts w:ascii="Times New Roman" w:hAnsi="Times New Roman" w:cs="Times New Roman"/>
          <w:noProof/>
          <w:sz w:val="24"/>
          <w:szCs w:val="24"/>
          <w:lang w:val="sq-AL"/>
        </w:rPr>
        <w:t>ë</w:t>
      </w:r>
      <w:r w:rsidR="00447F02" w:rsidRPr="00641640">
        <w:rPr>
          <w:rFonts w:ascii="Times New Roman" w:hAnsi="Times New Roman" w:cs="Times New Roman"/>
          <w:noProof/>
          <w:sz w:val="24"/>
          <w:szCs w:val="24"/>
          <w:lang w:val="sq-AL"/>
        </w:rPr>
        <w:t>rmir</w:t>
      </w:r>
      <w:r w:rsidR="00DB4DF5" w:rsidRPr="00641640">
        <w:rPr>
          <w:rFonts w:ascii="Times New Roman" w:hAnsi="Times New Roman" w:cs="Times New Roman"/>
          <w:noProof/>
          <w:sz w:val="24"/>
          <w:szCs w:val="24"/>
          <w:lang w:val="sq-AL"/>
        </w:rPr>
        <w:t>ë</w:t>
      </w:r>
      <w:r w:rsidR="00447F02" w:rsidRPr="00641640">
        <w:rPr>
          <w:rFonts w:ascii="Times New Roman" w:hAnsi="Times New Roman" w:cs="Times New Roman"/>
          <w:noProof/>
          <w:sz w:val="24"/>
          <w:szCs w:val="24"/>
          <w:lang w:val="sq-AL"/>
        </w:rPr>
        <w:t>simin e efikasitetit t</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disa proceseve të punës për administratën. </w:t>
      </w:r>
      <w:r w:rsidR="007963F3" w:rsidRPr="00641640">
        <w:rPr>
          <w:rFonts w:ascii="Times New Roman" w:hAnsi="Times New Roman" w:cs="Times New Roman"/>
          <w:noProof/>
          <w:sz w:val="24"/>
          <w:szCs w:val="24"/>
          <w:lang w:val="sq-AL"/>
        </w:rPr>
        <w:t>N</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 xml:space="preserve"> k</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t</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 xml:space="preserve"> drejtim, OECD/SIGMA vler</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son veçan</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risht ekzistenc</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n e nj</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 xml:space="preserve"> komunikimi t</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 xml:space="preserve"> rrjedhsh</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m dhe efikas t</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 xml:space="preserve"> DAP me nj</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sit</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 xml:space="preserve"> t</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 xml:space="preserve"> menaxhimit t</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 xml:space="preserve"> burimeve njer</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zore, si dhe me Komisionerin p</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r Mbik</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qyrjen e Sh</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rbimit Civil.</w:t>
      </w:r>
      <w:r w:rsidR="007963F3" w:rsidRPr="00641640">
        <w:rPr>
          <w:rStyle w:val="FootnoteReference"/>
          <w:rFonts w:ascii="Times New Roman" w:hAnsi="Times New Roman" w:cs="Times New Roman"/>
          <w:noProof/>
          <w:sz w:val="24"/>
          <w:szCs w:val="24"/>
          <w:lang w:val="sq-AL"/>
        </w:rPr>
        <w:footnoteReference w:id="46"/>
      </w:r>
      <w:r w:rsidR="007963F3"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Një rol të rëndësishëm </w:t>
      </w:r>
      <w:r w:rsidR="007963F3" w:rsidRPr="00641640">
        <w:rPr>
          <w:rFonts w:ascii="Times New Roman" w:hAnsi="Times New Roman" w:cs="Times New Roman"/>
          <w:noProof/>
          <w:sz w:val="24"/>
          <w:szCs w:val="24"/>
          <w:lang w:val="sq-AL"/>
        </w:rPr>
        <w:t>n</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 xml:space="preserve"> k</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t</w:t>
      </w:r>
      <w:r w:rsidR="00DB4DF5" w:rsidRPr="00641640">
        <w:rPr>
          <w:rFonts w:ascii="Times New Roman" w:hAnsi="Times New Roman" w:cs="Times New Roman"/>
          <w:noProof/>
          <w:sz w:val="24"/>
          <w:szCs w:val="24"/>
          <w:lang w:val="sq-AL"/>
        </w:rPr>
        <w:t>ë</w:t>
      </w:r>
      <w:r w:rsidR="007963F3" w:rsidRPr="00641640">
        <w:rPr>
          <w:rFonts w:ascii="Times New Roman" w:hAnsi="Times New Roman" w:cs="Times New Roman"/>
          <w:noProof/>
          <w:sz w:val="24"/>
          <w:szCs w:val="24"/>
          <w:lang w:val="sq-AL"/>
        </w:rPr>
        <w:t xml:space="preserve"> koordinim </w:t>
      </w:r>
      <w:r w:rsidRPr="00641640">
        <w:rPr>
          <w:rFonts w:ascii="Times New Roman" w:hAnsi="Times New Roman" w:cs="Times New Roman"/>
          <w:noProof/>
          <w:sz w:val="24"/>
          <w:szCs w:val="24"/>
          <w:lang w:val="sq-AL"/>
        </w:rPr>
        <w:t xml:space="preserve">ka luajtur përdorimi i platformës së integruar </w:t>
      </w:r>
      <w:r w:rsidRPr="00641640">
        <w:rPr>
          <w:rFonts w:ascii="Times New Roman" w:hAnsi="Times New Roman" w:cs="Times New Roman"/>
          <w:i/>
          <w:noProof/>
          <w:sz w:val="24"/>
          <w:szCs w:val="24"/>
          <w:lang w:val="sq-AL"/>
        </w:rPr>
        <w:t>“administrata.al”</w:t>
      </w:r>
      <w:r w:rsidR="007650BD" w:rsidRPr="00641640">
        <w:rPr>
          <w:rFonts w:ascii="Times New Roman" w:hAnsi="Times New Roman" w:cs="Times New Roman"/>
          <w:i/>
          <w:noProof/>
          <w:sz w:val="24"/>
          <w:szCs w:val="24"/>
          <w:lang w:val="sq-AL"/>
        </w:rPr>
        <w:t>,</w:t>
      </w:r>
      <w:r w:rsidR="00447F02" w:rsidRPr="00641640">
        <w:rPr>
          <w:rFonts w:ascii="Times New Roman" w:hAnsi="Times New Roman" w:cs="Times New Roman"/>
          <w:noProof/>
          <w:sz w:val="24"/>
          <w:szCs w:val="24"/>
          <w:lang w:val="sq-AL"/>
        </w:rPr>
        <w:t xml:space="preserve"> duke p</w:t>
      </w:r>
      <w:r w:rsidR="00DB4DF5" w:rsidRPr="00641640">
        <w:rPr>
          <w:rFonts w:ascii="Times New Roman" w:hAnsi="Times New Roman" w:cs="Times New Roman"/>
          <w:noProof/>
          <w:sz w:val="24"/>
          <w:szCs w:val="24"/>
          <w:lang w:val="sq-AL"/>
        </w:rPr>
        <w:t>ë</w:t>
      </w:r>
      <w:r w:rsidR="00447F02" w:rsidRPr="00641640">
        <w:rPr>
          <w:rFonts w:ascii="Times New Roman" w:hAnsi="Times New Roman" w:cs="Times New Roman"/>
          <w:noProof/>
          <w:sz w:val="24"/>
          <w:szCs w:val="24"/>
          <w:lang w:val="sq-AL"/>
        </w:rPr>
        <w:t>rmir</w:t>
      </w:r>
      <w:r w:rsidR="00DB4DF5" w:rsidRPr="00641640">
        <w:rPr>
          <w:rFonts w:ascii="Times New Roman" w:hAnsi="Times New Roman" w:cs="Times New Roman"/>
          <w:noProof/>
          <w:sz w:val="24"/>
          <w:szCs w:val="24"/>
          <w:lang w:val="sq-AL"/>
        </w:rPr>
        <w:t>ë</w:t>
      </w:r>
      <w:r w:rsidR="00447F02" w:rsidRPr="00641640">
        <w:rPr>
          <w:rFonts w:ascii="Times New Roman" w:hAnsi="Times New Roman" w:cs="Times New Roman"/>
          <w:noProof/>
          <w:sz w:val="24"/>
          <w:szCs w:val="24"/>
          <w:lang w:val="sq-AL"/>
        </w:rPr>
        <w:t>suar nd</w:t>
      </w:r>
      <w:r w:rsidR="00DB4DF5" w:rsidRPr="00641640">
        <w:rPr>
          <w:rFonts w:ascii="Times New Roman" w:hAnsi="Times New Roman" w:cs="Times New Roman"/>
          <w:noProof/>
          <w:sz w:val="24"/>
          <w:szCs w:val="24"/>
          <w:lang w:val="sq-AL"/>
        </w:rPr>
        <w:t>ë</w:t>
      </w:r>
      <w:r w:rsidR="00447F02" w:rsidRPr="00641640">
        <w:rPr>
          <w:rFonts w:ascii="Times New Roman" w:hAnsi="Times New Roman" w:cs="Times New Roman"/>
          <w:noProof/>
          <w:sz w:val="24"/>
          <w:szCs w:val="24"/>
          <w:lang w:val="sq-AL"/>
        </w:rPr>
        <w:t>rveprimin e</w:t>
      </w:r>
      <w:r w:rsidR="005A5E9A"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institucioneve publike</w:t>
      </w:r>
      <w:r w:rsidR="00447F02"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w:t>
      </w:r>
      <w:r w:rsidR="00447F02" w:rsidRPr="00641640">
        <w:rPr>
          <w:rFonts w:ascii="Times New Roman" w:hAnsi="Times New Roman" w:cs="Times New Roman"/>
          <w:noProof/>
          <w:sz w:val="24"/>
          <w:szCs w:val="24"/>
          <w:lang w:val="sq-AL"/>
        </w:rPr>
        <w:t>duke leht</w:t>
      </w:r>
      <w:r w:rsidR="00DB4DF5" w:rsidRPr="00641640">
        <w:rPr>
          <w:rFonts w:ascii="Times New Roman" w:hAnsi="Times New Roman" w:cs="Times New Roman"/>
          <w:noProof/>
          <w:sz w:val="24"/>
          <w:szCs w:val="24"/>
          <w:lang w:val="sq-AL"/>
        </w:rPr>
        <w:t>ë</w:t>
      </w:r>
      <w:r w:rsidR="00447F02" w:rsidRPr="00641640">
        <w:rPr>
          <w:rFonts w:ascii="Times New Roman" w:hAnsi="Times New Roman" w:cs="Times New Roman"/>
          <w:noProof/>
          <w:sz w:val="24"/>
          <w:szCs w:val="24"/>
          <w:lang w:val="sq-AL"/>
        </w:rPr>
        <w:t>suar k</w:t>
      </w:r>
      <w:r w:rsidRPr="00641640">
        <w:rPr>
          <w:rFonts w:ascii="Times New Roman" w:hAnsi="Times New Roman" w:cs="Times New Roman"/>
          <w:noProof/>
          <w:sz w:val="24"/>
          <w:szCs w:val="24"/>
          <w:lang w:val="sq-AL"/>
        </w:rPr>
        <w:t>omunikimi</w:t>
      </w:r>
      <w:r w:rsidR="00447F02" w:rsidRPr="00641640">
        <w:rPr>
          <w:rFonts w:ascii="Times New Roman" w:hAnsi="Times New Roman" w:cs="Times New Roman"/>
          <w:noProof/>
          <w:sz w:val="24"/>
          <w:szCs w:val="24"/>
          <w:lang w:val="sq-AL"/>
        </w:rPr>
        <w:t xml:space="preserve">n </w:t>
      </w:r>
      <w:r w:rsidRPr="00641640">
        <w:rPr>
          <w:rFonts w:ascii="Times New Roman" w:hAnsi="Times New Roman" w:cs="Times New Roman"/>
          <w:noProof/>
          <w:sz w:val="24"/>
          <w:szCs w:val="24"/>
          <w:lang w:val="sq-AL"/>
        </w:rPr>
        <w:t>dhe raportimi</w:t>
      </w:r>
      <w:r w:rsidR="00447F02" w:rsidRPr="00641640">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 xml:space="preserve"> </w:t>
      </w:r>
      <w:r w:rsidR="00447F02"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 informacionit në kohë reale</w:t>
      </w:r>
      <w:r w:rsidR="00447F02"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w:t>
      </w:r>
      <w:r w:rsidR="00447F02" w:rsidRPr="00641640">
        <w:rPr>
          <w:rFonts w:ascii="Times New Roman" w:hAnsi="Times New Roman" w:cs="Times New Roman"/>
          <w:noProof/>
          <w:sz w:val="24"/>
          <w:szCs w:val="24"/>
          <w:lang w:val="sq-AL"/>
        </w:rPr>
        <w:t>duke</w:t>
      </w:r>
      <w:r w:rsidRPr="00641640">
        <w:rPr>
          <w:rFonts w:ascii="Times New Roman" w:hAnsi="Times New Roman" w:cs="Times New Roman"/>
          <w:noProof/>
          <w:sz w:val="24"/>
          <w:szCs w:val="24"/>
          <w:lang w:val="sq-AL"/>
        </w:rPr>
        <w:t xml:space="preserve"> unifik</w:t>
      </w:r>
      <w:r w:rsidR="00447F02" w:rsidRPr="00641640">
        <w:rPr>
          <w:rFonts w:ascii="Times New Roman" w:hAnsi="Times New Roman" w:cs="Times New Roman"/>
          <w:noProof/>
          <w:sz w:val="24"/>
          <w:szCs w:val="24"/>
          <w:lang w:val="sq-AL"/>
        </w:rPr>
        <w:t>uar</w:t>
      </w:r>
      <w:r w:rsidRPr="00641640">
        <w:rPr>
          <w:rFonts w:ascii="Times New Roman" w:hAnsi="Times New Roman" w:cs="Times New Roman"/>
          <w:noProof/>
          <w:sz w:val="24"/>
          <w:szCs w:val="24"/>
          <w:lang w:val="sq-AL"/>
        </w:rPr>
        <w:t xml:space="preserve"> praktika</w:t>
      </w:r>
      <w:r w:rsidR="00447F02" w:rsidRPr="00641640">
        <w:rPr>
          <w:rFonts w:ascii="Times New Roman" w:hAnsi="Times New Roman" w:cs="Times New Roman"/>
          <w:noProof/>
          <w:sz w:val="24"/>
          <w:szCs w:val="24"/>
          <w:lang w:val="sq-AL"/>
        </w:rPr>
        <w:t>t</w:t>
      </w:r>
      <w:r w:rsidRPr="00641640">
        <w:rPr>
          <w:rFonts w:ascii="Times New Roman" w:hAnsi="Times New Roman" w:cs="Times New Roman"/>
          <w:noProof/>
          <w:sz w:val="24"/>
          <w:szCs w:val="24"/>
          <w:lang w:val="sq-AL"/>
        </w:rPr>
        <w:t xml:space="preserve"> administrative dhe </w:t>
      </w:r>
      <w:r w:rsidR="00447F02" w:rsidRPr="00641640">
        <w:rPr>
          <w:rFonts w:ascii="Times New Roman" w:hAnsi="Times New Roman" w:cs="Times New Roman"/>
          <w:noProof/>
          <w:sz w:val="24"/>
          <w:szCs w:val="24"/>
          <w:lang w:val="sq-AL"/>
        </w:rPr>
        <w:t>duke p</w:t>
      </w:r>
      <w:r w:rsidR="00DB4DF5" w:rsidRPr="00641640">
        <w:rPr>
          <w:rFonts w:ascii="Times New Roman" w:hAnsi="Times New Roman" w:cs="Times New Roman"/>
          <w:noProof/>
          <w:sz w:val="24"/>
          <w:szCs w:val="24"/>
          <w:lang w:val="sq-AL"/>
        </w:rPr>
        <w:t>ë</w:t>
      </w:r>
      <w:r w:rsidR="00447F02" w:rsidRPr="00641640">
        <w:rPr>
          <w:rFonts w:ascii="Times New Roman" w:hAnsi="Times New Roman" w:cs="Times New Roman"/>
          <w:noProof/>
          <w:sz w:val="24"/>
          <w:szCs w:val="24"/>
          <w:lang w:val="sq-AL"/>
        </w:rPr>
        <w:t>rmir</w:t>
      </w:r>
      <w:r w:rsidR="00DB4DF5" w:rsidRPr="00641640">
        <w:rPr>
          <w:rFonts w:ascii="Times New Roman" w:hAnsi="Times New Roman" w:cs="Times New Roman"/>
          <w:noProof/>
          <w:sz w:val="24"/>
          <w:szCs w:val="24"/>
          <w:lang w:val="sq-AL"/>
        </w:rPr>
        <w:t>ë</w:t>
      </w:r>
      <w:r w:rsidR="00447F02" w:rsidRPr="00641640">
        <w:rPr>
          <w:rFonts w:ascii="Times New Roman" w:hAnsi="Times New Roman" w:cs="Times New Roman"/>
          <w:noProof/>
          <w:sz w:val="24"/>
          <w:szCs w:val="24"/>
          <w:lang w:val="sq-AL"/>
        </w:rPr>
        <w:t xml:space="preserve">suar </w:t>
      </w:r>
      <w:r w:rsidRPr="00641640">
        <w:rPr>
          <w:rFonts w:ascii="Times New Roman" w:hAnsi="Times New Roman" w:cs="Times New Roman"/>
          <w:noProof/>
          <w:sz w:val="24"/>
          <w:szCs w:val="24"/>
          <w:lang w:val="sq-AL"/>
        </w:rPr>
        <w:t>cilësi</w:t>
      </w:r>
      <w:r w:rsidR="00447F02" w:rsidRPr="00641640">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ë</w:t>
      </w:r>
      <w:r w:rsidR="00447F02" w:rsidRPr="00641640">
        <w:rPr>
          <w:rFonts w:ascii="Times New Roman" w:hAnsi="Times New Roman" w:cs="Times New Roman"/>
          <w:noProof/>
          <w:sz w:val="24"/>
          <w:szCs w:val="24"/>
          <w:lang w:val="sq-AL"/>
        </w:rPr>
        <w:t xml:space="preserve"> e</w:t>
      </w:r>
      <w:r w:rsidRPr="00641640">
        <w:rPr>
          <w:rFonts w:ascii="Times New Roman" w:hAnsi="Times New Roman" w:cs="Times New Roman"/>
          <w:noProof/>
          <w:sz w:val="24"/>
          <w:szCs w:val="24"/>
          <w:lang w:val="sq-AL"/>
        </w:rPr>
        <w:t xml:space="preserve"> proceseve të menaxhimit të burimeve njerëzore. Një numër </w:t>
      </w:r>
      <w:r w:rsidR="00447F02" w:rsidRPr="00641640">
        <w:rPr>
          <w:rFonts w:ascii="Times New Roman" w:hAnsi="Times New Roman" w:cs="Times New Roman"/>
          <w:noProof/>
          <w:sz w:val="24"/>
          <w:szCs w:val="24"/>
          <w:lang w:val="sq-AL"/>
        </w:rPr>
        <w:t xml:space="preserve">voluminoz </w:t>
      </w:r>
      <w:r w:rsidRPr="00641640">
        <w:rPr>
          <w:rFonts w:ascii="Times New Roman" w:hAnsi="Times New Roman" w:cs="Times New Roman"/>
          <w:noProof/>
          <w:sz w:val="24"/>
          <w:szCs w:val="24"/>
          <w:lang w:val="sq-AL"/>
        </w:rPr>
        <w:t xml:space="preserve">dokumentesh dhe praktikash janë </w:t>
      </w:r>
      <w:r w:rsidR="00447F02" w:rsidRPr="00641640">
        <w:rPr>
          <w:rFonts w:ascii="Times New Roman" w:hAnsi="Times New Roman" w:cs="Times New Roman"/>
          <w:noProof/>
          <w:sz w:val="24"/>
          <w:szCs w:val="24"/>
          <w:lang w:val="sq-AL"/>
        </w:rPr>
        <w:t xml:space="preserve">ngarkuar </w:t>
      </w:r>
      <w:r w:rsidRPr="00641640">
        <w:rPr>
          <w:rFonts w:ascii="Times New Roman" w:hAnsi="Times New Roman" w:cs="Times New Roman"/>
          <w:noProof/>
          <w:sz w:val="24"/>
          <w:szCs w:val="24"/>
          <w:lang w:val="sq-AL"/>
        </w:rPr>
        <w:t>në platformë për t</w:t>
      </w:r>
      <w:r w:rsidR="005A5E9A"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u përdorur nga nëpunësit dhe institucionet.</w:t>
      </w:r>
    </w:p>
    <w:p w14:paraId="335158A2" w14:textId="620B5E6C" w:rsidR="00A62347" w:rsidRPr="00641640" w:rsidRDefault="00A62347"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Regjistri Qendror i Personelit </w:t>
      </w:r>
      <w:r w:rsidR="005C1FC2" w:rsidRPr="00641640">
        <w:rPr>
          <w:rFonts w:ascii="Times New Roman" w:hAnsi="Times New Roman" w:cs="Times New Roman"/>
          <w:noProof/>
          <w:sz w:val="24"/>
          <w:szCs w:val="24"/>
          <w:lang w:val="sq-AL"/>
        </w:rPr>
        <w:t>(RQP)</w:t>
      </w:r>
      <w:r w:rsidR="005A5E9A" w:rsidRPr="00641640">
        <w:rPr>
          <w:rFonts w:ascii="Times New Roman" w:hAnsi="Times New Roman" w:cs="Times New Roman"/>
          <w:noProof/>
          <w:sz w:val="24"/>
          <w:szCs w:val="24"/>
          <w:lang w:val="sq-AL"/>
        </w:rPr>
        <w:t xml:space="preserve"> për menaxhimin e burimeve njerëzore</w:t>
      </w:r>
      <w:r w:rsidR="005C1FC2"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është vënë në funksionim dhe </w:t>
      </w:r>
      <w:r w:rsidR="003C37CC" w:rsidRPr="00641640">
        <w:rPr>
          <w:rFonts w:ascii="Times New Roman" w:hAnsi="Times New Roman" w:cs="Times New Roman"/>
          <w:noProof/>
          <w:sz w:val="24"/>
          <w:szCs w:val="24"/>
          <w:lang w:val="sq-AL"/>
        </w:rPr>
        <w:t xml:space="preserve">aktualisht </w:t>
      </w:r>
      <w:r w:rsidRPr="00641640">
        <w:rPr>
          <w:rFonts w:ascii="Times New Roman" w:hAnsi="Times New Roman" w:cs="Times New Roman"/>
          <w:noProof/>
          <w:sz w:val="24"/>
          <w:szCs w:val="24"/>
          <w:lang w:val="sq-AL"/>
        </w:rPr>
        <w:t>përdoret nga të gjitha institucionet</w:t>
      </w:r>
      <w:r w:rsidR="003C37CC" w:rsidRPr="00641640">
        <w:rPr>
          <w:rFonts w:ascii="Times New Roman" w:hAnsi="Times New Roman" w:cs="Times New Roman"/>
          <w:noProof/>
          <w:sz w:val="24"/>
          <w:szCs w:val="24"/>
          <w:lang w:val="sq-AL"/>
        </w:rPr>
        <w:t>. Numri i dosjeve t</w:t>
      </w:r>
      <w:r w:rsidR="00B81F4F" w:rsidRPr="00641640">
        <w:rPr>
          <w:rFonts w:ascii="Times New Roman" w:hAnsi="Times New Roman" w:cs="Times New Roman"/>
          <w:noProof/>
          <w:sz w:val="24"/>
          <w:szCs w:val="24"/>
          <w:lang w:val="sq-AL"/>
        </w:rPr>
        <w:t>ë</w:t>
      </w:r>
      <w:r w:rsidR="005A5E9A" w:rsidRPr="00641640">
        <w:rPr>
          <w:rFonts w:ascii="Times New Roman" w:hAnsi="Times New Roman" w:cs="Times New Roman"/>
          <w:noProof/>
          <w:sz w:val="24"/>
          <w:szCs w:val="24"/>
          <w:lang w:val="sq-AL"/>
        </w:rPr>
        <w:t xml:space="preserve"> </w:t>
      </w:r>
      <w:r w:rsidR="003C37CC" w:rsidRPr="00641640">
        <w:rPr>
          <w:rFonts w:ascii="Times New Roman" w:hAnsi="Times New Roman" w:cs="Times New Roman"/>
          <w:noProof/>
          <w:sz w:val="24"/>
          <w:szCs w:val="24"/>
          <w:lang w:val="sq-AL"/>
        </w:rPr>
        <w:t>personelit t</w:t>
      </w:r>
      <w:r w:rsidR="00B81F4F" w:rsidRPr="00641640">
        <w:rPr>
          <w:rFonts w:ascii="Times New Roman" w:hAnsi="Times New Roman" w:cs="Times New Roman"/>
          <w:noProof/>
          <w:sz w:val="24"/>
          <w:szCs w:val="24"/>
          <w:lang w:val="sq-AL"/>
        </w:rPr>
        <w:t>ë</w:t>
      </w:r>
      <w:r w:rsidR="003C37CC" w:rsidRPr="00641640">
        <w:rPr>
          <w:rFonts w:ascii="Times New Roman" w:hAnsi="Times New Roman" w:cs="Times New Roman"/>
          <w:noProof/>
          <w:sz w:val="24"/>
          <w:szCs w:val="24"/>
          <w:lang w:val="sq-AL"/>
        </w:rPr>
        <w:t xml:space="preserve"> </w:t>
      </w:r>
      <w:r w:rsidR="005A5E9A" w:rsidRPr="00641640">
        <w:rPr>
          <w:rFonts w:ascii="Times New Roman" w:hAnsi="Times New Roman" w:cs="Times New Roman"/>
          <w:noProof/>
          <w:sz w:val="24"/>
          <w:szCs w:val="24"/>
          <w:lang w:val="sq-AL"/>
        </w:rPr>
        <w:t>regjistruar</w:t>
      </w:r>
      <w:r w:rsidR="003C37CC" w:rsidRPr="00641640">
        <w:rPr>
          <w:rFonts w:ascii="Times New Roman" w:hAnsi="Times New Roman" w:cs="Times New Roman"/>
          <w:noProof/>
          <w:sz w:val="24"/>
          <w:szCs w:val="24"/>
          <w:lang w:val="sq-AL"/>
        </w:rPr>
        <w:t>a</w:t>
      </w:r>
      <w:r w:rsidR="005A5E9A" w:rsidRPr="00641640">
        <w:rPr>
          <w:rFonts w:ascii="Times New Roman" w:hAnsi="Times New Roman" w:cs="Times New Roman"/>
          <w:noProof/>
          <w:sz w:val="24"/>
          <w:szCs w:val="24"/>
          <w:lang w:val="sq-AL"/>
        </w:rPr>
        <w:t xml:space="preserve"> </w:t>
      </w:r>
      <w:r w:rsidR="003C37CC" w:rsidRPr="00641640">
        <w:rPr>
          <w:rFonts w:ascii="Times New Roman" w:hAnsi="Times New Roman" w:cs="Times New Roman"/>
          <w:noProof/>
          <w:sz w:val="24"/>
          <w:szCs w:val="24"/>
          <w:lang w:val="sq-AL"/>
        </w:rPr>
        <w:t>deri n</w:t>
      </w:r>
      <w:r w:rsidR="00B81F4F" w:rsidRPr="00641640">
        <w:rPr>
          <w:rFonts w:ascii="Times New Roman" w:hAnsi="Times New Roman" w:cs="Times New Roman"/>
          <w:noProof/>
          <w:sz w:val="24"/>
          <w:szCs w:val="24"/>
          <w:lang w:val="sq-AL"/>
        </w:rPr>
        <w:t>ë</w:t>
      </w:r>
      <w:r w:rsidR="003C37CC" w:rsidRPr="00641640">
        <w:rPr>
          <w:rFonts w:ascii="Times New Roman" w:hAnsi="Times New Roman" w:cs="Times New Roman"/>
          <w:noProof/>
          <w:sz w:val="24"/>
          <w:szCs w:val="24"/>
          <w:lang w:val="sq-AL"/>
        </w:rPr>
        <w:t xml:space="preserve"> tetor 2024 rezulton t</w:t>
      </w:r>
      <w:r w:rsidR="00B81F4F" w:rsidRPr="00641640">
        <w:rPr>
          <w:rFonts w:ascii="Times New Roman" w:hAnsi="Times New Roman" w:cs="Times New Roman"/>
          <w:noProof/>
          <w:sz w:val="24"/>
          <w:szCs w:val="24"/>
          <w:lang w:val="sq-AL"/>
        </w:rPr>
        <w:t>ë</w:t>
      </w:r>
      <w:r w:rsidR="003C37CC" w:rsidRPr="00641640">
        <w:rPr>
          <w:rFonts w:ascii="Times New Roman" w:hAnsi="Times New Roman" w:cs="Times New Roman"/>
          <w:noProof/>
          <w:sz w:val="24"/>
          <w:szCs w:val="24"/>
          <w:lang w:val="sq-AL"/>
        </w:rPr>
        <w:t xml:space="preserve"> jet</w:t>
      </w:r>
      <w:r w:rsidR="00B81F4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60.000. </w:t>
      </w:r>
      <w:r w:rsidR="00193FD4" w:rsidRPr="00641640">
        <w:rPr>
          <w:rFonts w:ascii="Times New Roman" w:hAnsi="Times New Roman" w:cs="Times New Roman"/>
          <w:noProof/>
          <w:sz w:val="24"/>
          <w:szCs w:val="24"/>
          <w:lang w:val="sq-AL"/>
        </w:rPr>
        <w:t xml:space="preserve">Gjithashtu, </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shtë </w:t>
      </w:r>
      <w:r w:rsidR="00193FD4" w:rsidRPr="00641640">
        <w:rPr>
          <w:rFonts w:ascii="Times New Roman" w:hAnsi="Times New Roman" w:cs="Times New Roman"/>
          <w:noProof/>
          <w:sz w:val="24"/>
          <w:szCs w:val="24"/>
          <w:lang w:val="sq-AL"/>
        </w:rPr>
        <w:t>rritur</w:t>
      </w:r>
      <w:r w:rsidRPr="00641640">
        <w:rPr>
          <w:rFonts w:ascii="Times New Roman" w:hAnsi="Times New Roman" w:cs="Times New Roman"/>
          <w:noProof/>
          <w:sz w:val="24"/>
          <w:szCs w:val="24"/>
          <w:lang w:val="sq-AL"/>
        </w:rPr>
        <w:t xml:space="preserve"> numri i institucioneve që përdorin sistemin për gjenerimin e listës së pagave, </w:t>
      </w:r>
      <w:r w:rsidR="00193FD4" w:rsidRPr="00641640">
        <w:rPr>
          <w:rFonts w:ascii="Times New Roman" w:hAnsi="Times New Roman" w:cs="Times New Roman"/>
          <w:noProof/>
          <w:sz w:val="24"/>
          <w:szCs w:val="24"/>
          <w:lang w:val="sq-AL"/>
        </w:rPr>
        <w:t>n</w:t>
      </w:r>
      <w:r w:rsidR="00B81F4F" w:rsidRPr="00641640">
        <w:rPr>
          <w:rFonts w:ascii="Times New Roman" w:hAnsi="Times New Roman" w:cs="Times New Roman"/>
          <w:noProof/>
          <w:sz w:val="24"/>
          <w:szCs w:val="24"/>
          <w:lang w:val="sq-AL"/>
        </w:rPr>
        <w:t>ë</w:t>
      </w:r>
      <w:r w:rsidR="00193FD4" w:rsidRPr="00641640">
        <w:rPr>
          <w:rFonts w:ascii="Times New Roman" w:hAnsi="Times New Roman" w:cs="Times New Roman"/>
          <w:noProof/>
          <w:sz w:val="24"/>
          <w:szCs w:val="24"/>
          <w:lang w:val="sq-AL"/>
        </w:rPr>
        <w:t xml:space="preserve"> nj</w:t>
      </w:r>
      <w:r w:rsidR="00B81F4F" w:rsidRPr="00641640">
        <w:rPr>
          <w:rFonts w:ascii="Times New Roman" w:hAnsi="Times New Roman" w:cs="Times New Roman"/>
          <w:noProof/>
          <w:sz w:val="24"/>
          <w:szCs w:val="24"/>
          <w:lang w:val="sq-AL"/>
        </w:rPr>
        <w:t>ë</w:t>
      </w:r>
      <w:r w:rsidR="00193FD4" w:rsidRPr="00641640">
        <w:rPr>
          <w:rFonts w:ascii="Times New Roman" w:hAnsi="Times New Roman" w:cs="Times New Roman"/>
          <w:noProof/>
          <w:sz w:val="24"/>
          <w:szCs w:val="24"/>
          <w:lang w:val="sq-AL"/>
        </w:rPr>
        <w:t xml:space="preserve"> proces q</w:t>
      </w:r>
      <w:r w:rsidR="00B81F4F" w:rsidRPr="00641640">
        <w:rPr>
          <w:rFonts w:ascii="Times New Roman" w:hAnsi="Times New Roman" w:cs="Times New Roman"/>
          <w:noProof/>
          <w:sz w:val="24"/>
          <w:szCs w:val="24"/>
          <w:lang w:val="sq-AL"/>
        </w:rPr>
        <w:t>ë</w:t>
      </w:r>
      <w:r w:rsidR="00193FD4" w:rsidRPr="00641640">
        <w:rPr>
          <w:rFonts w:ascii="Times New Roman" w:hAnsi="Times New Roman" w:cs="Times New Roman"/>
          <w:noProof/>
          <w:sz w:val="24"/>
          <w:szCs w:val="24"/>
          <w:lang w:val="sq-AL"/>
        </w:rPr>
        <w:t xml:space="preserve"> ka hasur n</w:t>
      </w:r>
      <w:r w:rsidR="00B81F4F" w:rsidRPr="00641640">
        <w:rPr>
          <w:rFonts w:ascii="Times New Roman" w:hAnsi="Times New Roman" w:cs="Times New Roman"/>
          <w:noProof/>
          <w:sz w:val="24"/>
          <w:szCs w:val="24"/>
          <w:lang w:val="sq-AL"/>
        </w:rPr>
        <w:t>ë</w:t>
      </w:r>
      <w:r w:rsidR="00193FD4" w:rsidRPr="00641640">
        <w:rPr>
          <w:rFonts w:ascii="Times New Roman" w:hAnsi="Times New Roman" w:cs="Times New Roman"/>
          <w:noProof/>
          <w:sz w:val="24"/>
          <w:szCs w:val="24"/>
          <w:lang w:val="sq-AL"/>
        </w:rPr>
        <w:t xml:space="preserve"> nj</w:t>
      </w:r>
      <w:r w:rsidR="00B81F4F" w:rsidRPr="00641640">
        <w:rPr>
          <w:rFonts w:ascii="Times New Roman" w:hAnsi="Times New Roman" w:cs="Times New Roman"/>
          <w:noProof/>
          <w:sz w:val="24"/>
          <w:szCs w:val="24"/>
          <w:lang w:val="sq-AL"/>
        </w:rPr>
        <w:t>ë</w:t>
      </w:r>
      <w:r w:rsidR="00193FD4" w:rsidRPr="00641640">
        <w:rPr>
          <w:rFonts w:ascii="Times New Roman" w:hAnsi="Times New Roman" w:cs="Times New Roman"/>
          <w:noProof/>
          <w:sz w:val="24"/>
          <w:szCs w:val="24"/>
          <w:lang w:val="sq-AL"/>
        </w:rPr>
        <w:t xml:space="preserve"> num</w:t>
      </w:r>
      <w:r w:rsidR="00B81F4F" w:rsidRPr="00641640">
        <w:rPr>
          <w:rFonts w:ascii="Times New Roman" w:hAnsi="Times New Roman" w:cs="Times New Roman"/>
          <w:noProof/>
          <w:sz w:val="24"/>
          <w:szCs w:val="24"/>
          <w:lang w:val="sq-AL"/>
        </w:rPr>
        <w:t>ë</w:t>
      </w:r>
      <w:r w:rsidR="00193FD4" w:rsidRPr="00641640">
        <w:rPr>
          <w:rFonts w:ascii="Times New Roman" w:hAnsi="Times New Roman" w:cs="Times New Roman"/>
          <w:noProof/>
          <w:sz w:val="24"/>
          <w:szCs w:val="24"/>
          <w:lang w:val="sq-AL"/>
        </w:rPr>
        <w:t>r sfidash gjat</w:t>
      </w:r>
      <w:r w:rsidR="00B81F4F" w:rsidRPr="00641640">
        <w:rPr>
          <w:rFonts w:ascii="Times New Roman" w:hAnsi="Times New Roman" w:cs="Times New Roman"/>
          <w:noProof/>
          <w:sz w:val="24"/>
          <w:szCs w:val="24"/>
          <w:lang w:val="sq-AL"/>
        </w:rPr>
        <w:t>ë</w:t>
      </w:r>
      <w:r w:rsidR="00193FD4" w:rsidRPr="00641640">
        <w:rPr>
          <w:rFonts w:ascii="Times New Roman" w:hAnsi="Times New Roman" w:cs="Times New Roman"/>
          <w:noProof/>
          <w:sz w:val="24"/>
          <w:szCs w:val="24"/>
          <w:lang w:val="sq-AL"/>
        </w:rPr>
        <w:t xml:space="preserve"> zbatimit.</w:t>
      </w:r>
      <w:r w:rsidRPr="00641640">
        <w:rPr>
          <w:rFonts w:ascii="Times New Roman" w:hAnsi="Times New Roman" w:cs="Times New Roman"/>
          <w:noProof/>
          <w:sz w:val="24"/>
          <w:szCs w:val="24"/>
          <w:lang w:val="sq-AL"/>
        </w:rPr>
        <w:t xml:space="preserve"> Aktualisht RQP po kalon në një proces modernizimi dhe shtimi funksionalitetesh për ta bërë </w:t>
      </w:r>
      <w:r w:rsidR="00193FD4" w:rsidRPr="00641640">
        <w:rPr>
          <w:rFonts w:ascii="Times New Roman" w:hAnsi="Times New Roman" w:cs="Times New Roman"/>
          <w:noProof/>
          <w:sz w:val="24"/>
          <w:szCs w:val="24"/>
          <w:lang w:val="sq-AL"/>
        </w:rPr>
        <w:t>p</w:t>
      </w:r>
      <w:r w:rsidR="00B81F4F" w:rsidRPr="00641640">
        <w:rPr>
          <w:rFonts w:ascii="Times New Roman" w:hAnsi="Times New Roman" w:cs="Times New Roman"/>
          <w:noProof/>
          <w:sz w:val="24"/>
          <w:szCs w:val="24"/>
          <w:lang w:val="sq-AL"/>
        </w:rPr>
        <w:t>ë</w:t>
      </w:r>
      <w:r w:rsidR="00193FD4" w:rsidRPr="00641640">
        <w:rPr>
          <w:rFonts w:ascii="Times New Roman" w:hAnsi="Times New Roman" w:cs="Times New Roman"/>
          <w:noProof/>
          <w:sz w:val="24"/>
          <w:szCs w:val="24"/>
          <w:lang w:val="sq-AL"/>
        </w:rPr>
        <w:t xml:space="preserve">rdorimin </w:t>
      </w:r>
      <w:r w:rsidRPr="00641640">
        <w:rPr>
          <w:rFonts w:ascii="Times New Roman" w:hAnsi="Times New Roman" w:cs="Times New Roman"/>
          <w:noProof/>
          <w:sz w:val="24"/>
          <w:szCs w:val="24"/>
          <w:lang w:val="sq-AL"/>
        </w:rPr>
        <w:t xml:space="preserve">më të thjeshtë dhe më </w:t>
      </w:r>
      <w:r w:rsidR="00193FD4" w:rsidRPr="00641640">
        <w:rPr>
          <w:rFonts w:ascii="Times New Roman" w:hAnsi="Times New Roman" w:cs="Times New Roman"/>
          <w:noProof/>
          <w:sz w:val="24"/>
          <w:szCs w:val="24"/>
          <w:lang w:val="sq-AL"/>
        </w:rPr>
        <w:t>efikas p</w:t>
      </w:r>
      <w:r w:rsidR="00B81F4F" w:rsidRPr="00641640">
        <w:rPr>
          <w:rFonts w:ascii="Times New Roman" w:hAnsi="Times New Roman" w:cs="Times New Roman"/>
          <w:noProof/>
          <w:sz w:val="24"/>
          <w:szCs w:val="24"/>
          <w:lang w:val="sq-AL"/>
        </w:rPr>
        <w:t>ë</w:t>
      </w:r>
      <w:r w:rsidR="00193FD4" w:rsidRPr="00641640">
        <w:rPr>
          <w:rFonts w:ascii="Times New Roman" w:hAnsi="Times New Roman" w:cs="Times New Roman"/>
          <w:noProof/>
          <w:sz w:val="24"/>
          <w:szCs w:val="24"/>
          <w:lang w:val="sq-AL"/>
        </w:rPr>
        <w:t>r p</w:t>
      </w:r>
      <w:r w:rsidR="00B81F4F" w:rsidRPr="00641640">
        <w:rPr>
          <w:rFonts w:ascii="Times New Roman" w:hAnsi="Times New Roman" w:cs="Times New Roman"/>
          <w:noProof/>
          <w:sz w:val="24"/>
          <w:szCs w:val="24"/>
          <w:lang w:val="sq-AL"/>
        </w:rPr>
        <w:t>ë</w:t>
      </w:r>
      <w:r w:rsidR="00193FD4" w:rsidRPr="00641640">
        <w:rPr>
          <w:rFonts w:ascii="Times New Roman" w:hAnsi="Times New Roman" w:cs="Times New Roman"/>
          <w:noProof/>
          <w:sz w:val="24"/>
          <w:szCs w:val="24"/>
          <w:lang w:val="sq-AL"/>
        </w:rPr>
        <w:t xml:space="preserve">rdoruesit </w:t>
      </w:r>
      <w:r w:rsidRPr="00641640">
        <w:rPr>
          <w:rFonts w:ascii="Times New Roman" w:hAnsi="Times New Roman" w:cs="Times New Roman"/>
          <w:noProof/>
          <w:sz w:val="24"/>
          <w:szCs w:val="24"/>
          <w:lang w:val="sq-AL"/>
        </w:rPr>
        <w:t xml:space="preserve">në </w:t>
      </w:r>
      <w:r w:rsidR="00193FD4" w:rsidRPr="00641640">
        <w:rPr>
          <w:rFonts w:ascii="Times New Roman" w:hAnsi="Times New Roman" w:cs="Times New Roman"/>
          <w:noProof/>
          <w:sz w:val="24"/>
          <w:szCs w:val="24"/>
          <w:lang w:val="sq-AL"/>
        </w:rPr>
        <w:t>menaxhimin e</w:t>
      </w:r>
      <w:r w:rsidRPr="00641640">
        <w:rPr>
          <w:rFonts w:ascii="Times New Roman" w:hAnsi="Times New Roman" w:cs="Times New Roman"/>
          <w:noProof/>
          <w:sz w:val="24"/>
          <w:szCs w:val="24"/>
          <w:lang w:val="sq-AL"/>
        </w:rPr>
        <w:t xml:space="preserve"> burime</w:t>
      </w:r>
      <w:r w:rsidR="00193FD4" w:rsidRPr="00641640">
        <w:rPr>
          <w:rFonts w:ascii="Times New Roman" w:hAnsi="Times New Roman" w:cs="Times New Roman"/>
          <w:noProof/>
          <w:sz w:val="24"/>
          <w:szCs w:val="24"/>
          <w:lang w:val="sq-AL"/>
        </w:rPr>
        <w:t>ve</w:t>
      </w:r>
      <w:r w:rsidRPr="00641640">
        <w:rPr>
          <w:rFonts w:ascii="Times New Roman" w:hAnsi="Times New Roman" w:cs="Times New Roman"/>
          <w:noProof/>
          <w:sz w:val="24"/>
          <w:szCs w:val="24"/>
          <w:lang w:val="sq-AL"/>
        </w:rPr>
        <w:t xml:space="preserve"> njerëzore.</w:t>
      </w:r>
    </w:p>
    <w:p w14:paraId="2FD994FF" w14:textId="5A2B2ABE" w:rsidR="00DF64D5" w:rsidRPr="00641640" w:rsidRDefault="008D289D"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Rritja e kapaciteteve të brendshme është një prioritet vijues i administratës publike. </w:t>
      </w:r>
      <w:r w:rsidR="00F078FC" w:rsidRPr="00641640">
        <w:rPr>
          <w:rFonts w:ascii="Times New Roman" w:hAnsi="Times New Roman" w:cs="Times New Roman"/>
          <w:noProof/>
          <w:sz w:val="24"/>
          <w:szCs w:val="24"/>
          <w:lang w:val="sq-AL"/>
        </w:rPr>
        <w:t>Me k</w:t>
      </w:r>
      <w:r w:rsidR="00DA55E2" w:rsidRPr="00641640">
        <w:rPr>
          <w:rFonts w:ascii="Times New Roman" w:hAnsi="Times New Roman" w:cs="Times New Roman"/>
          <w:noProof/>
          <w:sz w:val="24"/>
          <w:szCs w:val="24"/>
          <w:lang w:val="sq-AL"/>
        </w:rPr>
        <w:t>ë</w:t>
      </w:r>
      <w:r w:rsidR="00F078FC" w:rsidRPr="00641640">
        <w:rPr>
          <w:rFonts w:ascii="Times New Roman" w:hAnsi="Times New Roman" w:cs="Times New Roman"/>
          <w:noProof/>
          <w:sz w:val="24"/>
          <w:szCs w:val="24"/>
          <w:lang w:val="sq-AL"/>
        </w:rPr>
        <w:t>t</w:t>
      </w:r>
      <w:r w:rsidR="00DA55E2" w:rsidRPr="00641640">
        <w:rPr>
          <w:rFonts w:ascii="Times New Roman" w:hAnsi="Times New Roman" w:cs="Times New Roman"/>
          <w:noProof/>
          <w:sz w:val="24"/>
          <w:szCs w:val="24"/>
          <w:lang w:val="sq-AL"/>
        </w:rPr>
        <w:t>ë</w:t>
      </w:r>
      <w:r w:rsidR="00F078FC" w:rsidRPr="00641640">
        <w:rPr>
          <w:rFonts w:ascii="Times New Roman" w:hAnsi="Times New Roman" w:cs="Times New Roman"/>
          <w:noProof/>
          <w:sz w:val="24"/>
          <w:szCs w:val="24"/>
          <w:lang w:val="sq-AL"/>
        </w:rPr>
        <w:t xml:space="preserve"> synim, p</w:t>
      </w:r>
      <w:r w:rsidR="00B81F4F" w:rsidRPr="00641640">
        <w:rPr>
          <w:rFonts w:ascii="Times New Roman" w:hAnsi="Times New Roman" w:cs="Times New Roman"/>
          <w:noProof/>
          <w:sz w:val="24"/>
          <w:szCs w:val="24"/>
          <w:lang w:val="sq-AL"/>
        </w:rPr>
        <w:t>ë</w:t>
      </w:r>
      <w:r w:rsidR="00C3062A" w:rsidRPr="00641640">
        <w:rPr>
          <w:rFonts w:ascii="Times New Roman" w:hAnsi="Times New Roman" w:cs="Times New Roman"/>
          <w:noProof/>
          <w:sz w:val="24"/>
          <w:szCs w:val="24"/>
          <w:lang w:val="sq-AL"/>
        </w:rPr>
        <w:t>rg</w:t>
      </w:r>
      <w:r w:rsidR="0015076E" w:rsidRPr="00641640">
        <w:rPr>
          <w:rFonts w:ascii="Times New Roman" w:hAnsi="Times New Roman" w:cs="Times New Roman"/>
          <w:noProof/>
          <w:sz w:val="24"/>
          <w:szCs w:val="24"/>
          <w:lang w:val="sq-AL"/>
        </w:rPr>
        <w:t xml:space="preserve">jatë viteve të fundit janë zbatuar </w:t>
      </w:r>
      <w:r w:rsidR="00C3062A" w:rsidRPr="00641640">
        <w:rPr>
          <w:rFonts w:ascii="Times New Roman" w:hAnsi="Times New Roman" w:cs="Times New Roman"/>
          <w:noProof/>
          <w:sz w:val="24"/>
          <w:szCs w:val="24"/>
          <w:lang w:val="sq-AL"/>
        </w:rPr>
        <w:t>nj</w:t>
      </w:r>
      <w:r w:rsidR="00B81F4F" w:rsidRPr="00641640">
        <w:rPr>
          <w:rFonts w:ascii="Times New Roman" w:hAnsi="Times New Roman" w:cs="Times New Roman"/>
          <w:noProof/>
          <w:sz w:val="24"/>
          <w:szCs w:val="24"/>
          <w:lang w:val="sq-AL"/>
        </w:rPr>
        <w:t>ë</w:t>
      </w:r>
      <w:r w:rsidR="00C3062A" w:rsidRPr="00641640">
        <w:rPr>
          <w:rFonts w:ascii="Times New Roman" w:hAnsi="Times New Roman" w:cs="Times New Roman"/>
          <w:noProof/>
          <w:sz w:val="24"/>
          <w:szCs w:val="24"/>
          <w:lang w:val="sq-AL"/>
        </w:rPr>
        <w:t xml:space="preserve"> seri </w:t>
      </w:r>
      <w:r w:rsidR="0015076E" w:rsidRPr="00641640">
        <w:rPr>
          <w:rFonts w:ascii="Times New Roman" w:hAnsi="Times New Roman" w:cs="Times New Roman"/>
          <w:noProof/>
          <w:sz w:val="24"/>
          <w:szCs w:val="24"/>
          <w:lang w:val="sq-AL"/>
        </w:rPr>
        <w:t>programe</w:t>
      </w:r>
      <w:r w:rsidR="00C3062A" w:rsidRPr="00641640">
        <w:rPr>
          <w:rFonts w:ascii="Times New Roman" w:hAnsi="Times New Roman" w:cs="Times New Roman"/>
          <w:noProof/>
          <w:sz w:val="24"/>
          <w:szCs w:val="24"/>
          <w:lang w:val="sq-AL"/>
        </w:rPr>
        <w:t>sh</w:t>
      </w:r>
      <w:r w:rsidR="0015076E" w:rsidRPr="00641640">
        <w:rPr>
          <w:rFonts w:ascii="Times New Roman" w:hAnsi="Times New Roman" w:cs="Times New Roman"/>
          <w:noProof/>
          <w:sz w:val="24"/>
          <w:szCs w:val="24"/>
          <w:lang w:val="sq-AL"/>
        </w:rPr>
        <w:t xml:space="preserve"> </w:t>
      </w:r>
      <w:r w:rsidR="00C3062A" w:rsidRPr="00641640">
        <w:rPr>
          <w:rFonts w:ascii="Times New Roman" w:hAnsi="Times New Roman" w:cs="Times New Roman"/>
          <w:noProof/>
          <w:sz w:val="24"/>
          <w:szCs w:val="24"/>
          <w:lang w:val="sq-AL"/>
        </w:rPr>
        <w:t>me synim</w:t>
      </w:r>
      <w:r w:rsidR="0015076E" w:rsidRPr="00641640">
        <w:rPr>
          <w:rFonts w:ascii="Times New Roman" w:hAnsi="Times New Roman" w:cs="Times New Roman"/>
          <w:noProof/>
          <w:sz w:val="24"/>
          <w:szCs w:val="24"/>
          <w:lang w:val="sq-AL"/>
        </w:rPr>
        <w:t xml:space="preserve"> tërheqjen e </w:t>
      </w:r>
      <w:r w:rsidR="00C3062A" w:rsidRPr="00641640">
        <w:rPr>
          <w:rFonts w:ascii="Times New Roman" w:hAnsi="Times New Roman" w:cs="Times New Roman"/>
          <w:noProof/>
          <w:sz w:val="24"/>
          <w:szCs w:val="24"/>
          <w:lang w:val="sq-AL"/>
        </w:rPr>
        <w:t>talenteve t</w:t>
      </w:r>
      <w:r w:rsidR="00B81F4F" w:rsidRPr="00641640">
        <w:rPr>
          <w:rFonts w:ascii="Times New Roman" w:hAnsi="Times New Roman" w:cs="Times New Roman"/>
          <w:noProof/>
          <w:sz w:val="24"/>
          <w:szCs w:val="24"/>
          <w:lang w:val="sq-AL"/>
        </w:rPr>
        <w:t>ë</w:t>
      </w:r>
      <w:r w:rsidR="00C3062A" w:rsidRPr="00641640">
        <w:rPr>
          <w:rFonts w:ascii="Times New Roman" w:hAnsi="Times New Roman" w:cs="Times New Roman"/>
          <w:noProof/>
          <w:sz w:val="24"/>
          <w:szCs w:val="24"/>
          <w:lang w:val="sq-AL"/>
        </w:rPr>
        <w:t xml:space="preserve"> reja</w:t>
      </w:r>
      <w:r w:rsidR="0015076E" w:rsidRPr="00641640">
        <w:rPr>
          <w:rFonts w:ascii="Times New Roman" w:hAnsi="Times New Roman" w:cs="Times New Roman"/>
          <w:noProof/>
          <w:sz w:val="24"/>
          <w:szCs w:val="24"/>
          <w:lang w:val="sq-AL"/>
        </w:rPr>
        <w:t xml:space="preserve"> në administratë</w:t>
      </w:r>
      <w:r w:rsidR="00C3062A" w:rsidRPr="00641640">
        <w:rPr>
          <w:rFonts w:ascii="Times New Roman" w:hAnsi="Times New Roman" w:cs="Times New Roman"/>
          <w:noProof/>
          <w:sz w:val="24"/>
          <w:szCs w:val="24"/>
          <w:lang w:val="sq-AL"/>
        </w:rPr>
        <w:t>, si dhe</w:t>
      </w:r>
      <w:r w:rsidR="0015076E" w:rsidRPr="00641640">
        <w:rPr>
          <w:rFonts w:ascii="Times New Roman" w:hAnsi="Times New Roman" w:cs="Times New Roman"/>
          <w:noProof/>
          <w:sz w:val="24"/>
          <w:szCs w:val="24"/>
          <w:lang w:val="sq-AL"/>
        </w:rPr>
        <w:t xml:space="preserve"> mbajtjen dhe zhvillimin e mëtejshëm të </w:t>
      </w:r>
      <w:r w:rsidR="00C3062A" w:rsidRPr="00641640">
        <w:rPr>
          <w:rFonts w:ascii="Times New Roman" w:hAnsi="Times New Roman" w:cs="Times New Roman"/>
          <w:noProof/>
          <w:sz w:val="24"/>
          <w:szCs w:val="24"/>
          <w:lang w:val="sq-AL"/>
        </w:rPr>
        <w:t>burimeve</w:t>
      </w:r>
      <w:r w:rsidR="0015076E" w:rsidRPr="00641640">
        <w:rPr>
          <w:rFonts w:ascii="Times New Roman" w:hAnsi="Times New Roman" w:cs="Times New Roman"/>
          <w:noProof/>
          <w:sz w:val="24"/>
          <w:szCs w:val="24"/>
          <w:lang w:val="sq-AL"/>
        </w:rPr>
        <w:t xml:space="preserve"> </w:t>
      </w:r>
      <w:r w:rsidR="00C3062A" w:rsidRPr="00641640">
        <w:rPr>
          <w:rFonts w:ascii="Times New Roman" w:hAnsi="Times New Roman" w:cs="Times New Roman"/>
          <w:noProof/>
          <w:sz w:val="24"/>
          <w:szCs w:val="24"/>
          <w:lang w:val="sq-AL"/>
        </w:rPr>
        <w:t>njer</w:t>
      </w:r>
      <w:r w:rsidR="00B81F4F" w:rsidRPr="00641640">
        <w:rPr>
          <w:rFonts w:ascii="Times New Roman" w:hAnsi="Times New Roman" w:cs="Times New Roman"/>
          <w:noProof/>
          <w:sz w:val="24"/>
          <w:szCs w:val="24"/>
          <w:lang w:val="sq-AL"/>
        </w:rPr>
        <w:t>ë</w:t>
      </w:r>
      <w:r w:rsidR="00C3062A" w:rsidRPr="00641640">
        <w:rPr>
          <w:rFonts w:ascii="Times New Roman" w:hAnsi="Times New Roman" w:cs="Times New Roman"/>
          <w:noProof/>
          <w:sz w:val="24"/>
          <w:szCs w:val="24"/>
          <w:lang w:val="sq-AL"/>
        </w:rPr>
        <w:t xml:space="preserve">zore </w:t>
      </w:r>
      <w:r w:rsidR="0015076E" w:rsidRPr="00641640">
        <w:rPr>
          <w:rFonts w:ascii="Times New Roman" w:hAnsi="Times New Roman" w:cs="Times New Roman"/>
          <w:noProof/>
          <w:sz w:val="24"/>
          <w:szCs w:val="24"/>
          <w:lang w:val="sq-AL"/>
        </w:rPr>
        <w:t>ekzistuese</w:t>
      </w:r>
      <w:r w:rsidR="003E4C0C" w:rsidRPr="00641640">
        <w:rPr>
          <w:rFonts w:ascii="Times New Roman" w:hAnsi="Times New Roman" w:cs="Times New Roman"/>
          <w:noProof/>
          <w:sz w:val="24"/>
          <w:szCs w:val="24"/>
          <w:lang w:val="sq-AL"/>
        </w:rPr>
        <w:t xml:space="preserve">, </w:t>
      </w:r>
      <w:r w:rsidR="00C3062A" w:rsidRPr="00641640">
        <w:rPr>
          <w:rFonts w:ascii="Times New Roman" w:hAnsi="Times New Roman" w:cs="Times New Roman"/>
          <w:noProof/>
          <w:sz w:val="24"/>
          <w:szCs w:val="24"/>
          <w:lang w:val="sq-AL"/>
        </w:rPr>
        <w:t>mes t</w:t>
      </w:r>
      <w:r w:rsidR="00B81F4F" w:rsidRPr="00641640">
        <w:rPr>
          <w:rFonts w:ascii="Times New Roman" w:hAnsi="Times New Roman" w:cs="Times New Roman"/>
          <w:noProof/>
          <w:sz w:val="24"/>
          <w:szCs w:val="24"/>
          <w:lang w:val="sq-AL"/>
        </w:rPr>
        <w:t>ë</w:t>
      </w:r>
      <w:r w:rsidR="00C3062A" w:rsidRPr="00641640">
        <w:rPr>
          <w:rFonts w:ascii="Times New Roman" w:hAnsi="Times New Roman" w:cs="Times New Roman"/>
          <w:noProof/>
          <w:sz w:val="24"/>
          <w:szCs w:val="24"/>
          <w:lang w:val="sq-AL"/>
        </w:rPr>
        <w:t xml:space="preserve"> cilave</w:t>
      </w:r>
      <w:r w:rsidR="00193FD4" w:rsidRPr="00641640">
        <w:rPr>
          <w:rFonts w:ascii="Times New Roman" w:hAnsi="Times New Roman" w:cs="Times New Roman"/>
          <w:noProof/>
          <w:sz w:val="24"/>
          <w:szCs w:val="24"/>
          <w:lang w:val="sq-AL"/>
        </w:rPr>
        <w:t xml:space="preserve"> edhe</w:t>
      </w:r>
      <w:r w:rsidR="0015076E" w:rsidRPr="00641640">
        <w:rPr>
          <w:rFonts w:ascii="Times New Roman" w:hAnsi="Times New Roman" w:cs="Times New Roman"/>
          <w:noProof/>
          <w:sz w:val="24"/>
          <w:szCs w:val="24"/>
          <w:lang w:val="sq-AL"/>
        </w:rPr>
        <w:t xml:space="preserve"> </w:t>
      </w:r>
      <w:r w:rsidR="00447F02" w:rsidRPr="00641640">
        <w:rPr>
          <w:rFonts w:ascii="Times New Roman" w:hAnsi="Times New Roman" w:cs="Times New Roman"/>
          <w:noProof/>
          <w:sz w:val="24"/>
          <w:szCs w:val="24"/>
          <w:lang w:val="sq-AL"/>
        </w:rPr>
        <w:t>programi</w:t>
      </w:r>
      <w:r w:rsidR="00447F02" w:rsidRPr="00641640">
        <w:rPr>
          <w:rFonts w:ascii="Times New Roman" w:hAnsi="Times New Roman" w:cs="Times New Roman"/>
          <w:i/>
          <w:noProof/>
          <w:sz w:val="24"/>
          <w:szCs w:val="24"/>
          <w:lang w:val="sq-AL"/>
        </w:rPr>
        <w:t xml:space="preserve"> “</w:t>
      </w:r>
      <w:r w:rsidR="0015076E" w:rsidRPr="00641640">
        <w:rPr>
          <w:rFonts w:ascii="Times New Roman" w:hAnsi="Times New Roman" w:cs="Times New Roman"/>
          <w:i/>
          <w:noProof/>
          <w:sz w:val="24"/>
          <w:szCs w:val="24"/>
          <w:lang w:val="sq-AL"/>
        </w:rPr>
        <w:t>Administrata që duam</w:t>
      </w:r>
      <w:r w:rsidR="00B37C64" w:rsidRPr="00641640">
        <w:rPr>
          <w:rFonts w:ascii="Times New Roman" w:hAnsi="Times New Roman" w:cs="Times New Roman"/>
          <w:i/>
          <w:noProof/>
          <w:sz w:val="24"/>
          <w:szCs w:val="24"/>
          <w:lang w:val="sq-AL"/>
        </w:rPr>
        <w:t>”</w:t>
      </w:r>
      <w:r w:rsidR="00B37C64" w:rsidRPr="00641640">
        <w:rPr>
          <w:rFonts w:ascii="Times New Roman" w:hAnsi="Times New Roman" w:cs="Times New Roman"/>
          <w:noProof/>
          <w:sz w:val="24"/>
          <w:szCs w:val="24"/>
          <w:lang w:val="sq-AL"/>
        </w:rPr>
        <w:t xml:space="preserve">, </w:t>
      </w:r>
      <w:r w:rsidR="00C3062A" w:rsidRPr="00641640">
        <w:rPr>
          <w:rFonts w:ascii="Times New Roman" w:hAnsi="Times New Roman" w:cs="Times New Roman"/>
          <w:noProof/>
          <w:sz w:val="24"/>
          <w:szCs w:val="24"/>
          <w:lang w:val="sq-AL"/>
        </w:rPr>
        <w:t>P</w:t>
      </w:r>
      <w:r w:rsidR="00B37C64" w:rsidRPr="00641640">
        <w:rPr>
          <w:rFonts w:ascii="Times New Roman" w:hAnsi="Times New Roman" w:cs="Times New Roman"/>
          <w:noProof/>
          <w:sz w:val="24"/>
          <w:szCs w:val="24"/>
          <w:lang w:val="sq-AL"/>
        </w:rPr>
        <w:t xml:space="preserve">rogrami i </w:t>
      </w:r>
      <w:r w:rsidR="00C3062A" w:rsidRPr="00641640">
        <w:rPr>
          <w:rFonts w:ascii="Times New Roman" w:hAnsi="Times New Roman" w:cs="Times New Roman"/>
          <w:noProof/>
          <w:sz w:val="24"/>
          <w:szCs w:val="24"/>
          <w:lang w:val="sq-AL"/>
        </w:rPr>
        <w:t>E</w:t>
      </w:r>
      <w:r w:rsidR="00B37C64" w:rsidRPr="00641640">
        <w:rPr>
          <w:rFonts w:ascii="Times New Roman" w:hAnsi="Times New Roman" w:cs="Times New Roman"/>
          <w:noProof/>
          <w:sz w:val="24"/>
          <w:szCs w:val="24"/>
          <w:lang w:val="sq-AL"/>
        </w:rPr>
        <w:t>kselencës në administratë</w:t>
      </w:r>
      <w:r w:rsidR="00E63A0E" w:rsidRPr="00641640">
        <w:rPr>
          <w:rStyle w:val="FootnoteReference"/>
          <w:rFonts w:ascii="Times New Roman" w:hAnsi="Times New Roman" w:cs="Times New Roman"/>
          <w:noProof/>
          <w:sz w:val="24"/>
          <w:szCs w:val="24"/>
          <w:lang w:val="sq-AL"/>
        </w:rPr>
        <w:footnoteReference w:id="47"/>
      </w:r>
      <w:r w:rsidR="00B37C64" w:rsidRPr="00641640">
        <w:rPr>
          <w:rFonts w:ascii="Times New Roman" w:hAnsi="Times New Roman" w:cs="Times New Roman"/>
          <w:noProof/>
          <w:sz w:val="24"/>
          <w:szCs w:val="24"/>
          <w:lang w:val="sq-AL"/>
        </w:rPr>
        <w:t xml:space="preserve"> dhe programi </w:t>
      </w:r>
      <w:r w:rsidR="00A62347" w:rsidRPr="00641640">
        <w:rPr>
          <w:rFonts w:ascii="Times New Roman" w:hAnsi="Times New Roman" w:cs="Times New Roman"/>
          <w:i/>
          <w:noProof/>
          <w:sz w:val="24"/>
          <w:szCs w:val="24"/>
          <w:lang w:val="sq-AL"/>
        </w:rPr>
        <w:t>“Qelizat e Reja/Young Cells”</w:t>
      </w:r>
      <w:r w:rsidR="00A62347" w:rsidRPr="00641640">
        <w:rPr>
          <w:rFonts w:ascii="Times New Roman" w:hAnsi="Times New Roman" w:cs="Times New Roman"/>
          <w:noProof/>
          <w:sz w:val="24"/>
          <w:szCs w:val="24"/>
          <w:lang w:val="sq-AL"/>
        </w:rPr>
        <w:t>.</w:t>
      </w:r>
      <w:r w:rsidR="00DF64D5" w:rsidRPr="00641640">
        <w:rPr>
          <w:rFonts w:ascii="Times New Roman" w:hAnsi="Times New Roman" w:cs="Times New Roman"/>
          <w:noProof/>
          <w:sz w:val="24"/>
          <w:szCs w:val="24"/>
          <w:lang w:val="sq-AL"/>
        </w:rPr>
        <w:t xml:space="preserve"> </w:t>
      </w:r>
    </w:p>
    <w:p w14:paraId="444D7D6C" w14:textId="3F13F492" w:rsidR="00A62347" w:rsidRPr="00641640" w:rsidRDefault="00F362EB"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w:t>
      </w:r>
      <w:r w:rsidR="00A62347" w:rsidRPr="00641640">
        <w:rPr>
          <w:rFonts w:ascii="Times New Roman" w:hAnsi="Times New Roman" w:cs="Times New Roman"/>
          <w:noProof/>
          <w:sz w:val="24"/>
          <w:szCs w:val="24"/>
          <w:lang w:val="sq-AL"/>
        </w:rPr>
        <w:t>aralel</w:t>
      </w:r>
      <w:r w:rsidRPr="00641640">
        <w:rPr>
          <w:rFonts w:ascii="Times New Roman" w:hAnsi="Times New Roman" w:cs="Times New Roman"/>
          <w:noProof/>
          <w:sz w:val="24"/>
          <w:szCs w:val="24"/>
          <w:lang w:val="sq-AL"/>
        </w:rPr>
        <w:t xml:space="preserve">isht </w:t>
      </w:r>
      <w:r w:rsidR="00DD5F31" w:rsidRPr="00641640">
        <w:rPr>
          <w:rFonts w:ascii="Times New Roman" w:hAnsi="Times New Roman" w:cs="Times New Roman"/>
          <w:noProof/>
          <w:sz w:val="24"/>
          <w:szCs w:val="24"/>
          <w:lang w:val="sq-AL"/>
        </w:rPr>
        <w:t xml:space="preserve">ka vijuar zhvillimi i </w:t>
      </w:r>
      <w:r w:rsidR="00A62347" w:rsidRPr="00641640">
        <w:rPr>
          <w:rFonts w:ascii="Times New Roman" w:hAnsi="Times New Roman" w:cs="Times New Roman"/>
          <w:noProof/>
          <w:sz w:val="24"/>
          <w:szCs w:val="24"/>
          <w:lang w:val="sq-AL"/>
        </w:rPr>
        <w:t>programe</w:t>
      </w:r>
      <w:r w:rsidR="00DD5F31" w:rsidRPr="00641640">
        <w:rPr>
          <w:rFonts w:ascii="Times New Roman" w:hAnsi="Times New Roman" w:cs="Times New Roman"/>
          <w:noProof/>
          <w:sz w:val="24"/>
          <w:szCs w:val="24"/>
          <w:lang w:val="sq-AL"/>
        </w:rPr>
        <w:t>ve</w:t>
      </w:r>
      <w:r w:rsidR="00A62347" w:rsidRPr="00641640">
        <w:rPr>
          <w:rFonts w:ascii="Times New Roman" w:hAnsi="Times New Roman" w:cs="Times New Roman"/>
          <w:noProof/>
          <w:sz w:val="24"/>
          <w:szCs w:val="24"/>
          <w:lang w:val="sq-AL"/>
        </w:rPr>
        <w:t xml:space="preserve"> </w:t>
      </w:r>
      <w:r w:rsidR="00DD5F31" w:rsidRPr="00641640">
        <w:rPr>
          <w:rFonts w:ascii="Times New Roman" w:hAnsi="Times New Roman" w:cs="Times New Roman"/>
          <w:noProof/>
          <w:sz w:val="24"/>
          <w:szCs w:val="24"/>
          <w:lang w:val="sq-AL"/>
        </w:rPr>
        <w:t>t</w:t>
      </w:r>
      <w:r w:rsidR="00DB4DF5" w:rsidRPr="00641640">
        <w:rPr>
          <w:rFonts w:ascii="Times New Roman" w:hAnsi="Times New Roman" w:cs="Times New Roman"/>
          <w:noProof/>
          <w:sz w:val="24"/>
          <w:szCs w:val="24"/>
          <w:lang w:val="sq-AL"/>
        </w:rPr>
        <w:t>ë</w:t>
      </w:r>
      <w:r w:rsidR="00DD5F31" w:rsidRPr="00641640">
        <w:rPr>
          <w:rFonts w:ascii="Times New Roman" w:hAnsi="Times New Roman" w:cs="Times New Roman"/>
          <w:noProof/>
          <w:sz w:val="24"/>
          <w:szCs w:val="24"/>
          <w:lang w:val="sq-AL"/>
        </w:rPr>
        <w:t xml:space="preserve"> </w:t>
      </w:r>
      <w:r w:rsidR="00A62347" w:rsidRPr="00641640">
        <w:rPr>
          <w:rFonts w:ascii="Times New Roman" w:hAnsi="Times New Roman" w:cs="Times New Roman"/>
          <w:noProof/>
          <w:sz w:val="24"/>
          <w:szCs w:val="24"/>
          <w:lang w:val="sq-AL"/>
        </w:rPr>
        <w:t>trajnimi</w:t>
      </w:r>
      <w:r w:rsidR="00DD5F31" w:rsidRPr="00641640">
        <w:rPr>
          <w:rFonts w:ascii="Times New Roman" w:hAnsi="Times New Roman" w:cs="Times New Roman"/>
          <w:noProof/>
          <w:sz w:val="24"/>
          <w:szCs w:val="24"/>
          <w:lang w:val="sq-AL"/>
        </w:rPr>
        <w:t>t</w:t>
      </w:r>
      <w:r w:rsidR="00A62347"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p</w:t>
      </w:r>
      <w:r w:rsidR="007F00F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 </w:t>
      </w:r>
      <w:r w:rsidR="00A62347" w:rsidRPr="00641640">
        <w:rPr>
          <w:rFonts w:ascii="Times New Roman" w:hAnsi="Times New Roman" w:cs="Times New Roman"/>
          <w:noProof/>
          <w:sz w:val="24"/>
          <w:szCs w:val="24"/>
          <w:lang w:val="sq-AL"/>
        </w:rPr>
        <w:t>hyr</w:t>
      </w:r>
      <w:r w:rsidRPr="00641640">
        <w:rPr>
          <w:rFonts w:ascii="Times New Roman" w:hAnsi="Times New Roman" w:cs="Times New Roman"/>
          <w:noProof/>
          <w:sz w:val="24"/>
          <w:szCs w:val="24"/>
          <w:lang w:val="sq-AL"/>
        </w:rPr>
        <w:t>jen</w:t>
      </w:r>
      <w:r w:rsidR="00A62347" w:rsidRPr="00641640">
        <w:rPr>
          <w:rFonts w:ascii="Times New Roman" w:hAnsi="Times New Roman" w:cs="Times New Roman"/>
          <w:noProof/>
          <w:sz w:val="24"/>
          <w:szCs w:val="24"/>
          <w:lang w:val="sq-AL"/>
        </w:rPr>
        <w:t xml:space="preserve"> në administratë</w:t>
      </w:r>
      <w:r w:rsidRPr="00641640">
        <w:rPr>
          <w:rFonts w:ascii="Times New Roman" w:hAnsi="Times New Roman" w:cs="Times New Roman"/>
          <w:noProof/>
          <w:sz w:val="24"/>
          <w:szCs w:val="24"/>
          <w:lang w:val="sq-AL"/>
        </w:rPr>
        <w:t>,</w:t>
      </w:r>
      <w:r w:rsidR="00DD5F31" w:rsidRPr="00641640">
        <w:rPr>
          <w:rFonts w:ascii="Times New Roman" w:hAnsi="Times New Roman" w:cs="Times New Roman"/>
          <w:noProof/>
          <w:sz w:val="24"/>
          <w:szCs w:val="24"/>
          <w:lang w:val="sq-AL"/>
        </w:rPr>
        <w:t xml:space="preserve"> si dhe </w:t>
      </w:r>
      <w:r w:rsidR="00A62347" w:rsidRPr="00641640">
        <w:rPr>
          <w:rFonts w:ascii="Times New Roman" w:hAnsi="Times New Roman" w:cs="Times New Roman"/>
          <w:noProof/>
          <w:sz w:val="24"/>
          <w:szCs w:val="24"/>
          <w:lang w:val="sq-AL"/>
        </w:rPr>
        <w:t>programe</w:t>
      </w:r>
      <w:r w:rsidRPr="00641640">
        <w:rPr>
          <w:rFonts w:ascii="Times New Roman" w:hAnsi="Times New Roman" w:cs="Times New Roman"/>
          <w:noProof/>
          <w:sz w:val="24"/>
          <w:szCs w:val="24"/>
          <w:lang w:val="sq-AL"/>
        </w:rPr>
        <w:t xml:space="preserve"> </w:t>
      </w:r>
      <w:r w:rsidR="00DD5F31" w:rsidRPr="00641640">
        <w:rPr>
          <w:rFonts w:ascii="Times New Roman" w:hAnsi="Times New Roman" w:cs="Times New Roman"/>
          <w:noProof/>
          <w:sz w:val="24"/>
          <w:szCs w:val="24"/>
          <w:lang w:val="sq-AL"/>
        </w:rPr>
        <w:t>t</w:t>
      </w:r>
      <w:r w:rsidR="00DB4DF5" w:rsidRPr="00641640">
        <w:rPr>
          <w:rFonts w:ascii="Times New Roman" w:hAnsi="Times New Roman" w:cs="Times New Roman"/>
          <w:noProof/>
          <w:sz w:val="24"/>
          <w:szCs w:val="24"/>
          <w:lang w:val="sq-AL"/>
        </w:rPr>
        <w:t>ë</w:t>
      </w:r>
      <w:r w:rsidR="00DD5F31" w:rsidRPr="00641640">
        <w:rPr>
          <w:rFonts w:ascii="Times New Roman" w:hAnsi="Times New Roman" w:cs="Times New Roman"/>
          <w:noProof/>
          <w:sz w:val="24"/>
          <w:szCs w:val="24"/>
          <w:lang w:val="sq-AL"/>
        </w:rPr>
        <w:t xml:space="preserve"> tjera </w:t>
      </w:r>
      <w:r w:rsidRPr="00641640">
        <w:rPr>
          <w:rFonts w:ascii="Times New Roman" w:hAnsi="Times New Roman" w:cs="Times New Roman"/>
          <w:noProof/>
          <w:sz w:val="24"/>
          <w:szCs w:val="24"/>
          <w:lang w:val="sq-AL"/>
        </w:rPr>
        <w:t>t</w:t>
      </w:r>
      <w:r w:rsidR="00A62347" w:rsidRPr="00641640">
        <w:rPr>
          <w:rFonts w:ascii="Times New Roman" w:hAnsi="Times New Roman" w:cs="Times New Roman"/>
          <w:noProof/>
          <w:sz w:val="24"/>
          <w:szCs w:val="24"/>
          <w:lang w:val="sq-AL"/>
        </w:rPr>
        <w:t>rajnimi</w:t>
      </w:r>
      <w:r w:rsidRPr="00641640">
        <w:rPr>
          <w:rFonts w:ascii="Times New Roman" w:hAnsi="Times New Roman" w:cs="Times New Roman"/>
          <w:noProof/>
          <w:sz w:val="24"/>
          <w:szCs w:val="24"/>
          <w:lang w:val="sq-AL"/>
        </w:rPr>
        <w:t xml:space="preserve"> </w:t>
      </w:r>
      <w:r w:rsidR="00A62347" w:rsidRPr="00641640">
        <w:rPr>
          <w:rFonts w:ascii="Times New Roman" w:hAnsi="Times New Roman" w:cs="Times New Roman"/>
          <w:noProof/>
          <w:sz w:val="24"/>
          <w:szCs w:val="24"/>
          <w:lang w:val="sq-AL"/>
        </w:rPr>
        <w:t xml:space="preserve">sipas kërkesave të institucioneve dhe </w:t>
      </w:r>
      <w:r w:rsidR="00DD5F31" w:rsidRPr="00641640">
        <w:rPr>
          <w:rFonts w:ascii="Times New Roman" w:hAnsi="Times New Roman" w:cs="Times New Roman"/>
          <w:noProof/>
          <w:sz w:val="24"/>
          <w:szCs w:val="24"/>
          <w:lang w:val="sq-AL"/>
        </w:rPr>
        <w:t>bazuar n</w:t>
      </w:r>
      <w:r w:rsidR="00DB4DF5" w:rsidRPr="00641640">
        <w:rPr>
          <w:rFonts w:ascii="Times New Roman" w:hAnsi="Times New Roman" w:cs="Times New Roman"/>
          <w:noProof/>
          <w:sz w:val="24"/>
          <w:szCs w:val="24"/>
          <w:lang w:val="sq-AL"/>
        </w:rPr>
        <w:t>ë</w:t>
      </w:r>
      <w:r w:rsidR="00DD5F31"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rezultate</w:t>
      </w:r>
      <w:r w:rsidR="00DD5F31" w:rsidRPr="00641640">
        <w:rPr>
          <w:rFonts w:ascii="Times New Roman" w:hAnsi="Times New Roman" w:cs="Times New Roman"/>
          <w:noProof/>
          <w:sz w:val="24"/>
          <w:szCs w:val="24"/>
          <w:lang w:val="sq-AL"/>
        </w:rPr>
        <w:t>t e</w:t>
      </w:r>
      <w:r w:rsidRPr="00641640">
        <w:rPr>
          <w:rFonts w:ascii="Times New Roman" w:hAnsi="Times New Roman" w:cs="Times New Roman"/>
          <w:noProof/>
          <w:sz w:val="24"/>
          <w:szCs w:val="24"/>
          <w:lang w:val="sq-AL"/>
        </w:rPr>
        <w:t xml:space="preserve"> </w:t>
      </w:r>
      <w:r w:rsidR="00A62347" w:rsidRPr="00641640">
        <w:rPr>
          <w:rFonts w:ascii="Times New Roman" w:hAnsi="Times New Roman" w:cs="Times New Roman"/>
          <w:noProof/>
          <w:sz w:val="24"/>
          <w:szCs w:val="24"/>
          <w:lang w:val="sq-AL"/>
        </w:rPr>
        <w:t>Vlerësimit të Nevojave për Trajnim</w:t>
      </w:r>
      <w:r w:rsidR="00DD5F31"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t</w:t>
      </w:r>
      <w:r w:rsidR="007F00FB"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referuara</w:t>
      </w:r>
      <w:r w:rsidR="00A62347" w:rsidRPr="00641640">
        <w:rPr>
          <w:rFonts w:ascii="Times New Roman" w:hAnsi="Times New Roman" w:cs="Times New Roman"/>
          <w:noProof/>
          <w:sz w:val="24"/>
          <w:szCs w:val="24"/>
          <w:lang w:val="sq-AL"/>
        </w:rPr>
        <w:t xml:space="preserve"> nga Shkolla Shqiptare e Administratës Publike (ASPA)</w:t>
      </w:r>
      <w:r w:rsidRPr="00641640">
        <w:rPr>
          <w:rFonts w:ascii="Times New Roman" w:hAnsi="Times New Roman" w:cs="Times New Roman"/>
          <w:noProof/>
          <w:sz w:val="24"/>
          <w:szCs w:val="24"/>
          <w:lang w:val="sq-AL"/>
        </w:rPr>
        <w:t xml:space="preserve"> si</w:t>
      </w:r>
      <w:r w:rsidR="00A62347" w:rsidRPr="00641640">
        <w:rPr>
          <w:rFonts w:ascii="Times New Roman" w:hAnsi="Times New Roman" w:cs="Times New Roman"/>
          <w:noProof/>
          <w:sz w:val="24"/>
          <w:szCs w:val="24"/>
          <w:lang w:val="sq-AL"/>
        </w:rPr>
        <w:t xml:space="preserve"> ofruesi kryesor i trajnimeve për administratën publike</w:t>
      </w:r>
      <w:r w:rsidR="00DD5F31" w:rsidRPr="00641640">
        <w:rPr>
          <w:rFonts w:ascii="Times New Roman" w:hAnsi="Times New Roman" w:cs="Times New Roman"/>
          <w:noProof/>
          <w:sz w:val="24"/>
          <w:szCs w:val="24"/>
          <w:lang w:val="sq-AL"/>
        </w:rPr>
        <w:t>. Krahas k</w:t>
      </w:r>
      <w:r w:rsidR="00DB4DF5" w:rsidRPr="00641640">
        <w:rPr>
          <w:rFonts w:ascii="Times New Roman" w:hAnsi="Times New Roman" w:cs="Times New Roman"/>
          <w:noProof/>
          <w:sz w:val="24"/>
          <w:szCs w:val="24"/>
          <w:lang w:val="sq-AL"/>
        </w:rPr>
        <w:t>ë</w:t>
      </w:r>
      <w:r w:rsidR="00DD5F31" w:rsidRPr="00641640">
        <w:rPr>
          <w:rFonts w:ascii="Times New Roman" w:hAnsi="Times New Roman" w:cs="Times New Roman"/>
          <w:noProof/>
          <w:sz w:val="24"/>
          <w:szCs w:val="24"/>
          <w:lang w:val="sq-AL"/>
        </w:rPr>
        <w:t>saj, jan</w:t>
      </w:r>
      <w:r w:rsidR="00DB4DF5" w:rsidRPr="00641640">
        <w:rPr>
          <w:rFonts w:ascii="Times New Roman" w:hAnsi="Times New Roman" w:cs="Times New Roman"/>
          <w:noProof/>
          <w:sz w:val="24"/>
          <w:szCs w:val="24"/>
          <w:lang w:val="sq-AL"/>
        </w:rPr>
        <w:t>ë</w:t>
      </w:r>
      <w:r w:rsidR="00DD5F31" w:rsidRPr="00641640">
        <w:rPr>
          <w:rFonts w:ascii="Times New Roman" w:hAnsi="Times New Roman" w:cs="Times New Roman"/>
          <w:noProof/>
          <w:sz w:val="24"/>
          <w:szCs w:val="24"/>
          <w:lang w:val="sq-AL"/>
        </w:rPr>
        <w:t xml:space="preserve"> zhvilluar edhe trajnime t</w:t>
      </w:r>
      <w:r w:rsidR="00DB4DF5" w:rsidRPr="00641640">
        <w:rPr>
          <w:rFonts w:ascii="Times New Roman" w:hAnsi="Times New Roman" w:cs="Times New Roman"/>
          <w:noProof/>
          <w:sz w:val="24"/>
          <w:szCs w:val="24"/>
          <w:lang w:val="sq-AL"/>
        </w:rPr>
        <w:t>ë</w:t>
      </w:r>
      <w:r w:rsidR="00DD5F31" w:rsidRPr="00641640">
        <w:rPr>
          <w:rFonts w:ascii="Times New Roman" w:hAnsi="Times New Roman" w:cs="Times New Roman"/>
          <w:noProof/>
          <w:sz w:val="24"/>
          <w:szCs w:val="24"/>
          <w:lang w:val="sq-AL"/>
        </w:rPr>
        <w:t xml:space="preserve"> organizuara </w:t>
      </w:r>
      <w:r w:rsidR="00DD5F31" w:rsidRPr="00641640">
        <w:rPr>
          <w:rFonts w:ascii="Times New Roman" w:hAnsi="Times New Roman" w:cs="Times New Roman"/>
          <w:noProof/>
          <w:sz w:val="24"/>
          <w:szCs w:val="24"/>
          <w:lang w:val="sq-AL"/>
        </w:rPr>
        <w:lastRenderedPageBreak/>
        <w:t>nga vet</w:t>
      </w:r>
      <w:r w:rsidR="00DB4DF5" w:rsidRPr="00641640">
        <w:rPr>
          <w:rFonts w:ascii="Times New Roman" w:hAnsi="Times New Roman" w:cs="Times New Roman"/>
          <w:noProof/>
          <w:sz w:val="24"/>
          <w:szCs w:val="24"/>
          <w:lang w:val="sq-AL"/>
        </w:rPr>
        <w:t>ë</w:t>
      </w:r>
      <w:r w:rsidR="00DD5F31" w:rsidRPr="00641640">
        <w:rPr>
          <w:rFonts w:ascii="Times New Roman" w:hAnsi="Times New Roman" w:cs="Times New Roman"/>
          <w:noProof/>
          <w:sz w:val="24"/>
          <w:szCs w:val="24"/>
          <w:lang w:val="sq-AL"/>
        </w:rPr>
        <w:t xml:space="preserve"> institucionet dhe </w:t>
      </w:r>
      <w:r w:rsidR="00A62347" w:rsidRPr="00641640">
        <w:rPr>
          <w:rFonts w:ascii="Times New Roman" w:hAnsi="Times New Roman" w:cs="Times New Roman"/>
          <w:noProof/>
          <w:sz w:val="24"/>
          <w:szCs w:val="24"/>
          <w:lang w:val="sq-AL"/>
        </w:rPr>
        <w:t>ofrues të tjerë trajnime</w:t>
      </w:r>
      <w:r w:rsidRPr="00641640">
        <w:rPr>
          <w:rFonts w:ascii="Times New Roman" w:hAnsi="Times New Roman" w:cs="Times New Roman"/>
          <w:noProof/>
          <w:sz w:val="24"/>
          <w:szCs w:val="24"/>
          <w:lang w:val="sq-AL"/>
        </w:rPr>
        <w:t>sh.</w:t>
      </w:r>
      <w:r w:rsidR="00A62347" w:rsidRPr="00641640">
        <w:rPr>
          <w:rFonts w:ascii="Times New Roman" w:hAnsi="Times New Roman" w:cs="Times New Roman"/>
          <w:noProof/>
          <w:sz w:val="24"/>
          <w:szCs w:val="24"/>
          <w:lang w:val="sq-AL"/>
        </w:rPr>
        <w:t xml:space="preserve"> Një rol të rëndësishëm </w:t>
      </w:r>
      <w:r w:rsidR="00DD5F31" w:rsidRPr="00641640">
        <w:rPr>
          <w:rFonts w:ascii="Times New Roman" w:hAnsi="Times New Roman" w:cs="Times New Roman"/>
          <w:noProof/>
          <w:sz w:val="24"/>
          <w:szCs w:val="24"/>
          <w:lang w:val="sq-AL"/>
        </w:rPr>
        <w:t>n</w:t>
      </w:r>
      <w:r w:rsidR="00DB4DF5" w:rsidRPr="00641640">
        <w:rPr>
          <w:rFonts w:ascii="Times New Roman" w:hAnsi="Times New Roman" w:cs="Times New Roman"/>
          <w:noProof/>
          <w:sz w:val="24"/>
          <w:szCs w:val="24"/>
          <w:lang w:val="sq-AL"/>
        </w:rPr>
        <w:t>ë</w:t>
      </w:r>
      <w:r w:rsidR="00DD5F31" w:rsidRPr="00641640">
        <w:rPr>
          <w:rFonts w:ascii="Times New Roman" w:hAnsi="Times New Roman" w:cs="Times New Roman"/>
          <w:noProof/>
          <w:sz w:val="24"/>
          <w:szCs w:val="24"/>
          <w:lang w:val="sq-AL"/>
        </w:rPr>
        <w:t xml:space="preserve"> k</w:t>
      </w:r>
      <w:r w:rsidR="00DB4DF5" w:rsidRPr="00641640">
        <w:rPr>
          <w:rFonts w:ascii="Times New Roman" w:hAnsi="Times New Roman" w:cs="Times New Roman"/>
          <w:noProof/>
          <w:sz w:val="24"/>
          <w:szCs w:val="24"/>
          <w:lang w:val="sq-AL"/>
        </w:rPr>
        <w:t>ë</w:t>
      </w:r>
      <w:r w:rsidR="00DD5F31" w:rsidRPr="00641640">
        <w:rPr>
          <w:rFonts w:ascii="Times New Roman" w:hAnsi="Times New Roman" w:cs="Times New Roman"/>
          <w:noProof/>
          <w:sz w:val="24"/>
          <w:szCs w:val="24"/>
          <w:lang w:val="sq-AL"/>
        </w:rPr>
        <w:t>t</w:t>
      </w:r>
      <w:r w:rsidR="00DB4DF5" w:rsidRPr="00641640">
        <w:rPr>
          <w:rFonts w:ascii="Times New Roman" w:hAnsi="Times New Roman" w:cs="Times New Roman"/>
          <w:noProof/>
          <w:sz w:val="24"/>
          <w:szCs w:val="24"/>
          <w:lang w:val="sq-AL"/>
        </w:rPr>
        <w:t>ë</w:t>
      </w:r>
      <w:r w:rsidR="00DD5F31" w:rsidRPr="00641640">
        <w:rPr>
          <w:rFonts w:ascii="Times New Roman" w:hAnsi="Times New Roman" w:cs="Times New Roman"/>
          <w:noProof/>
          <w:sz w:val="24"/>
          <w:szCs w:val="24"/>
          <w:lang w:val="sq-AL"/>
        </w:rPr>
        <w:t xml:space="preserve"> drejtim </w:t>
      </w:r>
      <w:r w:rsidR="00A62347" w:rsidRPr="00641640">
        <w:rPr>
          <w:rFonts w:ascii="Times New Roman" w:hAnsi="Times New Roman" w:cs="Times New Roman"/>
          <w:noProof/>
          <w:sz w:val="24"/>
          <w:szCs w:val="24"/>
          <w:lang w:val="sq-AL"/>
        </w:rPr>
        <w:t xml:space="preserve">ka </w:t>
      </w:r>
      <w:r w:rsidR="00DD5F31" w:rsidRPr="00641640">
        <w:rPr>
          <w:rFonts w:ascii="Times New Roman" w:hAnsi="Times New Roman" w:cs="Times New Roman"/>
          <w:noProof/>
          <w:sz w:val="24"/>
          <w:szCs w:val="24"/>
          <w:lang w:val="sq-AL"/>
        </w:rPr>
        <w:t xml:space="preserve">pasur </w:t>
      </w:r>
      <w:r w:rsidR="00A62347" w:rsidRPr="00641640">
        <w:rPr>
          <w:rFonts w:ascii="Times New Roman" w:hAnsi="Times New Roman" w:cs="Times New Roman"/>
          <w:noProof/>
          <w:sz w:val="24"/>
          <w:szCs w:val="24"/>
          <w:lang w:val="sq-AL"/>
        </w:rPr>
        <w:t>edhe Shkolla Rajonale e Administrat</w:t>
      </w:r>
      <w:r w:rsidR="00E479F0" w:rsidRPr="00641640">
        <w:rPr>
          <w:rFonts w:ascii="Times New Roman" w:hAnsi="Times New Roman" w:cs="Times New Roman"/>
          <w:noProof/>
          <w:sz w:val="24"/>
          <w:szCs w:val="24"/>
          <w:lang w:val="sq-AL"/>
        </w:rPr>
        <w:t>ë</w:t>
      </w:r>
      <w:r w:rsidR="00A62347" w:rsidRPr="00641640">
        <w:rPr>
          <w:rFonts w:ascii="Times New Roman" w:hAnsi="Times New Roman" w:cs="Times New Roman"/>
          <w:noProof/>
          <w:sz w:val="24"/>
          <w:szCs w:val="24"/>
          <w:lang w:val="sq-AL"/>
        </w:rPr>
        <w:t>s Publike (R</w:t>
      </w:r>
      <w:r w:rsidR="00DD5F31" w:rsidRPr="00641640">
        <w:rPr>
          <w:rFonts w:ascii="Times New Roman" w:hAnsi="Times New Roman" w:cs="Times New Roman"/>
          <w:noProof/>
          <w:sz w:val="24"/>
          <w:szCs w:val="24"/>
          <w:lang w:val="sq-AL"/>
        </w:rPr>
        <w:t>e</w:t>
      </w:r>
      <w:r w:rsidR="00A62347" w:rsidRPr="00641640">
        <w:rPr>
          <w:rFonts w:ascii="Times New Roman" w:hAnsi="Times New Roman" w:cs="Times New Roman"/>
          <w:noProof/>
          <w:sz w:val="24"/>
          <w:szCs w:val="24"/>
          <w:lang w:val="sq-AL"/>
        </w:rPr>
        <w:t>SPA)</w:t>
      </w:r>
      <w:r w:rsidR="00DD5F31" w:rsidRPr="00641640">
        <w:rPr>
          <w:rFonts w:ascii="Times New Roman" w:hAnsi="Times New Roman" w:cs="Times New Roman"/>
          <w:noProof/>
          <w:sz w:val="24"/>
          <w:szCs w:val="24"/>
          <w:lang w:val="sq-AL"/>
        </w:rPr>
        <w:t>, e cila ka ndihmuar n</w:t>
      </w:r>
      <w:r w:rsidR="00DB4DF5" w:rsidRPr="00641640">
        <w:rPr>
          <w:rFonts w:ascii="Times New Roman" w:hAnsi="Times New Roman" w:cs="Times New Roman"/>
          <w:noProof/>
          <w:sz w:val="24"/>
          <w:szCs w:val="24"/>
          <w:lang w:val="sq-AL"/>
        </w:rPr>
        <w:t>ë</w:t>
      </w:r>
      <w:r w:rsidR="00DD5F31" w:rsidRPr="00641640">
        <w:rPr>
          <w:rFonts w:ascii="Times New Roman" w:hAnsi="Times New Roman" w:cs="Times New Roman"/>
          <w:noProof/>
          <w:sz w:val="24"/>
          <w:szCs w:val="24"/>
          <w:lang w:val="sq-AL"/>
        </w:rPr>
        <w:t xml:space="preserve"> organizimin e</w:t>
      </w:r>
      <w:r w:rsidR="00A62347" w:rsidRPr="00641640">
        <w:rPr>
          <w:rFonts w:ascii="Times New Roman" w:hAnsi="Times New Roman" w:cs="Times New Roman"/>
          <w:noProof/>
          <w:sz w:val="24"/>
          <w:szCs w:val="24"/>
          <w:lang w:val="sq-AL"/>
        </w:rPr>
        <w:t xml:space="preserve"> shkëmbim</w:t>
      </w:r>
      <w:r w:rsidR="00DD5F31" w:rsidRPr="00641640">
        <w:rPr>
          <w:rFonts w:ascii="Times New Roman" w:hAnsi="Times New Roman" w:cs="Times New Roman"/>
          <w:noProof/>
          <w:sz w:val="24"/>
          <w:szCs w:val="24"/>
          <w:lang w:val="sq-AL"/>
        </w:rPr>
        <w:t>eve</w:t>
      </w:r>
      <w:r w:rsidR="00A62347"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t</w:t>
      </w:r>
      <w:r w:rsidR="007F00FB" w:rsidRPr="00641640">
        <w:rPr>
          <w:rFonts w:ascii="Times New Roman" w:hAnsi="Times New Roman" w:cs="Times New Roman"/>
          <w:noProof/>
          <w:sz w:val="24"/>
          <w:szCs w:val="24"/>
          <w:lang w:val="sq-AL"/>
        </w:rPr>
        <w:t>ë</w:t>
      </w:r>
      <w:r w:rsidR="00A62347" w:rsidRPr="00641640">
        <w:rPr>
          <w:rFonts w:ascii="Times New Roman" w:hAnsi="Times New Roman" w:cs="Times New Roman"/>
          <w:noProof/>
          <w:sz w:val="24"/>
          <w:szCs w:val="24"/>
          <w:lang w:val="sq-AL"/>
        </w:rPr>
        <w:t xml:space="preserve"> eksperiencave rajonale, </w:t>
      </w:r>
      <w:r w:rsidR="003E4C0C" w:rsidRPr="00641640">
        <w:rPr>
          <w:rFonts w:ascii="Times New Roman" w:hAnsi="Times New Roman" w:cs="Times New Roman"/>
          <w:noProof/>
          <w:sz w:val="24"/>
          <w:szCs w:val="24"/>
          <w:lang w:val="sq-AL"/>
        </w:rPr>
        <w:t>seminar</w:t>
      </w:r>
      <w:r w:rsidR="00A62347" w:rsidRPr="00641640">
        <w:rPr>
          <w:rFonts w:ascii="Times New Roman" w:hAnsi="Times New Roman" w:cs="Times New Roman"/>
          <w:noProof/>
          <w:sz w:val="24"/>
          <w:szCs w:val="24"/>
          <w:lang w:val="sq-AL"/>
        </w:rPr>
        <w:t xml:space="preserve">eve dhe </w:t>
      </w:r>
      <w:r w:rsidR="00DD5F31" w:rsidRPr="00641640">
        <w:rPr>
          <w:rFonts w:ascii="Times New Roman" w:hAnsi="Times New Roman" w:cs="Times New Roman"/>
          <w:noProof/>
          <w:sz w:val="24"/>
          <w:szCs w:val="24"/>
          <w:lang w:val="sq-AL"/>
        </w:rPr>
        <w:t xml:space="preserve">vizitave </w:t>
      </w:r>
      <w:r w:rsidR="00A62347" w:rsidRPr="00641640">
        <w:rPr>
          <w:rFonts w:ascii="Times New Roman" w:hAnsi="Times New Roman" w:cs="Times New Roman"/>
          <w:noProof/>
          <w:sz w:val="24"/>
          <w:szCs w:val="24"/>
          <w:lang w:val="sq-AL"/>
        </w:rPr>
        <w:t>studim</w:t>
      </w:r>
      <w:r w:rsidR="00DD5F31" w:rsidRPr="00641640">
        <w:rPr>
          <w:rFonts w:ascii="Times New Roman" w:hAnsi="Times New Roman" w:cs="Times New Roman"/>
          <w:noProof/>
          <w:sz w:val="24"/>
          <w:szCs w:val="24"/>
          <w:lang w:val="sq-AL"/>
        </w:rPr>
        <w:t>ore</w:t>
      </w:r>
      <w:r w:rsidR="00A62347" w:rsidRPr="00641640">
        <w:rPr>
          <w:rFonts w:ascii="Times New Roman" w:hAnsi="Times New Roman" w:cs="Times New Roman"/>
          <w:noProof/>
          <w:sz w:val="24"/>
          <w:szCs w:val="24"/>
          <w:lang w:val="sq-AL"/>
        </w:rPr>
        <w:t xml:space="preserve"> të zhvilluara </w:t>
      </w:r>
      <w:r w:rsidR="00DD5F31" w:rsidRPr="00641640">
        <w:rPr>
          <w:rFonts w:ascii="Times New Roman" w:hAnsi="Times New Roman" w:cs="Times New Roman"/>
          <w:noProof/>
          <w:sz w:val="24"/>
          <w:szCs w:val="24"/>
          <w:lang w:val="sq-AL"/>
        </w:rPr>
        <w:t>p</w:t>
      </w:r>
      <w:r w:rsidR="00DB4DF5" w:rsidRPr="00641640">
        <w:rPr>
          <w:rFonts w:ascii="Times New Roman" w:hAnsi="Times New Roman" w:cs="Times New Roman"/>
          <w:noProof/>
          <w:sz w:val="24"/>
          <w:szCs w:val="24"/>
          <w:lang w:val="sq-AL"/>
        </w:rPr>
        <w:t>ë</w:t>
      </w:r>
      <w:r w:rsidR="00DD5F31" w:rsidRPr="00641640">
        <w:rPr>
          <w:rFonts w:ascii="Times New Roman" w:hAnsi="Times New Roman" w:cs="Times New Roman"/>
          <w:noProof/>
          <w:sz w:val="24"/>
          <w:szCs w:val="24"/>
          <w:lang w:val="sq-AL"/>
        </w:rPr>
        <w:t>r</w:t>
      </w:r>
      <w:r w:rsidR="00A62347" w:rsidRPr="00641640">
        <w:rPr>
          <w:rFonts w:ascii="Times New Roman" w:hAnsi="Times New Roman" w:cs="Times New Roman"/>
          <w:noProof/>
          <w:sz w:val="24"/>
          <w:szCs w:val="24"/>
          <w:lang w:val="sq-AL"/>
        </w:rPr>
        <w:t xml:space="preserve">gjatë </w:t>
      </w:r>
      <w:r w:rsidR="00DD5F31" w:rsidRPr="00641640">
        <w:rPr>
          <w:rFonts w:ascii="Times New Roman" w:hAnsi="Times New Roman" w:cs="Times New Roman"/>
          <w:noProof/>
          <w:sz w:val="24"/>
          <w:szCs w:val="24"/>
          <w:lang w:val="sq-AL"/>
        </w:rPr>
        <w:t>k</w:t>
      </w:r>
      <w:r w:rsidR="00DB4DF5" w:rsidRPr="00641640">
        <w:rPr>
          <w:rFonts w:ascii="Times New Roman" w:hAnsi="Times New Roman" w:cs="Times New Roman"/>
          <w:noProof/>
          <w:sz w:val="24"/>
          <w:szCs w:val="24"/>
          <w:lang w:val="sq-AL"/>
        </w:rPr>
        <w:t>ë</w:t>
      </w:r>
      <w:r w:rsidR="00DD5F31" w:rsidRPr="00641640">
        <w:rPr>
          <w:rFonts w:ascii="Times New Roman" w:hAnsi="Times New Roman" w:cs="Times New Roman"/>
          <w:noProof/>
          <w:sz w:val="24"/>
          <w:szCs w:val="24"/>
          <w:lang w:val="sq-AL"/>
        </w:rPr>
        <w:t xml:space="preserve">saj </w:t>
      </w:r>
      <w:r w:rsidR="00A62347" w:rsidRPr="00641640">
        <w:rPr>
          <w:rFonts w:ascii="Times New Roman" w:hAnsi="Times New Roman" w:cs="Times New Roman"/>
          <w:noProof/>
          <w:sz w:val="24"/>
          <w:szCs w:val="24"/>
          <w:lang w:val="sq-AL"/>
        </w:rPr>
        <w:t>periudh</w:t>
      </w:r>
      <w:r w:rsidR="00DD5F31" w:rsidRPr="00641640">
        <w:rPr>
          <w:rFonts w:ascii="Times New Roman" w:hAnsi="Times New Roman" w:cs="Times New Roman"/>
          <w:noProof/>
          <w:sz w:val="24"/>
          <w:szCs w:val="24"/>
          <w:lang w:val="sq-AL"/>
        </w:rPr>
        <w:t>e</w:t>
      </w:r>
      <w:r w:rsidR="00A62347" w:rsidRPr="00641640">
        <w:rPr>
          <w:rFonts w:ascii="Times New Roman" w:hAnsi="Times New Roman" w:cs="Times New Roman"/>
          <w:noProof/>
          <w:sz w:val="24"/>
          <w:szCs w:val="24"/>
          <w:lang w:val="sq-AL"/>
        </w:rPr>
        <w:t>.</w:t>
      </w:r>
    </w:p>
    <w:p w14:paraId="485928A9" w14:textId="274419E5" w:rsidR="00E31A38" w:rsidRPr="00641640" w:rsidRDefault="00700580" w:rsidP="00A62347">
      <w:pPr>
        <w:jc w:val="both"/>
        <w:rPr>
          <w:rFonts w:ascii="Times New Roman" w:hAnsi="Times New Roman" w:cs="Times New Roman"/>
          <w:noProof/>
          <w:lang w:val="sq-AL"/>
        </w:rPr>
      </w:pPr>
      <w:r w:rsidRPr="00641640">
        <w:rPr>
          <w:rFonts w:ascii="Times New Roman" w:hAnsi="Times New Roman" w:cs="Times New Roman"/>
          <w:noProof/>
        </w:rPr>
        <w:drawing>
          <wp:anchor distT="0" distB="0" distL="114300" distR="114300" simplePos="0" relativeHeight="251658240" behindDoc="0" locked="0" layoutInCell="1" allowOverlap="1" wp14:anchorId="7AA2340A" wp14:editId="3BB35945">
            <wp:simplePos x="0" y="0"/>
            <wp:positionH relativeFrom="margin">
              <wp:posOffset>0</wp:posOffset>
            </wp:positionH>
            <wp:positionV relativeFrom="paragraph">
              <wp:posOffset>276860</wp:posOffset>
            </wp:positionV>
            <wp:extent cx="5934075" cy="2428875"/>
            <wp:effectExtent l="0" t="0" r="9525" b="9525"/>
            <wp:wrapSquare wrapText="bothSides"/>
            <wp:docPr id="954253052" name="Chart 1">
              <a:extLst xmlns:a="http://schemas.openxmlformats.org/drawingml/2006/main">
                <a:ext uri="{FF2B5EF4-FFF2-40B4-BE49-F238E27FC236}">
                  <a16:creationId xmlns:a16="http://schemas.microsoft.com/office/drawing/2014/main" id="{5D5B080F-C1EF-6446-8A92-92F07D2769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7B47EDBD" w14:textId="77777777" w:rsidR="001570C4" w:rsidRPr="00641640" w:rsidRDefault="001570C4" w:rsidP="00700580">
      <w:pPr>
        <w:jc w:val="both"/>
        <w:rPr>
          <w:rFonts w:ascii="Times New Roman" w:hAnsi="Times New Roman" w:cs="Times New Roman"/>
          <w:noProof/>
          <w:sz w:val="24"/>
          <w:szCs w:val="24"/>
          <w:lang w:val="sq-AL"/>
        </w:rPr>
      </w:pPr>
    </w:p>
    <w:p w14:paraId="4B5CD599" w14:textId="4D1A0BEA" w:rsidR="00BB4EA8" w:rsidRPr="00641640" w:rsidRDefault="00DD5F31"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Platforma online e trajnimit </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sht</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pasuruar n</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vazhdim</w:t>
      </w:r>
      <w:r w:rsidR="00DB4DF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si </w:t>
      </w:r>
      <w:r w:rsidR="009455CA" w:rsidRPr="00641640">
        <w:rPr>
          <w:rFonts w:ascii="Times New Roman" w:hAnsi="Times New Roman" w:cs="Times New Roman"/>
          <w:noProof/>
          <w:sz w:val="24"/>
          <w:szCs w:val="24"/>
          <w:lang w:val="sq-AL"/>
        </w:rPr>
        <w:t>me module trajnimi</w:t>
      </w:r>
      <w:r w:rsidRPr="00641640">
        <w:rPr>
          <w:rFonts w:ascii="Times New Roman" w:hAnsi="Times New Roman" w:cs="Times New Roman"/>
          <w:noProof/>
          <w:sz w:val="24"/>
          <w:szCs w:val="24"/>
          <w:lang w:val="sq-AL"/>
        </w:rPr>
        <w:t>.</w:t>
      </w:r>
      <w:r w:rsidR="009455CA" w:rsidRPr="00641640">
        <w:rPr>
          <w:rFonts w:ascii="Times New Roman" w:hAnsi="Times New Roman" w:cs="Times New Roman"/>
          <w:noProof/>
          <w:sz w:val="24"/>
          <w:szCs w:val="24"/>
          <w:lang w:val="sq-AL"/>
        </w:rPr>
        <w:t xml:space="preserve"> </w:t>
      </w:r>
      <w:r w:rsidR="00700580" w:rsidRPr="00641640">
        <w:rPr>
          <w:rFonts w:ascii="Times New Roman" w:hAnsi="Times New Roman" w:cs="Times New Roman"/>
          <w:noProof/>
          <w:sz w:val="24"/>
          <w:szCs w:val="24"/>
          <w:lang w:val="sq-AL"/>
        </w:rPr>
        <w:t xml:space="preserve">Aktualisht, platforma LMS </w:t>
      </w:r>
      <w:r w:rsidR="00700580" w:rsidRPr="00641640">
        <w:rPr>
          <w:rFonts w:ascii="Times New Roman" w:hAnsi="Times New Roman" w:cs="Times New Roman"/>
          <w:i/>
          <w:noProof/>
          <w:sz w:val="24"/>
          <w:szCs w:val="24"/>
          <w:lang w:val="sq-AL"/>
        </w:rPr>
        <w:t xml:space="preserve">(Learning Management System) </w:t>
      </w:r>
      <w:r w:rsidR="00700580" w:rsidRPr="00641640">
        <w:rPr>
          <w:rFonts w:ascii="Times New Roman" w:hAnsi="Times New Roman" w:cs="Times New Roman"/>
          <w:noProof/>
          <w:sz w:val="24"/>
          <w:szCs w:val="24"/>
          <w:lang w:val="sq-AL"/>
        </w:rPr>
        <w:t>është në proces përmirësimi, mb</w:t>
      </w:r>
      <w:r w:rsidR="006E7353" w:rsidRPr="00641640">
        <w:rPr>
          <w:rFonts w:ascii="Times New Roman" w:hAnsi="Times New Roman" w:cs="Times New Roman"/>
          <w:noProof/>
          <w:sz w:val="24"/>
          <w:szCs w:val="24"/>
          <w:lang w:val="sq-AL"/>
        </w:rPr>
        <w:t>ë</w:t>
      </w:r>
      <w:r w:rsidR="00700580" w:rsidRPr="00641640">
        <w:rPr>
          <w:rFonts w:ascii="Times New Roman" w:hAnsi="Times New Roman" w:cs="Times New Roman"/>
          <w:noProof/>
          <w:sz w:val="24"/>
          <w:szCs w:val="24"/>
          <w:lang w:val="sq-AL"/>
        </w:rPr>
        <w:t>shtetur financiarisht nga Këshilli i Evropës, me synim garantimin e ofrimit t</w:t>
      </w:r>
      <w:r w:rsidR="006E7353" w:rsidRPr="00641640">
        <w:rPr>
          <w:rFonts w:ascii="Times New Roman" w:hAnsi="Times New Roman" w:cs="Times New Roman"/>
          <w:noProof/>
          <w:sz w:val="24"/>
          <w:szCs w:val="24"/>
          <w:lang w:val="sq-AL"/>
        </w:rPr>
        <w:t>ë</w:t>
      </w:r>
      <w:r w:rsidR="00700580" w:rsidRPr="00641640">
        <w:rPr>
          <w:rFonts w:ascii="Times New Roman" w:hAnsi="Times New Roman" w:cs="Times New Roman"/>
          <w:noProof/>
          <w:sz w:val="24"/>
          <w:szCs w:val="24"/>
          <w:lang w:val="sq-AL"/>
        </w:rPr>
        <w:t xml:space="preserve"> p</w:t>
      </w:r>
      <w:r w:rsidR="006E7353" w:rsidRPr="00641640">
        <w:rPr>
          <w:rFonts w:ascii="Times New Roman" w:hAnsi="Times New Roman" w:cs="Times New Roman"/>
          <w:noProof/>
          <w:sz w:val="24"/>
          <w:szCs w:val="24"/>
          <w:lang w:val="sq-AL"/>
        </w:rPr>
        <w:t>ë</w:t>
      </w:r>
      <w:r w:rsidR="00700580" w:rsidRPr="00641640">
        <w:rPr>
          <w:rFonts w:ascii="Times New Roman" w:hAnsi="Times New Roman" w:cs="Times New Roman"/>
          <w:noProof/>
          <w:sz w:val="24"/>
          <w:szCs w:val="24"/>
          <w:lang w:val="sq-AL"/>
        </w:rPr>
        <w:t>rmir</w:t>
      </w:r>
      <w:r w:rsidR="006E7353" w:rsidRPr="00641640">
        <w:rPr>
          <w:rFonts w:ascii="Times New Roman" w:hAnsi="Times New Roman" w:cs="Times New Roman"/>
          <w:noProof/>
          <w:sz w:val="24"/>
          <w:szCs w:val="24"/>
          <w:lang w:val="sq-AL"/>
        </w:rPr>
        <w:t>ë</w:t>
      </w:r>
      <w:r w:rsidR="00700580" w:rsidRPr="00641640">
        <w:rPr>
          <w:rFonts w:ascii="Times New Roman" w:hAnsi="Times New Roman" w:cs="Times New Roman"/>
          <w:noProof/>
          <w:sz w:val="24"/>
          <w:szCs w:val="24"/>
          <w:lang w:val="sq-AL"/>
        </w:rPr>
        <w:t>suar t</w:t>
      </w:r>
      <w:r w:rsidR="006E7353" w:rsidRPr="00641640">
        <w:rPr>
          <w:rFonts w:ascii="Times New Roman" w:hAnsi="Times New Roman" w:cs="Times New Roman"/>
          <w:noProof/>
          <w:sz w:val="24"/>
          <w:szCs w:val="24"/>
          <w:lang w:val="sq-AL"/>
        </w:rPr>
        <w:t>ë</w:t>
      </w:r>
      <w:r w:rsidR="00700580" w:rsidRPr="00641640">
        <w:rPr>
          <w:rFonts w:ascii="Times New Roman" w:hAnsi="Times New Roman" w:cs="Times New Roman"/>
          <w:noProof/>
          <w:sz w:val="24"/>
          <w:szCs w:val="24"/>
          <w:lang w:val="sq-AL"/>
        </w:rPr>
        <w:t xml:space="preserve"> kurrikulave t</w:t>
      </w:r>
      <w:r w:rsidR="006E7353" w:rsidRPr="00641640">
        <w:rPr>
          <w:rFonts w:ascii="Times New Roman" w:hAnsi="Times New Roman" w:cs="Times New Roman"/>
          <w:noProof/>
          <w:sz w:val="24"/>
          <w:szCs w:val="24"/>
          <w:lang w:val="sq-AL"/>
        </w:rPr>
        <w:t>ë</w:t>
      </w:r>
      <w:r w:rsidR="00700580" w:rsidRPr="00641640">
        <w:rPr>
          <w:rFonts w:ascii="Times New Roman" w:hAnsi="Times New Roman" w:cs="Times New Roman"/>
          <w:noProof/>
          <w:sz w:val="24"/>
          <w:szCs w:val="24"/>
          <w:lang w:val="sq-AL"/>
        </w:rPr>
        <w:t xml:space="preserve"> trajnimit, si dhe mund</w:t>
      </w:r>
      <w:r w:rsidR="006E7353" w:rsidRPr="00641640">
        <w:rPr>
          <w:rFonts w:ascii="Times New Roman" w:hAnsi="Times New Roman" w:cs="Times New Roman"/>
          <w:noProof/>
          <w:sz w:val="24"/>
          <w:szCs w:val="24"/>
          <w:lang w:val="sq-AL"/>
        </w:rPr>
        <w:t>ë</w:t>
      </w:r>
      <w:r w:rsidR="00700580" w:rsidRPr="00641640">
        <w:rPr>
          <w:rFonts w:ascii="Times New Roman" w:hAnsi="Times New Roman" w:cs="Times New Roman"/>
          <w:noProof/>
          <w:sz w:val="24"/>
          <w:szCs w:val="24"/>
          <w:lang w:val="sq-AL"/>
        </w:rPr>
        <w:t>simin e vlerësimit t</w:t>
      </w:r>
      <w:r w:rsidR="006E7353" w:rsidRPr="00641640">
        <w:rPr>
          <w:rFonts w:ascii="Times New Roman" w:hAnsi="Times New Roman" w:cs="Times New Roman"/>
          <w:noProof/>
          <w:sz w:val="24"/>
          <w:szCs w:val="24"/>
          <w:lang w:val="sq-AL"/>
        </w:rPr>
        <w:t>ë</w:t>
      </w:r>
      <w:r w:rsidR="00700580" w:rsidRPr="00641640">
        <w:rPr>
          <w:rFonts w:ascii="Times New Roman" w:hAnsi="Times New Roman" w:cs="Times New Roman"/>
          <w:noProof/>
          <w:sz w:val="24"/>
          <w:szCs w:val="24"/>
          <w:lang w:val="sq-AL"/>
        </w:rPr>
        <w:t xml:space="preserve"> nevojave për trajnim në mënyrë digjitale për zhvillimin e vazhduar profesional të nëpunësve. </w:t>
      </w:r>
    </w:p>
    <w:p w14:paraId="3F24B270" w14:textId="517AD285" w:rsidR="003F1521" w:rsidRPr="00641640" w:rsidRDefault="00972152" w:rsidP="003A395D">
      <w:pPr>
        <w:pStyle w:val="NormalWeb"/>
        <w:spacing w:line="276" w:lineRule="auto"/>
        <w:jc w:val="both"/>
        <w:rPr>
          <w:noProof/>
          <w:lang w:val="sq-AL"/>
        </w:rPr>
      </w:pPr>
      <w:bookmarkStart w:id="21" w:name="_Hlk183019585"/>
      <w:r w:rsidRPr="00641640">
        <w:rPr>
          <w:noProof/>
          <w:lang w:val="sq-AL"/>
        </w:rPr>
        <w:t>Si pjesë e prioriteteve të Qeverisë Shqiptare për zhvillimin e kapaciteteve në administratën publike dhe në kuadër të Paketës së Motivimit, p</w:t>
      </w:r>
      <w:r w:rsidR="00DB4DF5" w:rsidRPr="00641640">
        <w:rPr>
          <w:noProof/>
          <w:lang w:val="sq-AL"/>
        </w:rPr>
        <w:t>ë</w:t>
      </w:r>
      <w:r w:rsidRPr="00641640">
        <w:rPr>
          <w:noProof/>
          <w:lang w:val="sq-AL"/>
        </w:rPr>
        <w:t>rgjat</w:t>
      </w:r>
      <w:r w:rsidR="00DB4DF5" w:rsidRPr="00641640">
        <w:rPr>
          <w:noProof/>
          <w:lang w:val="sq-AL"/>
        </w:rPr>
        <w:t>ë</w:t>
      </w:r>
      <w:r w:rsidRPr="00641640">
        <w:rPr>
          <w:noProof/>
          <w:lang w:val="sq-AL"/>
        </w:rPr>
        <w:t xml:space="preserve"> vitit 2024 u organizua p</w:t>
      </w:r>
      <w:r w:rsidR="00DB4DF5" w:rsidRPr="00641640">
        <w:rPr>
          <w:noProof/>
          <w:lang w:val="sq-AL"/>
        </w:rPr>
        <w:t>ë</w:t>
      </w:r>
      <w:r w:rsidRPr="00641640">
        <w:rPr>
          <w:noProof/>
          <w:lang w:val="sq-AL"/>
        </w:rPr>
        <w:t>r her</w:t>
      </w:r>
      <w:r w:rsidR="00DB4DF5" w:rsidRPr="00641640">
        <w:rPr>
          <w:noProof/>
          <w:lang w:val="sq-AL"/>
        </w:rPr>
        <w:t>ë</w:t>
      </w:r>
      <w:r w:rsidRPr="00641640">
        <w:rPr>
          <w:noProof/>
          <w:lang w:val="sq-AL"/>
        </w:rPr>
        <w:t xml:space="preserve"> t</w:t>
      </w:r>
      <w:r w:rsidR="00DB4DF5" w:rsidRPr="00641640">
        <w:rPr>
          <w:noProof/>
          <w:lang w:val="sq-AL"/>
        </w:rPr>
        <w:t>ë</w:t>
      </w:r>
      <w:r w:rsidRPr="00641640">
        <w:rPr>
          <w:noProof/>
          <w:lang w:val="sq-AL"/>
        </w:rPr>
        <w:t xml:space="preserve"> par</w:t>
      </w:r>
      <w:r w:rsidR="00DB4DF5" w:rsidRPr="00641640">
        <w:rPr>
          <w:noProof/>
          <w:lang w:val="sq-AL"/>
        </w:rPr>
        <w:t>ë</w:t>
      </w:r>
      <w:r w:rsidRPr="00641640">
        <w:rPr>
          <w:noProof/>
          <w:lang w:val="sq-AL"/>
        </w:rPr>
        <w:t xml:space="preserve"> edhe nj</w:t>
      </w:r>
      <w:r w:rsidR="00DB4DF5" w:rsidRPr="00641640">
        <w:rPr>
          <w:noProof/>
          <w:lang w:val="sq-AL"/>
        </w:rPr>
        <w:t>ë</w:t>
      </w:r>
      <w:r w:rsidRPr="00641640">
        <w:rPr>
          <w:noProof/>
          <w:lang w:val="sq-AL"/>
        </w:rPr>
        <w:t xml:space="preserve"> program i dedikuar </w:t>
      </w:r>
      <w:r w:rsidR="00A56281" w:rsidRPr="00641640">
        <w:rPr>
          <w:noProof/>
          <w:lang w:val="sq-AL"/>
        </w:rPr>
        <w:t>p</w:t>
      </w:r>
      <w:r w:rsidR="00870DCD" w:rsidRPr="00641640">
        <w:rPr>
          <w:noProof/>
          <w:lang w:val="sq-AL"/>
        </w:rPr>
        <w:t>ë</w:t>
      </w:r>
      <w:r w:rsidR="00A56281" w:rsidRPr="00641640">
        <w:rPr>
          <w:noProof/>
          <w:lang w:val="sq-AL"/>
        </w:rPr>
        <w:t xml:space="preserve">r </w:t>
      </w:r>
      <w:r w:rsidRPr="00641640">
        <w:rPr>
          <w:noProof/>
          <w:lang w:val="sq-AL"/>
        </w:rPr>
        <w:t xml:space="preserve">Zhvillimin e Lidershipit. Programi i konceptuar për drejtuesit e lartë menaxherialë </w:t>
      </w:r>
      <w:r w:rsidR="00700580" w:rsidRPr="00641640">
        <w:rPr>
          <w:noProof/>
          <w:lang w:val="sq-AL"/>
        </w:rPr>
        <w:t xml:space="preserve">(TND) </w:t>
      </w:r>
      <w:r w:rsidRPr="00641640">
        <w:rPr>
          <w:noProof/>
          <w:lang w:val="sq-AL"/>
        </w:rPr>
        <w:t>mund</w:t>
      </w:r>
      <w:r w:rsidR="00DB4DF5" w:rsidRPr="00641640">
        <w:rPr>
          <w:noProof/>
          <w:lang w:val="sq-AL"/>
        </w:rPr>
        <w:t>ë</w:t>
      </w:r>
      <w:r w:rsidRPr="00641640">
        <w:rPr>
          <w:noProof/>
          <w:lang w:val="sq-AL"/>
        </w:rPr>
        <w:t>soi trajnimin e 267 drejtuesve të Administratës Shtetërore, duke përfshirë Drejtorët e Drejtorive dhe Drejtorët e Përgjithshëm të institucioneve të varësisë së ministrive të linjës, me synimin p</w:t>
      </w:r>
      <w:r w:rsidR="00DB4DF5" w:rsidRPr="00641640">
        <w:rPr>
          <w:noProof/>
          <w:lang w:val="sq-AL"/>
        </w:rPr>
        <w:t>ë</w:t>
      </w:r>
      <w:r w:rsidRPr="00641640">
        <w:rPr>
          <w:noProof/>
          <w:lang w:val="sq-AL"/>
        </w:rPr>
        <w:t>r t</w:t>
      </w:r>
      <w:r w:rsidR="00DB4DF5" w:rsidRPr="00641640">
        <w:rPr>
          <w:noProof/>
          <w:lang w:val="sq-AL"/>
        </w:rPr>
        <w:t>ë</w:t>
      </w:r>
      <w:r w:rsidRPr="00641640">
        <w:rPr>
          <w:noProof/>
          <w:lang w:val="sq-AL"/>
        </w:rPr>
        <w:t xml:space="preserve"> sjell</w:t>
      </w:r>
      <w:r w:rsidR="00DB4DF5" w:rsidRPr="00641640">
        <w:rPr>
          <w:noProof/>
          <w:lang w:val="sq-AL"/>
        </w:rPr>
        <w:t>ë</w:t>
      </w:r>
      <w:r w:rsidRPr="00641640">
        <w:rPr>
          <w:noProof/>
          <w:lang w:val="sq-AL"/>
        </w:rPr>
        <w:t xml:space="preserve"> një ndikim të qëndrueshëm në kulturën e udh</w:t>
      </w:r>
      <w:r w:rsidR="00DB4DF5" w:rsidRPr="00641640">
        <w:rPr>
          <w:noProof/>
          <w:lang w:val="sq-AL"/>
        </w:rPr>
        <w:t>ë</w:t>
      </w:r>
      <w:r w:rsidRPr="00641640">
        <w:rPr>
          <w:noProof/>
          <w:lang w:val="sq-AL"/>
        </w:rPr>
        <w:t>heqjes dhe menaxhimit t</w:t>
      </w:r>
      <w:r w:rsidR="00DB4DF5" w:rsidRPr="00641640">
        <w:rPr>
          <w:noProof/>
          <w:lang w:val="sq-AL"/>
        </w:rPr>
        <w:t>ë</w:t>
      </w:r>
      <w:r w:rsidRPr="00641640">
        <w:rPr>
          <w:noProof/>
          <w:lang w:val="sq-AL"/>
        </w:rPr>
        <w:t xml:space="preserve"> burimeve njer</w:t>
      </w:r>
      <w:r w:rsidR="00DB4DF5" w:rsidRPr="00641640">
        <w:rPr>
          <w:noProof/>
          <w:lang w:val="sq-AL"/>
        </w:rPr>
        <w:t>ë</w:t>
      </w:r>
      <w:r w:rsidRPr="00641640">
        <w:rPr>
          <w:noProof/>
          <w:lang w:val="sq-AL"/>
        </w:rPr>
        <w:t>zore n</w:t>
      </w:r>
      <w:r w:rsidR="00DB4DF5" w:rsidRPr="00641640">
        <w:rPr>
          <w:noProof/>
          <w:lang w:val="sq-AL"/>
        </w:rPr>
        <w:t>ë</w:t>
      </w:r>
      <w:r w:rsidRPr="00641640">
        <w:rPr>
          <w:noProof/>
          <w:lang w:val="sq-AL"/>
        </w:rPr>
        <w:t xml:space="preserve"> administrat</w:t>
      </w:r>
      <w:r w:rsidR="00DB4DF5" w:rsidRPr="00641640">
        <w:rPr>
          <w:noProof/>
          <w:lang w:val="sq-AL"/>
        </w:rPr>
        <w:t>ë</w:t>
      </w:r>
      <w:r w:rsidRPr="00641640">
        <w:rPr>
          <w:noProof/>
          <w:lang w:val="sq-AL"/>
        </w:rPr>
        <w:t>n publike.</w:t>
      </w:r>
      <w:r w:rsidRPr="00641640">
        <w:rPr>
          <w:rStyle w:val="FootnoteReference"/>
          <w:noProof/>
          <w:lang w:val="sq-AL"/>
        </w:rPr>
        <w:footnoteReference w:id="48"/>
      </w:r>
      <w:r w:rsidRPr="00641640">
        <w:rPr>
          <w:noProof/>
          <w:lang w:val="sq-AL"/>
        </w:rPr>
        <w:t xml:space="preserve"> </w:t>
      </w:r>
    </w:p>
    <w:p w14:paraId="5524DFB7" w14:textId="77777777" w:rsidR="001570C4" w:rsidRDefault="001570C4" w:rsidP="003A395D">
      <w:pPr>
        <w:pStyle w:val="NormalWeb"/>
        <w:spacing w:after="0" w:afterAutospacing="0" w:line="276" w:lineRule="auto"/>
        <w:jc w:val="both"/>
        <w:rPr>
          <w:b/>
          <w:bCs/>
          <w:noProof/>
          <w:lang w:val="sq-AL"/>
        </w:rPr>
      </w:pPr>
    </w:p>
    <w:p w14:paraId="59662DBB" w14:textId="77777777" w:rsidR="00D32B76" w:rsidRPr="00641640" w:rsidRDefault="00D32B76" w:rsidP="003A395D">
      <w:pPr>
        <w:pStyle w:val="NormalWeb"/>
        <w:spacing w:after="0" w:afterAutospacing="0" w:line="276" w:lineRule="auto"/>
        <w:jc w:val="both"/>
        <w:rPr>
          <w:b/>
          <w:bCs/>
          <w:noProof/>
          <w:lang w:val="sq-AL"/>
        </w:rPr>
      </w:pPr>
    </w:p>
    <w:bookmarkEnd w:id="21"/>
    <w:p w14:paraId="3982D004" w14:textId="086FF781" w:rsidR="003F1521" w:rsidRPr="00641640" w:rsidRDefault="003F1521" w:rsidP="003A395D">
      <w:pPr>
        <w:spacing w:line="276" w:lineRule="auto"/>
        <w:jc w:val="both"/>
        <w:rPr>
          <w:rFonts w:ascii="Times New Roman" w:hAnsi="Times New Roman" w:cs="Times New Roman"/>
          <w:b/>
          <w:bCs/>
          <w:i/>
          <w:iCs/>
          <w:noProof/>
          <w:sz w:val="24"/>
          <w:szCs w:val="24"/>
          <w:lang w:val="sq-AL"/>
        </w:rPr>
      </w:pPr>
      <w:r w:rsidRPr="00641640">
        <w:rPr>
          <w:rFonts w:ascii="Times New Roman" w:hAnsi="Times New Roman" w:cs="Times New Roman"/>
          <w:b/>
          <w:bCs/>
          <w:i/>
          <w:iCs/>
          <w:noProof/>
          <w:sz w:val="24"/>
          <w:szCs w:val="24"/>
          <w:lang w:val="sq-AL"/>
        </w:rPr>
        <w:lastRenderedPageBreak/>
        <w:t>Sfidat</w:t>
      </w:r>
    </w:p>
    <w:p w14:paraId="1A01BEA1" w14:textId="77777777" w:rsidR="0016191E" w:rsidRPr="00641640" w:rsidRDefault="0016191E" w:rsidP="003A395D">
      <w:pPr>
        <w:spacing w:line="276" w:lineRule="auto"/>
        <w:jc w:val="both"/>
        <w:rPr>
          <w:rFonts w:ascii="Times New Roman" w:hAnsi="Times New Roman" w:cs="Times New Roman"/>
          <w:bCs/>
          <w:iCs/>
          <w:noProof/>
          <w:sz w:val="24"/>
          <w:szCs w:val="24"/>
          <w:lang w:val="sq-AL"/>
        </w:rPr>
      </w:pPr>
      <w:r w:rsidRPr="00641640">
        <w:rPr>
          <w:rFonts w:ascii="Times New Roman" w:hAnsi="Times New Roman" w:cs="Times New Roman"/>
          <w:bCs/>
          <w:iCs/>
          <w:noProof/>
          <w:sz w:val="24"/>
          <w:szCs w:val="24"/>
          <w:lang w:val="sq-AL"/>
        </w:rPr>
        <w:t xml:space="preserve">Duke konsideruar rëndësinë e menaxhimit efikas të shërbimit civil dhe burimeve njerëzore në institucionet shtetërore, si një prioritet dhe parakusht për suksesin e negociatave për anëtarësim në BE, për këtë Qëllim të Politikës shtrohen një sërë sfidash për adresim në vitet në vijim. </w:t>
      </w:r>
    </w:p>
    <w:p w14:paraId="0D1E4D8B" w14:textId="51485A68" w:rsidR="00F129F2" w:rsidRPr="00641640" w:rsidRDefault="0016191E" w:rsidP="003A395D">
      <w:pPr>
        <w:spacing w:line="276" w:lineRule="auto"/>
        <w:jc w:val="both"/>
        <w:rPr>
          <w:rFonts w:ascii="Times New Roman" w:hAnsi="Times New Roman" w:cs="Times New Roman"/>
          <w:bCs/>
          <w:iCs/>
          <w:noProof/>
          <w:sz w:val="24"/>
          <w:szCs w:val="24"/>
          <w:lang w:val="sq-AL"/>
        </w:rPr>
      </w:pPr>
      <w:r w:rsidRPr="00641640">
        <w:rPr>
          <w:rFonts w:ascii="Times New Roman" w:hAnsi="Times New Roman" w:cs="Times New Roman"/>
          <w:bCs/>
          <w:iCs/>
          <w:noProof/>
          <w:sz w:val="24"/>
          <w:szCs w:val="24"/>
          <w:lang w:val="sq-AL"/>
        </w:rPr>
        <w:t>Një ndër sfidat kryesore mbetet zbatimi i q</w:t>
      </w:r>
      <w:r w:rsidR="00154659" w:rsidRPr="00641640">
        <w:rPr>
          <w:rFonts w:ascii="Times New Roman" w:hAnsi="Times New Roman" w:cs="Times New Roman"/>
          <w:bCs/>
          <w:iCs/>
          <w:noProof/>
          <w:sz w:val="24"/>
          <w:szCs w:val="24"/>
          <w:lang w:val="sq-AL"/>
        </w:rPr>
        <w:t>e</w:t>
      </w:r>
      <w:r w:rsidRPr="00641640">
        <w:rPr>
          <w:rFonts w:ascii="Times New Roman" w:hAnsi="Times New Roman" w:cs="Times New Roman"/>
          <w:bCs/>
          <w:iCs/>
          <w:noProof/>
          <w:sz w:val="24"/>
          <w:szCs w:val="24"/>
          <w:lang w:val="sq-AL"/>
        </w:rPr>
        <w:t>ndrueshëm dhe efektiv i ligjit të shërbimit civil, me synimin p</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r t</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 xml:space="preserve"> garantuar që rekrutimet dhe promovimet të kryhen bazuar në meritë, konkurrencë dhe transparenc</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 xml:space="preserve"> p</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r t</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 xml:space="preserve"> gjitha nivelet e n</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pun</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sve, me fokus t</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 xml:space="preserve"> veçant</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 xml:space="preserve"> Trup</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n e Nivelit t</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 xml:space="preserve"> Lart</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 xml:space="preserve"> Drejtues.</w:t>
      </w:r>
      <w:r w:rsidR="00870DCD" w:rsidRPr="00641640">
        <w:rPr>
          <w:rFonts w:ascii="Times New Roman" w:hAnsi="Times New Roman" w:cs="Times New Roman"/>
          <w:bCs/>
          <w:iCs/>
          <w:noProof/>
          <w:sz w:val="24"/>
          <w:szCs w:val="24"/>
          <w:lang w:val="sq-AL"/>
        </w:rPr>
        <w:t xml:space="preserve"> </w:t>
      </w:r>
      <w:r w:rsidR="00F129F2" w:rsidRPr="00641640">
        <w:rPr>
          <w:rFonts w:ascii="Times New Roman" w:hAnsi="Times New Roman" w:cs="Times New Roman"/>
          <w:bCs/>
          <w:iCs/>
          <w:noProof/>
          <w:sz w:val="24"/>
          <w:szCs w:val="24"/>
          <w:lang w:val="sq-AL"/>
        </w:rPr>
        <w:t xml:space="preserve">Ndryshimet ligjore të ligjit nr. 152/2023 “Për nëpunësin civil”, të parashikuara në zbatim të këtij Qëllimi të Politikës do të adresojnë këto sfida, si dhe do të garantojnë rritjen e efikasitetit të menaxhimit të shërbimit civil në përputhje me zhvillimet më të fundit të kornizës ligjore dhe institucionale në vend, mes të tjerash edhe si rrjedhojë e procesit intensiv të integrimit evropian. </w:t>
      </w:r>
    </w:p>
    <w:p w14:paraId="4FFAEF05" w14:textId="5E917EF2" w:rsidR="0016191E" w:rsidRPr="00641640" w:rsidRDefault="0016191E" w:rsidP="003A395D">
      <w:pPr>
        <w:spacing w:line="276" w:lineRule="auto"/>
        <w:jc w:val="both"/>
        <w:rPr>
          <w:rFonts w:ascii="Times New Roman" w:hAnsi="Times New Roman" w:cs="Times New Roman"/>
          <w:bCs/>
          <w:iCs/>
          <w:noProof/>
          <w:sz w:val="24"/>
          <w:szCs w:val="24"/>
          <w:lang w:val="sq-AL"/>
        </w:rPr>
      </w:pPr>
      <w:r w:rsidRPr="00641640">
        <w:rPr>
          <w:rFonts w:ascii="Times New Roman" w:hAnsi="Times New Roman" w:cs="Times New Roman"/>
          <w:bCs/>
          <w:iCs/>
          <w:noProof/>
          <w:sz w:val="24"/>
          <w:szCs w:val="24"/>
          <w:lang w:val="sq-AL"/>
        </w:rPr>
        <w:t>Gjithashtu, me ritmin e shpejtë të digjitalizimit t</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 xml:space="preserve"> qeverisjes, është e nevojshme që administrata publike të rrisë kapacitetet për të menaxhuar proceset e punës me efikasitet dhe për të ofruar shërbime elektronike cilësore për publikun. Automatizimi i sistemit të pagave dhe implementimi i sistemeve elektronike për menaxhimin e burimeve njerezore janë hapa të rëndësishëm drejt arritjes s</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 xml:space="preserve"> k</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tij q</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llimi, bashk</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risht me p</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rmir</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simin e nd</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rveprueshm</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ris</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 xml:space="preserve"> dhe komplementaritetit midis platformave ekzistuese. </w:t>
      </w:r>
      <w:r w:rsidR="00FE7E64" w:rsidRPr="00641640">
        <w:rPr>
          <w:rFonts w:ascii="Times New Roman" w:hAnsi="Times New Roman" w:cs="Times New Roman"/>
          <w:bCs/>
          <w:iCs/>
          <w:noProof/>
          <w:sz w:val="24"/>
          <w:szCs w:val="24"/>
          <w:lang w:val="sq-AL"/>
        </w:rPr>
        <w:t>K</w:t>
      </w:r>
      <w:r w:rsidR="00870DCD"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to p</w:t>
      </w:r>
      <w:r w:rsidR="00870DCD"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rpjekje do t</w:t>
      </w:r>
      <w:r w:rsidR="00870DCD"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 xml:space="preserve"> garantojn</w:t>
      </w:r>
      <w:r w:rsidR="00870DCD"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 xml:space="preserve"> që politikat kombëtare të burimeve njerëzore të bazohen në të dhëna, si dhe do t</w:t>
      </w:r>
      <w:r w:rsidR="00870DCD"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 xml:space="preserve"> mund</w:t>
      </w:r>
      <w:r w:rsidR="00870DCD"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sojn</w:t>
      </w:r>
      <w:r w:rsidR="00870DCD"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 xml:space="preserve"> mbledhjen e të dhënave t</w:t>
      </w:r>
      <w:r w:rsidR="00870DCD"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 xml:space="preserve"> sakta nga Nj</w:t>
      </w:r>
      <w:r w:rsidR="00870DCD"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sit</w:t>
      </w:r>
      <w:r w:rsidR="00870DCD"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 xml:space="preserve"> p</w:t>
      </w:r>
      <w:r w:rsidR="00870DCD"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rkat</w:t>
      </w:r>
      <w:r w:rsidR="00870DCD"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se t</w:t>
      </w:r>
      <w:r w:rsidR="00870DCD"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 xml:space="preserve"> Burimeve Njer</w:t>
      </w:r>
      <w:r w:rsidR="00870DCD"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 xml:space="preserve">zore </w:t>
      </w:r>
      <w:r w:rsidR="00870DCD" w:rsidRPr="00641640">
        <w:rPr>
          <w:rFonts w:ascii="Times New Roman" w:hAnsi="Times New Roman" w:cs="Times New Roman"/>
          <w:bCs/>
          <w:iCs/>
          <w:noProof/>
          <w:sz w:val="24"/>
          <w:szCs w:val="24"/>
          <w:lang w:val="sq-AL"/>
        </w:rPr>
        <w:t xml:space="preserve">për të gjithë nëpunësit publike. </w:t>
      </w:r>
    </w:p>
    <w:p w14:paraId="15361A5D" w14:textId="09B9DD37" w:rsidR="00870DCD" w:rsidRPr="00641640" w:rsidRDefault="0016191E" w:rsidP="003A395D">
      <w:pPr>
        <w:spacing w:line="276" w:lineRule="auto"/>
        <w:jc w:val="both"/>
        <w:rPr>
          <w:rFonts w:ascii="Times New Roman" w:hAnsi="Times New Roman" w:cs="Times New Roman"/>
          <w:bCs/>
          <w:iCs/>
          <w:noProof/>
          <w:sz w:val="24"/>
          <w:szCs w:val="24"/>
          <w:lang w:val="sq-AL"/>
        </w:rPr>
      </w:pPr>
      <w:r w:rsidRPr="00641640">
        <w:rPr>
          <w:rFonts w:ascii="Times New Roman" w:hAnsi="Times New Roman" w:cs="Times New Roman"/>
          <w:bCs/>
          <w:iCs/>
          <w:noProof/>
          <w:sz w:val="24"/>
          <w:szCs w:val="24"/>
          <w:lang w:val="sq-AL"/>
        </w:rPr>
        <w:t>Krijimi i një shërbimi publik tërheqës, inovativ dhe konkurrues n</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 xml:space="preserve"> treg mbetet nj</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 xml:space="preserve"> prioritet kryesor, i cili do t</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 xml:space="preserve"> adresohet m</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 xml:space="preserve"> tej p</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rmes integrimit t</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 xml:space="preserve"> m</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tejsh</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m t</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 xml:space="preserve"> inovacionit n</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 xml:space="preserve"> pun</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n e p</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rditshme t</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 xml:space="preserve"> administrat</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s publike, si dhe p</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rmes rritjes s</w:t>
      </w:r>
      <w:r w:rsidR="00870DCD" w:rsidRPr="00641640">
        <w:rPr>
          <w:rFonts w:ascii="Times New Roman" w:hAnsi="Times New Roman" w:cs="Times New Roman"/>
          <w:bCs/>
          <w:iCs/>
          <w:noProof/>
          <w:sz w:val="24"/>
          <w:szCs w:val="24"/>
          <w:lang w:val="sq-AL"/>
        </w:rPr>
        <w:t>ë</w:t>
      </w:r>
      <w:r w:rsidRPr="00641640">
        <w:rPr>
          <w:rFonts w:ascii="Times New Roman" w:hAnsi="Times New Roman" w:cs="Times New Roman"/>
          <w:bCs/>
          <w:iCs/>
          <w:noProof/>
          <w:sz w:val="24"/>
          <w:szCs w:val="24"/>
          <w:lang w:val="sq-AL"/>
        </w:rPr>
        <w:t xml:space="preserve"> motivimit të punonjësve, duke promovuar</w:t>
      </w:r>
      <w:r w:rsidR="00FE7E64" w:rsidRPr="00641640">
        <w:rPr>
          <w:rFonts w:ascii="Times New Roman" w:hAnsi="Times New Roman" w:cs="Times New Roman"/>
          <w:bCs/>
          <w:iCs/>
          <w:noProof/>
          <w:sz w:val="24"/>
          <w:szCs w:val="24"/>
          <w:lang w:val="sq-AL"/>
        </w:rPr>
        <w:t xml:space="preserve"> kapitalin njer</w:t>
      </w:r>
      <w:r w:rsidR="00870DCD"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zor me profesionaliz</w:t>
      </w:r>
      <w:r w:rsidR="00870DCD"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m dhe integritet.</w:t>
      </w:r>
      <w:r w:rsidRPr="00641640">
        <w:rPr>
          <w:rFonts w:ascii="Times New Roman" w:hAnsi="Times New Roman" w:cs="Times New Roman"/>
          <w:bCs/>
          <w:iCs/>
          <w:noProof/>
          <w:sz w:val="24"/>
          <w:szCs w:val="24"/>
          <w:lang w:val="sq-AL"/>
        </w:rPr>
        <w:t xml:space="preserve"> </w:t>
      </w:r>
      <w:r w:rsidR="00870DCD" w:rsidRPr="00641640">
        <w:rPr>
          <w:rFonts w:ascii="Times New Roman" w:hAnsi="Times New Roman" w:cs="Times New Roman"/>
          <w:bCs/>
          <w:iCs/>
          <w:noProof/>
          <w:sz w:val="24"/>
          <w:szCs w:val="24"/>
          <w:lang w:val="sq-AL"/>
        </w:rPr>
        <w:t>Në vazhdën e këtyre përpjekjeve, reforma e suksesshm</w:t>
      </w:r>
      <w:r w:rsidR="000571B8" w:rsidRPr="00641640">
        <w:rPr>
          <w:rFonts w:ascii="Times New Roman" w:hAnsi="Times New Roman" w:cs="Times New Roman"/>
          <w:bCs/>
          <w:iCs/>
          <w:noProof/>
          <w:sz w:val="24"/>
          <w:szCs w:val="24"/>
          <w:lang w:val="sq-AL"/>
        </w:rPr>
        <w:t>e</w:t>
      </w:r>
      <w:r w:rsidR="00870DCD" w:rsidRPr="00641640">
        <w:rPr>
          <w:rFonts w:ascii="Times New Roman" w:hAnsi="Times New Roman" w:cs="Times New Roman"/>
          <w:bCs/>
          <w:iCs/>
          <w:noProof/>
          <w:sz w:val="24"/>
          <w:szCs w:val="24"/>
          <w:lang w:val="sq-AL"/>
        </w:rPr>
        <w:t xml:space="preserve"> e rritjes së pagave në shërbimin civil duhet të avancojë me adresimin e </w:t>
      </w:r>
      <w:r w:rsidR="007C1ABD" w:rsidRPr="00641640">
        <w:rPr>
          <w:rFonts w:ascii="Times New Roman" w:hAnsi="Times New Roman" w:cs="Times New Roman"/>
          <w:bCs/>
          <w:iCs/>
          <w:noProof/>
          <w:sz w:val="24"/>
          <w:szCs w:val="24"/>
          <w:lang w:val="sq-AL"/>
        </w:rPr>
        <w:t>çështjeve</w:t>
      </w:r>
      <w:r w:rsidR="00870DCD" w:rsidRPr="00641640">
        <w:rPr>
          <w:rFonts w:ascii="Times New Roman" w:hAnsi="Times New Roman" w:cs="Times New Roman"/>
          <w:bCs/>
          <w:iCs/>
          <w:noProof/>
          <w:sz w:val="24"/>
          <w:szCs w:val="24"/>
          <w:lang w:val="sq-AL"/>
        </w:rPr>
        <w:t xml:space="preserve"> sistemike në klasifikimin e vendeve të punës</w:t>
      </w:r>
      <w:r w:rsidR="00141C83" w:rsidRPr="00641640">
        <w:rPr>
          <w:rFonts w:ascii="Times New Roman" w:hAnsi="Times New Roman" w:cs="Times New Roman"/>
          <w:bCs/>
          <w:iCs/>
          <w:noProof/>
          <w:sz w:val="24"/>
          <w:szCs w:val="24"/>
          <w:lang w:val="sq-AL"/>
        </w:rPr>
        <w:t>.</w:t>
      </w:r>
      <w:r w:rsidR="00870DCD" w:rsidRPr="00641640">
        <w:rPr>
          <w:rFonts w:ascii="Times New Roman" w:hAnsi="Times New Roman" w:cs="Times New Roman"/>
          <w:bCs/>
          <w:iCs/>
          <w:noProof/>
          <w:sz w:val="24"/>
          <w:szCs w:val="24"/>
          <w:lang w:val="sq-AL"/>
        </w:rPr>
        <w:t xml:space="preserve"> </w:t>
      </w:r>
    </w:p>
    <w:p w14:paraId="68B0660F" w14:textId="307C1755" w:rsidR="0016191E" w:rsidRPr="00641640" w:rsidRDefault="00870DCD" w:rsidP="003A395D">
      <w:pPr>
        <w:spacing w:line="276" w:lineRule="auto"/>
        <w:jc w:val="both"/>
        <w:rPr>
          <w:rFonts w:ascii="Times New Roman" w:hAnsi="Times New Roman" w:cs="Times New Roman"/>
          <w:bCs/>
          <w:iCs/>
          <w:noProof/>
          <w:sz w:val="24"/>
          <w:szCs w:val="24"/>
          <w:lang w:val="sq-AL"/>
        </w:rPr>
      </w:pPr>
      <w:r w:rsidRPr="00641640">
        <w:rPr>
          <w:rFonts w:ascii="Times New Roman" w:hAnsi="Times New Roman" w:cs="Times New Roman"/>
          <w:bCs/>
          <w:iCs/>
          <w:noProof/>
          <w:sz w:val="24"/>
          <w:szCs w:val="24"/>
          <w:lang w:val="sq-AL"/>
        </w:rPr>
        <w:t>Vë</w:t>
      </w:r>
      <w:r w:rsidR="0016191E" w:rsidRPr="00641640">
        <w:rPr>
          <w:rFonts w:ascii="Times New Roman" w:hAnsi="Times New Roman" w:cs="Times New Roman"/>
          <w:bCs/>
          <w:iCs/>
          <w:noProof/>
          <w:sz w:val="24"/>
          <w:szCs w:val="24"/>
          <w:lang w:val="sq-AL"/>
        </w:rPr>
        <w:t xml:space="preserve">mendje e </w:t>
      </w:r>
      <w:r w:rsidRPr="00641640">
        <w:rPr>
          <w:rFonts w:ascii="Times New Roman" w:hAnsi="Times New Roman" w:cs="Times New Roman"/>
          <w:bCs/>
          <w:iCs/>
          <w:noProof/>
          <w:sz w:val="24"/>
          <w:szCs w:val="24"/>
          <w:lang w:val="sq-AL"/>
        </w:rPr>
        <w:t>posaçme</w:t>
      </w:r>
      <w:r w:rsidR="0016191E" w:rsidRPr="00641640">
        <w:rPr>
          <w:rFonts w:ascii="Times New Roman" w:hAnsi="Times New Roman" w:cs="Times New Roman"/>
          <w:bCs/>
          <w:iCs/>
          <w:noProof/>
          <w:sz w:val="24"/>
          <w:szCs w:val="24"/>
          <w:lang w:val="sq-AL"/>
        </w:rPr>
        <w:t xml:space="preserve"> d</w:t>
      </w:r>
      <w:r w:rsidR="00A743CF" w:rsidRPr="00641640">
        <w:rPr>
          <w:rFonts w:ascii="Times New Roman" w:hAnsi="Times New Roman" w:cs="Times New Roman"/>
          <w:bCs/>
          <w:iCs/>
          <w:noProof/>
          <w:sz w:val="24"/>
          <w:szCs w:val="24"/>
          <w:lang w:val="sq-AL"/>
        </w:rPr>
        <w:t>uhet</w:t>
      </w:r>
      <w:r w:rsidR="0016191E" w:rsidRPr="00641640">
        <w:rPr>
          <w:rFonts w:ascii="Times New Roman" w:hAnsi="Times New Roman" w:cs="Times New Roman"/>
          <w:bCs/>
          <w:iCs/>
          <w:noProof/>
          <w:sz w:val="24"/>
          <w:szCs w:val="24"/>
          <w:lang w:val="sq-AL"/>
        </w:rPr>
        <w:t xml:space="preserve"> t</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 xml:space="preserve"> kushtohet </w:t>
      </w:r>
      <w:r w:rsidRPr="00641640">
        <w:rPr>
          <w:rFonts w:ascii="Times New Roman" w:hAnsi="Times New Roman" w:cs="Times New Roman"/>
          <w:bCs/>
          <w:iCs/>
          <w:noProof/>
          <w:sz w:val="24"/>
          <w:szCs w:val="24"/>
          <w:lang w:val="sq-AL"/>
        </w:rPr>
        <w:t xml:space="preserve">gjithashtu </w:t>
      </w:r>
      <w:r w:rsidR="0016191E" w:rsidRPr="00641640">
        <w:rPr>
          <w:rFonts w:ascii="Times New Roman" w:hAnsi="Times New Roman" w:cs="Times New Roman"/>
          <w:bCs/>
          <w:iCs/>
          <w:noProof/>
          <w:sz w:val="24"/>
          <w:szCs w:val="24"/>
          <w:lang w:val="sq-AL"/>
        </w:rPr>
        <w:t>p</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r</w:t>
      </w:r>
      <w:r w:rsidR="00FE7E64" w:rsidRPr="00641640">
        <w:rPr>
          <w:rFonts w:ascii="Times New Roman" w:hAnsi="Times New Roman" w:cs="Times New Roman"/>
          <w:bCs/>
          <w:iCs/>
          <w:noProof/>
          <w:sz w:val="24"/>
          <w:szCs w:val="24"/>
          <w:lang w:val="sq-AL"/>
        </w:rPr>
        <w:t xml:space="preserve"> zbatimin e kuadrit ligjor dhe rregullator</w:t>
      </w:r>
      <w:r w:rsidR="0016191E" w:rsidRPr="00641640">
        <w:rPr>
          <w:rFonts w:ascii="Times New Roman" w:hAnsi="Times New Roman" w:cs="Times New Roman"/>
          <w:bCs/>
          <w:iCs/>
          <w:noProof/>
          <w:sz w:val="24"/>
          <w:szCs w:val="24"/>
          <w:lang w:val="sq-AL"/>
        </w:rPr>
        <w:t xml:space="preserve"> </w:t>
      </w:r>
      <w:r w:rsidR="00FE7E64" w:rsidRPr="00641640">
        <w:rPr>
          <w:rFonts w:ascii="Times New Roman" w:hAnsi="Times New Roman" w:cs="Times New Roman"/>
          <w:bCs/>
          <w:iCs/>
          <w:noProof/>
          <w:sz w:val="24"/>
          <w:szCs w:val="24"/>
          <w:lang w:val="sq-AL"/>
        </w:rPr>
        <w:t>t</w:t>
      </w:r>
      <w:r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 xml:space="preserve"> etik</w:t>
      </w:r>
      <w:r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s dhe integritetit, si pjes</w:t>
      </w:r>
      <w:r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 xml:space="preserve"> e procesit m</w:t>
      </w:r>
      <w:r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 xml:space="preserve"> t</w:t>
      </w:r>
      <w:r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 xml:space="preserve"> gjer</w:t>
      </w:r>
      <w:r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 xml:space="preserve"> t</w:t>
      </w:r>
      <w:r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 xml:space="preserve"> </w:t>
      </w:r>
      <w:r w:rsidR="0016191E" w:rsidRPr="00641640">
        <w:rPr>
          <w:rFonts w:ascii="Times New Roman" w:hAnsi="Times New Roman" w:cs="Times New Roman"/>
          <w:bCs/>
          <w:iCs/>
          <w:noProof/>
          <w:sz w:val="24"/>
          <w:szCs w:val="24"/>
          <w:lang w:val="sq-AL"/>
        </w:rPr>
        <w:t>menaxhimi</w:t>
      </w:r>
      <w:r w:rsidR="00FE7E64" w:rsidRPr="00641640">
        <w:rPr>
          <w:rFonts w:ascii="Times New Roman" w:hAnsi="Times New Roman" w:cs="Times New Roman"/>
          <w:bCs/>
          <w:iCs/>
          <w:noProof/>
          <w:sz w:val="24"/>
          <w:szCs w:val="24"/>
          <w:lang w:val="sq-AL"/>
        </w:rPr>
        <w:t>t t</w:t>
      </w:r>
      <w:r w:rsidRPr="00641640">
        <w:rPr>
          <w:rFonts w:ascii="Times New Roman" w:hAnsi="Times New Roman" w:cs="Times New Roman"/>
          <w:bCs/>
          <w:iCs/>
          <w:noProof/>
          <w:sz w:val="24"/>
          <w:szCs w:val="24"/>
          <w:lang w:val="sq-AL"/>
        </w:rPr>
        <w:t>ë</w:t>
      </w:r>
      <w:r w:rsidR="00FE7E64" w:rsidRPr="00641640">
        <w:rPr>
          <w:rFonts w:ascii="Times New Roman" w:hAnsi="Times New Roman" w:cs="Times New Roman"/>
          <w:bCs/>
          <w:iCs/>
          <w:noProof/>
          <w:sz w:val="24"/>
          <w:szCs w:val="24"/>
          <w:lang w:val="sq-AL"/>
        </w:rPr>
        <w:t xml:space="preserve"> </w:t>
      </w:r>
      <w:r w:rsidR="0016191E" w:rsidRPr="00641640">
        <w:rPr>
          <w:rFonts w:ascii="Times New Roman" w:hAnsi="Times New Roman" w:cs="Times New Roman"/>
          <w:bCs/>
          <w:iCs/>
          <w:noProof/>
          <w:sz w:val="24"/>
          <w:szCs w:val="24"/>
          <w:lang w:val="sq-AL"/>
        </w:rPr>
        <w:t>p</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rmir</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suar t</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 xml:space="preserve"> burimeve njerëzore, në përputhje me Udhërrëfyesin e Reformës në Administratën Publike 2023-2030, bazuar në një analizë gjithëpërfshirëse të burimeve njerezore. </w:t>
      </w:r>
    </w:p>
    <w:p w14:paraId="126650F9" w14:textId="0E3E591D" w:rsidR="00DF64D5" w:rsidRPr="00641640" w:rsidRDefault="00870DCD" w:rsidP="003A395D">
      <w:pPr>
        <w:spacing w:line="276" w:lineRule="auto"/>
        <w:jc w:val="both"/>
        <w:rPr>
          <w:rFonts w:ascii="Times New Roman" w:hAnsi="Times New Roman" w:cs="Times New Roman"/>
          <w:bCs/>
          <w:iCs/>
          <w:noProof/>
          <w:sz w:val="24"/>
          <w:szCs w:val="24"/>
          <w:lang w:val="sq-AL"/>
        </w:rPr>
      </w:pPr>
      <w:r w:rsidRPr="00641640">
        <w:rPr>
          <w:rFonts w:ascii="Times New Roman" w:hAnsi="Times New Roman" w:cs="Times New Roman"/>
          <w:bCs/>
          <w:iCs/>
          <w:noProof/>
          <w:sz w:val="24"/>
          <w:szCs w:val="24"/>
          <w:lang w:val="sq-AL"/>
        </w:rPr>
        <w:t>Përmes adresimit të këtyre sfidave përg</w:t>
      </w:r>
      <w:r w:rsidR="0016191E" w:rsidRPr="00641640">
        <w:rPr>
          <w:rFonts w:ascii="Times New Roman" w:hAnsi="Times New Roman" w:cs="Times New Roman"/>
          <w:bCs/>
          <w:iCs/>
          <w:noProof/>
          <w:sz w:val="24"/>
          <w:szCs w:val="24"/>
          <w:lang w:val="sq-AL"/>
        </w:rPr>
        <w:t>jat</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 xml:space="preserve"> viteve n</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 xml:space="preserve"> vijim, </w:t>
      </w:r>
      <w:r w:rsidRPr="00641640">
        <w:rPr>
          <w:rFonts w:ascii="Times New Roman" w:hAnsi="Times New Roman" w:cs="Times New Roman"/>
          <w:bCs/>
          <w:iCs/>
          <w:noProof/>
          <w:sz w:val="24"/>
          <w:szCs w:val="24"/>
          <w:lang w:val="sq-AL"/>
        </w:rPr>
        <w:t xml:space="preserve">synohet që </w:t>
      </w:r>
      <w:r w:rsidR="0016191E" w:rsidRPr="00641640">
        <w:rPr>
          <w:rFonts w:ascii="Times New Roman" w:hAnsi="Times New Roman" w:cs="Times New Roman"/>
          <w:bCs/>
          <w:iCs/>
          <w:noProof/>
          <w:sz w:val="24"/>
          <w:szCs w:val="24"/>
          <w:lang w:val="sq-AL"/>
        </w:rPr>
        <w:t>administrata publike shqiptare</w:t>
      </w:r>
      <w:r w:rsidRPr="00641640">
        <w:rPr>
          <w:rFonts w:ascii="Times New Roman" w:hAnsi="Times New Roman" w:cs="Times New Roman"/>
          <w:bCs/>
          <w:iCs/>
          <w:noProof/>
          <w:sz w:val="24"/>
          <w:szCs w:val="24"/>
          <w:lang w:val="sq-AL"/>
        </w:rPr>
        <w:t xml:space="preserve"> </w:t>
      </w:r>
      <w:r w:rsidR="0016191E" w:rsidRPr="00641640">
        <w:rPr>
          <w:rFonts w:ascii="Times New Roman" w:hAnsi="Times New Roman" w:cs="Times New Roman"/>
          <w:bCs/>
          <w:iCs/>
          <w:noProof/>
          <w:sz w:val="24"/>
          <w:szCs w:val="24"/>
          <w:lang w:val="sq-AL"/>
        </w:rPr>
        <w:t>të pajiset me aft</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sit</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 xml:space="preserve"> e nevojshme p</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r t</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 xml:space="preserve"> përballur suksessh</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m k</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rkesat e procesit të integrimit evropian, përfshirë harmonizimin e politikave dhe proceseve me standardet e BE-së. Fuqizimi i koordinimit nd</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rinstitucional do t</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 xml:space="preserve"> jet</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 xml:space="preserve"> nj</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 xml:space="preserve"> aspekt kyç n</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 xml:space="preserve"> k</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t</w:t>
      </w:r>
      <w:r w:rsidRPr="00641640">
        <w:rPr>
          <w:rFonts w:ascii="Times New Roman" w:hAnsi="Times New Roman" w:cs="Times New Roman"/>
          <w:bCs/>
          <w:iCs/>
          <w:noProof/>
          <w:sz w:val="24"/>
          <w:szCs w:val="24"/>
          <w:lang w:val="sq-AL"/>
        </w:rPr>
        <w:t>ë</w:t>
      </w:r>
      <w:r w:rsidR="0016191E" w:rsidRPr="00641640">
        <w:rPr>
          <w:rFonts w:ascii="Times New Roman" w:hAnsi="Times New Roman" w:cs="Times New Roman"/>
          <w:bCs/>
          <w:iCs/>
          <w:noProof/>
          <w:sz w:val="24"/>
          <w:szCs w:val="24"/>
          <w:lang w:val="sq-AL"/>
        </w:rPr>
        <w:t xml:space="preserve"> drejtim për përmbushjen e angazhimeve që lindin nga </w:t>
      </w:r>
      <w:r w:rsidRPr="00641640">
        <w:rPr>
          <w:rFonts w:ascii="Times New Roman" w:hAnsi="Times New Roman" w:cs="Times New Roman"/>
          <w:bCs/>
          <w:iCs/>
          <w:noProof/>
          <w:sz w:val="24"/>
          <w:szCs w:val="24"/>
          <w:lang w:val="sq-AL"/>
        </w:rPr>
        <w:t xml:space="preserve">ky </w:t>
      </w:r>
      <w:r w:rsidR="0016191E" w:rsidRPr="00641640">
        <w:rPr>
          <w:rFonts w:ascii="Times New Roman" w:hAnsi="Times New Roman" w:cs="Times New Roman"/>
          <w:bCs/>
          <w:iCs/>
          <w:noProof/>
          <w:sz w:val="24"/>
          <w:szCs w:val="24"/>
          <w:lang w:val="sq-AL"/>
        </w:rPr>
        <w:t>proces</w:t>
      </w:r>
      <w:r w:rsidRPr="00641640">
        <w:rPr>
          <w:rFonts w:ascii="Times New Roman" w:hAnsi="Times New Roman" w:cs="Times New Roman"/>
          <w:bCs/>
          <w:iCs/>
          <w:noProof/>
          <w:sz w:val="24"/>
          <w:szCs w:val="24"/>
          <w:lang w:val="sq-AL"/>
        </w:rPr>
        <w:t xml:space="preserve"> historik dhe transformativ për sektorin publik shqiptar</w:t>
      </w:r>
      <w:r w:rsidR="0016191E" w:rsidRPr="00641640">
        <w:rPr>
          <w:rFonts w:ascii="Times New Roman" w:hAnsi="Times New Roman" w:cs="Times New Roman"/>
          <w:bCs/>
          <w:iCs/>
          <w:noProof/>
          <w:sz w:val="24"/>
          <w:szCs w:val="24"/>
          <w:lang w:val="sq-AL"/>
        </w:rPr>
        <w:t>.</w:t>
      </w:r>
    </w:p>
    <w:p w14:paraId="3917B2D3" w14:textId="77777777" w:rsidR="005A6D02" w:rsidRPr="00641640" w:rsidRDefault="005A6D02" w:rsidP="003A395D">
      <w:pPr>
        <w:spacing w:after="0" w:line="276" w:lineRule="auto"/>
        <w:jc w:val="both"/>
        <w:rPr>
          <w:rFonts w:ascii="Times New Roman" w:hAnsi="Times New Roman" w:cs="Times New Roman"/>
          <w:b/>
          <w:bCs/>
          <w:iCs/>
          <w:noProof/>
          <w:sz w:val="24"/>
          <w:szCs w:val="24"/>
          <w:lang w:val="sq-AL"/>
        </w:rPr>
      </w:pPr>
    </w:p>
    <w:p w14:paraId="45F4431A" w14:textId="3C7CCC85" w:rsidR="00EF0180" w:rsidRPr="00641640" w:rsidRDefault="005A6D02" w:rsidP="003A395D">
      <w:pPr>
        <w:pStyle w:val="Heading2"/>
        <w:spacing w:after="240" w:line="276" w:lineRule="auto"/>
        <w:rPr>
          <w:rFonts w:ascii="Times New Roman" w:hAnsi="Times New Roman" w:cs="Times New Roman"/>
          <w:b/>
          <w:bCs/>
          <w:noProof/>
          <w:color w:val="C45911" w:themeColor="accent2" w:themeShade="BF"/>
          <w:sz w:val="24"/>
          <w:szCs w:val="24"/>
          <w:lang w:val="sq-AL"/>
        </w:rPr>
      </w:pPr>
      <w:bookmarkStart w:id="22" w:name="_Toc189510620"/>
      <w:r w:rsidRPr="00641640">
        <w:rPr>
          <w:rFonts w:ascii="Times New Roman" w:hAnsi="Times New Roman" w:cs="Times New Roman"/>
          <w:b/>
          <w:bCs/>
          <w:noProof/>
          <w:color w:val="C45911" w:themeColor="accent2" w:themeShade="BF"/>
          <w:sz w:val="24"/>
          <w:szCs w:val="24"/>
          <w:lang w:val="sq-AL"/>
        </w:rPr>
        <w:lastRenderedPageBreak/>
        <w:t xml:space="preserve">2.3 </w:t>
      </w:r>
      <w:r w:rsidR="00653240" w:rsidRPr="00641640">
        <w:rPr>
          <w:rFonts w:ascii="Times New Roman" w:hAnsi="Times New Roman" w:cs="Times New Roman"/>
          <w:b/>
          <w:bCs/>
          <w:noProof/>
          <w:color w:val="C45911" w:themeColor="accent2" w:themeShade="BF"/>
          <w:sz w:val="24"/>
          <w:szCs w:val="24"/>
          <w:lang w:val="sq-AL"/>
        </w:rPr>
        <w:t>Arritjet dhe sfidat</w:t>
      </w:r>
      <w:r w:rsidR="00C33CC1" w:rsidRPr="00641640">
        <w:rPr>
          <w:rFonts w:ascii="Times New Roman" w:hAnsi="Times New Roman" w:cs="Times New Roman"/>
          <w:b/>
          <w:bCs/>
          <w:noProof/>
          <w:color w:val="C45911" w:themeColor="accent2" w:themeShade="BF"/>
          <w:sz w:val="24"/>
          <w:szCs w:val="24"/>
          <w:lang w:val="sq-AL"/>
        </w:rPr>
        <w:t xml:space="preserve"> në o</w:t>
      </w:r>
      <w:r w:rsidR="00E551E9" w:rsidRPr="00641640">
        <w:rPr>
          <w:rFonts w:ascii="Times New Roman" w:hAnsi="Times New Roman" w:cs="Times New Roman"/>
          <w:b/>
          <w:bCs/>
          <w:noProof/>
          <w:color w:val="C45911" w:themeColor="accent2" w:themeShade="BF"/>
          <w:sz w:val="24"/>
          <w:szCs w:val="24"/>
          <w:lang w:val="sq-AL"/>
        </w:rPr>
        <w:t>frimi</w:t>
      </w:r>
      <w:r w:rsidR="00C33CC1" w:rsidRPr="00641640">
        <w:rPr>
          <w:rFonts w:ascii="Times New Roman" w:hAnsi="Times New Roman" w:cs="Times New Roman"/>
          <w:b/>
          <w:bCs/>
          <w:noProof/>
          <w:color w:val="C45911" w:themeColor="accent2" w:themeShade="BF"/>
          <w:sz w:val="24"/>
          <w:szCs w:val="24"/>
          <w:lang w:val="sq-AL"/>
        </w:rPr>
        <w:t>n e</w:t>
      </w:r>
      <w:r w:rsidR="00E551E9" w:rsidRPr="00641640">
        <w:rPr>
          <w:rFonts w:ascii="Times New Roman" w:hAnsi="Times New Roman" w:cs="Times New Roman"/>
          <w:b/>
          <w:bCs/>
          <w:noProof/>
          <w:color w:val="C45911" w:themeColor="accent2" w:themeShade="BF"/>
          <w:sz w:val="24"/>
          <w:szCs w:val="24"/>
          <w:lang w:val="sq-AL"/>
        </w:rPr>
        <w:t xml:space="preserve"> shërbimeve </w:t>
      </w:r>
      <w:r w:rsidR="009A6E5A" w:rsidRPr="00641640">
        <w:rPr>
          <w:rFonts w:ascii="Times New Roman" w:hAnsi="Times New Roman" w:cs="Times New Roman"/>
          <w:b/>
          <w:bCs/>
          <w:noProof/>
          <w:color w:val="C45911" w:themeColor="accent2" w:themeShade="BF"/>
          <w:sz w:val="24"/>
          <w:szCs w:val="24"/>
          <w:lang w:val="sq-AL"/>
        </w:rPr>
        <w:t>t</w:t>
      </w:r>
      <w:r w:rsidR="007F00FB" w:rsidRPr="00641640">
        <w:rPr>
          <w:rFonts w:ascii="Times New Roman" w:hAnsi="Times New Roman" w:cs="Times New Roman"/>
          <w:b/>
          <w:bCs/>
          <w:noProof/>
          <w:color w:val="C45911" w:themeColor="accent2" w:themeShade="BF"/>
          <w:sz w:val="24"/>
          <w:szCs w:val="24"/>
          <w:lang w:val="sq-AL"/>
        </w:rPr>
        <w:t>ë</w:t>
      </w:r>
      <w:r w:rsidR="00E551E9" w:rsidRPr="00641640">
        <w:rPr>
          <w:rFonts w:ascii="Times New Roman" w:hAnsi="Times New Roman" w:cs="Times New Roman"/>
          <w:b/>
          <w:bCs/>
          <w:noProof/>
          <w:color w:val="C45911" w:themeColor="accent2" w:themeShade="BF"/>
          <w:sz w:val="24"/>
          <w:szCs w:val="24"/>
          <w:lang w:val="sq-AL"/>
        </w:rPr>
        <w:t xml:space="preserve"> digjitaliz</w:t>
      </w:r>
      <w:r w:rsidR="009A6E5A" w:rsidRPr="00641640">
        <w:rPr>
          <w:rFonts w:ascii="Times New Roman" w:hAnsi="Times New Roman" w:cs="Times New Roman"/>
          <w:b/>
          <w:bCs/>
          <w:noProof/>
          <w:color w:val="C45911" w:themeColor="accent2" w:themeShade="BF"/>
          <w:sz w:val="24"/>
          <w:szCs w:val="24"/>
          <w:lang w:val="sq-AL"/>
        </w:rPr>
        <w:t>uara</w:t>
      </w:r>
      <w:bookmarkEnd w:id="22"/>
    </w:p>
    <w:p w14:paraId="5FAC37FD" w14:textId="7196EC4D" w:rsidR="00BC4368" w:rsidRPr="00641640" w:rsidRDefault="00BC4368"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Shqipëria ka bërë përpjekje serioze për të digjitalizuar një sërë aspektesh të shërbimeve</w:t>
      </w:r>
      <w:r w:rsidR="00076AE4" w:rsidRPr="00641640">
        <w:rPr>
          <w:rFonts w:ascii="Times New Roman" w:hAnsi="Times New Roman" w:cs="Times New Roman"/>
          <w:noProof/>
          <w:sz w:val="24"/>
          <w:szCs w:val="24"/>
          <w:lang w:val="sq-AL"/>
        </w:rPr>
        <w:t xml:space="preserve"> publike</w:t>
      </w:r>
      <w:r w:rsidRPr="00641640">
        <w:rPr>
          <w:rFonts w:ascii="Times New Roman" w:hAnsi="Times New Roman" w:cs="Times New Roman"/>
          <w:noProof/>
          <w:sz w:val="24"/>
          <w:szCs w:val="24"/>
          <w:lang w:val="sq-AL"/>
        </w:rPr>
        <w:t xml:space="preserve">, duke përfshirë </w:t>
      </w:r>
      <w:r w:rsidR="00076AE4" w:rsidRPr="00641640">
        <w:rPr>
          <w:rFonts w:ascii="Times New Roman" w:hAnsi="Times New Roman" w:cs="Times New Roman"/>
          <w:noProof/>
          <w:sz w:val="24"/>
          <w:szCs w:val="24"/>
          <w:lang w:val="sq-AL"/>
        </w:rPr>
        <w:t>nj</w:t>
      </w:r>
      <w:r w:rsidR="00E72046" w:rsidRPr="00641640">
        <w:rPr>
          <w:rFonts w:ascii="Times New Roman" w:hAnsi="Times New Roman" w:cs="Times New Roman"/>
          <w:noProof/>
          <w:sz w:val="24"/>
          <w:szCs w:val="24"/>
          <w:lang w:val="sq-AL"/>
        </w:rPr>
        <w:t>ë</w:t>
      </w:r>
      <w:r w:rsidR="00076AE4" w:rsidRPr="00641640">
        <w:rPr>
          <w:rFonts w:ascii="Times New Roman" w:hAnsi="Times New Roman" w:cs="Times New Roman"/>
          <w:noProof/>
          <w:sz w:val="24"/>
          <w:szCs w:val="24"/>
          <w:lang w:val="sq-AL"/>
        </w:rPr>
        <w:t xml:space="preserve"> num</w:t>
      </w:r>
      <w:r w:rsidR="00E72046" w:rsidRPr="00641640">
        <w:rPr>
          <w:rFonts w:ascii="Times New Roman" w:hAnsi="Times New Roman" w:cs="Times New Roman"/>
          <w:noProof/>
          <w:sz w:val="24"/>
          <w:szCs w:val="24"/>
          <w:lang w:val="sq-AL"/>
        </w:rPr>
        <w:t>ë</w:t>
      </w:r>
      <w:r w:rsidR="00076AE4" w:rsidRPr="00641640">
        <w:rPr>
          <w:rFonts w:ascii="Times New Roman" w:hAnsi="Times New Roman" w:cs="Times New Roman"/>
          <w:noProof/>
          <w:sz w:val="24"/>
          <w:szCs w:val="24"/>
          <w:lang w:val="sq-AL"/>
        </w:rPr>
        <w:t xml:space="preserve">r projektesh </w:t>
      </w:r>
      <w:r w:rsidRPr="00641640">
        <w:rPr>
          <w:rFonts w:ascii="Times New Roman" w:hAnsi="Times New Roman" w:cs="Times New Roman"/>
          <w:noProof/>
          <w:sz w:val="24"/>
          <w:szCs w:val="24"/>
          <w:lang w:val="sq-AL"/>
        </w:rPr>
        <w:t>që lidhen me qeverisjen</w:t>
      </w:r>
      <w:r w:rsidR="006F7BA7" w:rsidRPr="00641640">
        <w:rPr>
          <w:rFonts w:ascii="Times New Roman" w:hAnsi="Times New Roman" w:cs="Times New Roman"/>
          <w:noProof/>
          <w:sz w:val="24"/>
          <w:szCs w:val="24"/>
          <w:lang w:val="sq-AL"/>
        </w:rPr>
        <w:t xml:space="preserve"> elektronike</w:t>
      </w:r>
      <w:r w:rsidR="00076AE4" w:rsidRPr="00641640">
        <w:rPr>
          <w:rFonts w:ascii="Times New Roman" w:hAnsi="Times New Roman" w:cs="Times New Roman"/>
          <w:noProof/>
          <w:sz w:val="24"/>
          <w:szCs w:val="24"/>
          <w:lang w:val="sq-AL"/>
        </w:rPr>
        <w:t>, t</w:t>
      </w:r>
      <w:r w:rsidR="00E72046" w:rsidRPr="00641640">
        <w:rPr>
          <w:rFonts w:ascii="Times New Roman" w:hAnsi="Times New Roman" w:cs="Times New Roman"/>
          <w:noProof/>
          <w:sz w:val="24"/>
          <w:szCs w:val="24"/>
          <w:lang w:val="sq-AL"/>
        </w:rPr>
        <w:t>ë</w:t>
      </w:r>
      <w:r w:rsidR="00076AE4" w:rsidRPr="00641640">
        <w:rPr>
          <w:rFonts w:ascii="Times New Roman" w:hAnsi="Times New Roman" w:cs="Times New Roman"/>
          <w:noProof/>
          <w:sz w:val="24"/>
          <w:szCs w:val="24"/>
          <w:lang w:val="sq-AL"/>
        </w:rPr>
        <w:t xml:space="preserve"> cilat </w:t>
      </w:r>
      <w:r w:rsidRPr="00641640">
        <w:rPr>
          <w:rFonts w:ascii="Times New Roman" w:hAnsi="Times New Roman" w:cs="Times New Roman"/>
          <w:noProof/>
          <w:sz w:val="24"/>
          <w:szCs w:val="24"/>
          <w:lang w:val="sq-AL"/>
        </w:rPr>
        <w:t>synojnë rri</w:t>
      </w:r>
      <w:r w:rsidR="009A6E5A" w:rsidRPr="00641640">
        <w:rPr>
          <w:rFonts w:ascii="Times New Roman" w:hAnsi="Times New Roman" w:cs="Times New Roman"/>
          <w:noProof/>
          <w:sz w:val="24"/>
          <w:szCs w:val="24"/>
          <w:lang w:val="sq-AL"/>
        </w:rPr>
        <w:t>tjen e</w:t>
      </w:r>
      <w:r w:rsidRPr="00641640">
        <w:rPr>
          <w:rFonts w:ascii="Times New Roman" w:hAnsi="Times New Roman" w:cs="Times New Roman"/>
          <w:noProof/>
          <w:sz w:val="24"/>
          <w:szCs w:val="24"/>
          <w:lang w:val="sq-AL"/>
        </w:rPr>
        <w:t xml:space="preserve"> ef</w:t>
      </w:r>
      <w:r w:rsidR="00076AE4" w:rsidRPr="00641640">
        <w:rPr>
          <w:rFonts w:ascii="Times New Roman" w:hAnsi="Times New Roman" w:cs="Times New Roman"/>
          <w:noProof/>
          <w:sz w:val="24"/>
          <w:szCs w:val="24"/>
          <w:lang w:val="sq-AL"/>
        </w:rPr>
        <w:t>ikasitetit</w:t>
      </w:r>
      <w:r w:rsidRPr="00641640">
        <w:rPr>
          <w:rFonts w:ascii="Times New Roman" w:hAnsi="Times New Roman" w:cs="Times New Roman"/>
          <w:noProof/>
          <w:sz w:val="24"/>
          <w:szCs w:val="24"/>
          <w:lang w:val="sq-AL"/>
        </w:rPr>
        <w:t>, transparencë</w:t>
      </w:r>
      <w:r w:rsidR="009A6E5A" w:rsidRPr="00641640">
        <w:rPr>
          <w:rFonts w:ascii="Times New Roman" w:hAnsi="Times New Roman" w:cs="Times New Roman"/>
          <w:noProof/>
          <w:sz w:val="24"/>
          <w:szCs w:val="24"/>
          <w:lang w:val="sq-AL"/>
        </w:rPr>
        <w:t>s</w:t>
      </w:r>
      <w:r w:rsidRPr="00641640">
        <w:rPr>
          <w:rFonts w:ascii="Times New Roman" w:hAnsi="Times New Roman" w:cs="Times New Roman"/>
          <w:noProof/>
          <w:sz w:val="24"/>
          <w:szCs w:val="24"/>
          <w:lang w:val="sq-AL"/>
        </w:rPr>
        <w:t xml:space="preserve"> dhe </w:t>
      </w:r>
      <w:r w:rsidR="00076AE4" w:rsidRPr="00641640">
        <w:rPr>
          <w:rFonts w:ascii="Times New Roman" w:hAnsi="Times New Roman" w:cs="Times New Roman"/>
          <w:noProof/>
          <w:sz w:val="24"/>
          <w:szCs w:val="24"/>
          <w:lang w:val="sq-AL"/>
        </w:rPr>
        <w:t>qasjes s</w:t>
      </w:r>
      <w:r w:rsidR="00E72046" w:rsidRPr="00641640">
        <w:rPr>
          <w:rFonts w:ascii="Times New Roman" w:hAnsi="Times New Roman" w:cs="Times New Roman"/>
          <w:noProof/>
          <w:sz w:val="24"/>
          <w:szCs w:val="24"/>
          <w:lang w:val="sq-AL"/>
        </w:rPr>
        <w:t>ë</w:t>
      </w:r>
      <w:r w:rsidR="00076AE4" w:rsidRPr="00641640">
        <w:rPr>
          <w:rFonts w:ascii="Times New Roman" w:hAnsi="Times New Roman" w:cs="Times New Roman"/>
          <w:noProof/>
          <w:sz w:val="24"/>
          <w:szCs w:val="24"/>
          <w:lang w:val="sq-AL"/>
        </w:rPr>
        <w:t xml:space="preserve"> publikut</w:t>
      </w:r>
      <w:r w:rsidRPr="00641640">
        <w:rPr>
          <w:rFonts w:ascii="Times New Roman" w:hAnsi="Times New Roman" w:cs="Times New Roman"/>
          <w:noProof/>
          <w:sz w:val="24"/>
          <w:szCs w:val="24"/>
          <w:lang w:val="sq-AL"/>
        </w:rPr>
        <w:t>. Në përgatitjen e Strategjisë Ndërsektoriale për Reformën në Administratën Publike 2015</w:t>
      </w:r>
      <w:r w:rsidR="00BA2E69"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2022, </w:t>
      </w:r>
      <w:r w:rsidR="006A127F" w:rsidRPr="00641640">
        <w:rPr>
          <w:rFonts w:ascii="Times New Roman" w:hAnsi="Times New Roman" w:cs="Times New Roman"/>
          <w:noProof/>
          <w:sz w:val="24"/>
          <w:szCs w:val="24"/>
          <w:lang w:val="sq-AL"/>
        </w:rPr>
        <w:t>iu dedikua v</w:t>
      </w:r>
      <w:r w:rsidR="00E72046" w:rsidRPr="00641640">
        <w:rPr>
          <w:rFonts w:ascii="Times New Roman" w:hAnsi="Times New Roman" w:cs="Times New Roman"/>
          <w:noProof/>
          <w:sz w:val="24"/>
          <w:szCs w:val="24"/>
          <w:lang w:val="sq-AL"/>
        </w:rPr>
        <w:t>ë</w:t>
      </w:r>
      <w:r w:rsidR="006A127F" w:rsidRPr="00641640">
        <w:rPr>
          <w:rFonts w:ascii="Times New Roman" w:hAnsi="Times New Roman" w:cs="Times New Roman"/>
          <w:noProof/>
          <w:sz w:val="24"/>
          <w:szCs w:val="24"/>
          <w:lang w:val="sq-AL"/>
        </w:rPr>
        <w:t xml:space="preserve">mendje e posaçme </w:t>
      </w:r>
      <w:r w:rsidRPr="00641640">
        <w:rPr>
          <w:rFonts w:ascii="Times New Roman" w:hAnsi="Times New Roman" w:cs="Times New Roman"/>
          <w:noProof/>
          <w:sz w:val="24"/>
          <w:szCs w:val="24"/>
          <w:lang w:val="sq-AL"/>
        </w:rPr>
        <w:t>edhe komponenti</w:t>
      </w:r>
      <w:r w:rsidR="006A127F" w:rsidRPr="00641640">
        <w:rPr>
          <w:rFonts w:ascii="Times New Roman" w:hAnsi="Times New Roman" w:cs="Times New Roman"/>
          <w:noProof/>
          <w:sz w:val="24"/>
          <w:szCs w:val="24"/>
          <w:lang w:val="sq-AL"/>
        </w:rPr>
        <w:t>t</w:t>
      </w:r>
      <w:r w:rsidRPr="00641640">
        <w:rPr>
          <w:rFonts w:ascii="Times New Roman" w:hAnsi="Times New Roman" w:cs="Times New Roman"/>
          <w:noProof/>
          <w:sz w:val="24"/>
          <w:szCs w:val="24"/>
          <w:lang w:val="sq-AL"/>
        </w:rPr>
        <w:t xml:space="preserve"> teknologjik, </w:t>
      </w:r>
      <w:r w:rsidR="006A1EC5" w:rsidRPr="00641640">
        <w:rPr>
          <w:rFonts w:ascii="Times New Roman" w:hAnsi="Times New Roman" w:cs="Times New Roman"/>
          <w:noProof/>
          <w:sz w:val="24"/>
          <w:szCs w:val="24"/>
          <w:lang w:val="sq-AL"/>
        </w:rPr>
        <w:t>që</w:t>
      </w:r>
      <w:r w:rsidRPr="00641640">
        <w:rPr>
          <w:rFonts w:ascii="Times New Roman" w:hAnsi="Times New Roman" w:cs="Times New Roman"/>
          <w:noProof/>
          <w:sz w:val="24"/>
          <w:szCs w:val="24"/>
          <w:lang w:val="sq-AL"/>
        </w:rPr>
        <w:t xml:space="preserve"> u integrua me të gjitha shtyllat e Strategjisë. </w:t>
      </w:r>
      <w:r w:rsidR="006A127F" w:rsidRPr="00641640">
        <w:rPr>
          <w:rFonts w:ascii="Times New Roman" w:hAnsi="Times New Roman" w:cs="Times New Roman"/>
          <w:noProof/>
          <w:sz w:val="24"/>
          <w:szCs w:val="24"/>
          <w:lang w:val="sq-AL"/>
        </w:rPr>
        <w:t>N</w:t>
      </w:r>
      <w:r w:rsidR="00E72046" w:rsidRPr="00641640">
        <w:rPr>
          <w:rFonts w:ascii="Times New Roman" w:hAnsi="Times New Roman" w:cs="Times New Roman"/>
          <w:noProof/>
          <w:sz w:val="24"/>
          <w:szCs w:val="24"/>
          <w:lang w:val="sq-AL"/>
        </w:rPr>
        <w:t>ë</w:t>
      </w:r>
      <w:r w:rsidR="006A127F" w:rsidRPr="00641640">
        <w:rPr>
          <w:rFonts w:ascii="Times New Roman" w:hAnsi="Times New Roman" w:cs="Times New Roman"/>
          <w:noProof/>
          <w:sz w:val="24"/>
          <w:szCs w:val="24"/>
          <w:lang w:val="sq-AL"/>
        </w:rPr>
        <w:t xml:space="preserve"> p</w:t>
      </w:r>
      <w:r w:rsidR="00E72046" w:rsidRPr="00641640">
        <w:rPr>
          <w:rFonts w:ascii="Times New Roman" w:hAnsi="Times New Roman" w:cs="Times New Roman"/>
          <w:noProof/>
          <w:sz w:val="24"/>
          <w:szCs w:val="24"/>
          <w:lang w:val="sq-AL"/>
        </w:rPr>
        <w:t>ë</w:t>
      </w:r>
      <w:r w:rsidR="006A127F" w:rsidRPr="00641640">
        <w:rPr>
          <w:rFonts w:ascii="Times New Roman" w:hAnsi="Times New Roman" w:cs="Times New Roman"/>
          <w:noProof/>
          <w:sz w:val="24"/>
          <w:szCs w:val="24"/>
          <w:lang w:val="sq-AL"/>
        </w:rPr>
        <w:t>rfundim t</w:t>
      </w:r>
      <w:r w:rsidR="00E72046" w:rsidRPr="00641640">
        <w:rPr>
          <w:rFonts w:ascii="Times New Roman" w:hAnsi="Times New Roman" w:cs="Times New Roman"/>
          <w:noProof/>
          <w:sz w:val="24"/>
          <w:szCs w:val="24"/>
          <w:lang w:val="sq-AL"/>
        </w:rPr>
        <w:t>ë</w:t>
      </w:r>
      <w:r w:rsidR="006A127F" w:rsidRPr="00641640">
        <w:rPr>
          <w:rFonts w:ascii="Times New Roman" w:hAnsi="Times New Roman" w:cs="Times New Roman"/>
          <w:noProof/>
          <w:sz w:val="24"/>
          <w:szCs w:val="24"/>
          <w:lang w:val="sq-AL"/>
        </w:rPr>
        <w:t xml:space="preserve"> zbatimit t</w:t>
      </w:r>
      <w:r w:rsidR="00E72046" w:rsidRPr="00641640">
        <w:rPr>
          <w:rFonts w:ascii="Times New Roman" w:hAnsi="Times New Roman" w:cs="Times New Roman"/>
          <w:noProof/>
          <w:sz w:val="24"/>
          <w:szCs w:val="24"/>
          <w:lang w:val="sq-AL"/>
        </w:rPr>
        <w:t>ë</w:t>
      </w:r>
      <w:r w:rsidR="006A127F" w:rsidRPr="00641640">
        <w:rPr>
          <w:rFonts w:ascii="Times New Roman" w:hAnsi="Times New Roman" w:cs="Times New Roman"/>
          <w:noProof/>
          <w:sz w:val="24"/>
          <w:szCs w:val="24"/>
          <w:lang w:val="sq-AL"/>
        </w:rPr>
        <w:t xml:space="preserve"> Strategjis</w:t>
      </w:r>
      <w:r w:rsidR="00E72046" w:rsidRPr="00641640">
        <w:rPr>
          <w:rFonts w:ascii="Times New Roman" w:hAnsi="Times New Roman" w:cs="Times New Roman"/>
          <w:noProof/>
          <w:sz w:val="24"/>
          <w:szCs w:val="24"/>
          <w:lang w:val="sq-AL"/>
        </w:rPr>
        <w:t>ë</w:t>
      </w:r>
      <w:r w:rsidR="006A127F" w:rsidRPr="00641640">
        <w:rPr>
          <w:rFonts w:ascii="Times New Roman" w:hAnsi="Times New Roman" w:cs="Times New Roman"/>
          <w:noProof/>
          <w:sz w:val="24"/>
          <w:szCs w:val="24"/>
          <w:lang w:val="sq-AL"/>
        </w:rPr>
        <w:t xml:space="preserve"> p</w:t>
      </w:r>
      <w:r w:rsidR="00E72046" w:rsidRPr="00641640">
        <w:rPr>
          <w:rFonts w:ascii="Times New Roman" w:hAnsi="Times New Roman" w:cs="Times New Roman"/>
          <w:noProof/>
          <w:sz w:val="24"/>
          <w:szCs w:val="24"/>
          <w:lang w:val="sq-AL"/>
        </w:rPr>
        <w:t>ë</w:t>
      </w:r>
      <w:r w:rsidR="006A127F" w:rsidRPr="00641640">
        <w:rPr>
          <w:rFonts w:ascii="Times New Roman" w:hAnsi="Times New Roman" w:cs="Times New Roman"/>
          <w:noProof/>
          <w:sz w:val="24"/>
          <w:szCs w:val="24"/>
          <w:lang w:val="sq-AL"/>
        </w:rPr>
        <w:t>r periudh</w:t>
      </w:r>
      <w:r w:rsidR="00E72046" w:rsidRPr="00641640">
        <w:rPr>
          <w:rFonts w:ascii="Times New Roman" w:hAnsi="Times New Roman" w:cs="Times New Roman"/>
          <w:noProof/>
          <w:sz w:val="24"/>
          <w:szCs w:val="24"/>
          <w:lang w:val="sq-AL"/>
        </w:rPr>
        <w:t>ë</w:t>
      </w:r>
      <w:r w:rsidR="006A127F" w:rsidRPr="00641640">
        <w:rPr>
          <w:rFonts w:ascii="Times New Roman" w:hAnsi="Times New Roman" w:cs="Times New Roman"/>
          <w:noProof/>
          <w:sz w:val="24"/>
          <w:szCs w:val="24"/>
          <w:lang w:val="sq-AL"/>
        </w:rPr>
        <w:t>n 2015-2022, z</w:t>
      </w:r>
      <w:r w:rsidRPr="00641640">
        <w:rPr>
          <w:rFonts w:ascii="Times New Roman" w:hAnsi="Times New Roman" w:cs="Times New Roman"/>
          <w:noProof/>
          <w:sz w:val="24"/>
          <w:szCs w:val="24"/>
          <w:lang w:val="sq-AL"/>
        </w:rPr>
        <w:t>hvillimet në mënyrën e ofrimit të shërbimeve ndaj qytetarëve dhe bizneseve përmes teknologjisë së informacionit</w:t>
      </w:r>
      <w:r w:rsidR="00DE2646" w:rsidRPr="00641640">
        <w:rPr>
          <w:rFonts w:ascii="Times New Roman" w:hAnsi="Times New Roman" w:cs="Times New Roman"/>
          <w:noProof/>
          <w:sz w:val="24"/>
          <w:szCs w:val="24"/>
          <w:lang w:val="sq-AL"/>
        </w:rPr>
        <w:t xml:space="preserve"> jan</w:t>
      </w:r>
      <w:r w:rsidR="00E479F0" w:rsidRPr="00641640">
        <w:rPr>
          <w:rFonts w:ascii="Times New Roman" w:hAnsi="Times New Roman" w:cs="Times New Roman"/>
          <w:noProof/>
          <w:sz w:val="24"/>
          <w:szCs w:val="24"/>
          <w:lang w:val="sq-AL"/>
        </w:rPr>
        <w:t>ë</w:t>
      </w:r>
      <w:r w:rsidR="00DE2646" w:rsidRPr="00641640">
        <w:rPr>
          <w:rFonts w:ascii="Times New Roman" w:hAnsi="Times New Roman" w:cs="Times New Roman"/>
          <w:noProof/>
          <w:sz w:val="24"/>
          <w:szCs w:val="24"/>
          <w:lang w:val="sq-AL"/>
        </w:rPr>
        <w:t xml:space="preserve"> </w:t>
      </w:r>
      <w:r w:rsidR="00AD7A27" w:rsidRPr="00641640">
        <w:rPr>
          <w:rFonts w:ascii="Times New Roman" w:hAnsi="Times New Roman" w:cs="Times New Roman"/>
          <w:noProof/>
          <w:sz w:val="24"/>
          <w:szCs w:val="24"/>
          <w:lang w:val="sq-AL"/>
        </w:rPr>
        <w:t>t</w:t>
      </w:r>
      <w:r w:rsidR="00870DCD" w:rsidRPr="00641640">
        <w:rPr>
          <w:rFonts w:ascii="Times New Roman" w:hAnsi="Times New Roman" w:cs="Times New Roman"/>
          <w:noProof/>
          <w:sz w:val="24"/>
          <w:szCs w:val="24"/>
          <w:lang w:val="sq-AL"/>
        </w:rPr>
        <w:t>ë</w:t>
      </w:r>
      <w:r w:rsidR="00AD7A27" w:rsidRPr="00641640">
        <w:rPr>
          <w:rFonts w:ascii="Times New Roman" w:hAnsi="Times New Roman" w:cs="Times New Roman"/>
          <w:noProof/>
          <w:sz w:val="24"/>
          <w:szCs w:val="24"/>
          <w:lang w:val="sq-AL"/>
        </w:rPr>
        <w:t xml:space="preserve"> </w:t>
      </w:r>
      <w:r w:rsidR="00870DCD" w:rsidRPr="00641640">
        <w:rPr>
          <w:rFonts w:ascii="Times New Roman" w:hAnsi="Times New Roman" w:cs="Times New Roman"/>
          <w:noProof/>
          <w:sz w:val="24"/>
          <w:szCs w:val="24"/>
          <w:lang w:val="sq-AL"/>
        </w:rPr>
        <w:t>matshme dhe t</w:t>
      </w:r>
      <w:r w:rsidR="007C1ABD" w:rsidRPr="00641640">
        <w:rPr>
          <w:rFonts w:ascii="Times New Roman" w:hAnsi="Times New Roman" w:cs="Times New Roman"/>
          <w:noProof/>
          <w:sz w:val="24"/>
          <w:szCs w:val="24"/>
          <w:lang w:val="sq-AL"/>
        </w:rPr>
        <w:t>ë</w:t>
      </w:r>
      <w:r w:rsidR="00870DCD" w:rsidRPr="00641640">
        <w:rPr>
          <w:rFonts w:ascii="Times New Roman" w:hAnsi="Times New Roman" w:cs="Times New Roman"/>
          <w:noProof/>
          <w:sz w:val="24"/>
          <w:szCs w:val="24"/>
          <w:lang w:val="sq-AL"/>
        </w:rPr>
        <w:t xml:space="preserve"> </w:t>
      </w:r>
      <w:r w:rsidR="00AD7A27" w:rsidRPr="00641640">
        <w:rPr>
          <w:rFonts w:ascii="Times New Roman" w:hAnsi="Times New Roman" w:cs="Times New Roman"/>
          <w:noProof/>
          <w:sz w:val="24"/>
          <w:szCs w:val="24"/>
          <w:lang w:val="sq-AL"/>
        </w:rPr>
        <w:t>prekshme</w:t>
      </w:r>
      <w:r w:rsidR="00870DCD" w:rsidRPr="00641640">
        <w:rPr>
          <w:rFonts w:ascii="Times New Roman" w:hAnsi="Times New Roman" w:cs="Times New Roman"/>
          <w:noProof/>
          <w:sz w:val="24"/>
          <w:szCs w:val="24"/>
          <w:lang w:val="sq-AL"/>
        </w:rPr>
        <w:t xml:space="preserve"> n</w:t>
      </w:r>
      <w:r w:rsidR="007C1ABD" w:rsidRPr="00641640">
        <w:rPr>
          <w:rFonts w:ascii="Times New Roman" w:hAnsi="Times New Roman" w:cs="Times New Roman"/>
          <w:noProof/>
          <w:sz w:val="24"/>
          <w:szCs w:val="24"/>
          <w:lang w:val="sq-AL"/>
        </w:rPr>
        <w:t>ë</w:t>
      </w:r>
      <w:r w:rsidR="00870DCD" w:rsidRPr="00641640">
        <w:rPr>
          <w:rFonts w:ascii="Times New Roman" w:hAnsi="Times New Roman" w:cs="Times New Roman"/>
          <w:noProof/>
          <w:sz w:val="24"/>
          <w:szCs w:val="24"/>
          <w:lang w:val="sq-AL"/>
        </w:rPr>
        <w:t xml:space="preserve"> leht</w:t>
      </w:r>
      <w:r w:rsidR="007C1ABD" w:rsidRPr="00641640">
        <w:rPr>
          <w:rFonts w:ascii="Times New Roman" w:hAnsi="Times New Roman" w:cs="Times New Roman"/>
          <w:noProof/>
          <w:sz w:val="24"/>
          <w:szCs w:val="24"/>
          <w:lang w:val="sq-AL"/>
        </w:rPr>
        <w:t>ë</w:t>
      </w:r>
      <w:r w:rsidR="00870DCD" w:rsidRPr="00641640">
        <w:rPr>
          <w:rFonts w:ascii="Times New Roman" w:hAnsi="Times New Roman" w:cs="Times New Roman"/>
          <w:noProof/>
          <w:sz w:val="24"/>
          <w:szCs w:val="24"/>
          <w:lang w:val="sq-AL"/>
        </w:rPr>
        <w:t>simin e kontaktit t</w:t>
      </w:r>
      <w:r w:rsidR="007C1ABD" w:rsidRPr="00641640">
        <w:rPr>
          <w:rFonts w:ascii="Times New Roman" w:hAnsi="Times New Roman" w:cs="Times New Roman"/>
          <w:noProof/>
          <w:sz w:val="24"/>
          <w:szCs w:val="24"/>
          <w:lang w:val="sq-AL"/>
        </w:rPr>
        <w:t>ë</w:t>
      </w:r>
      <w:r w:rsidR="00870DCD" w:rsidRPr="00641640">
        <w:rPr>
          <w:rFonts w:ascii="Times New Roman" w:hAnsi="Times New Roman" w:cs="Times New Roman"/>
          <w:noProof/>
          <w:sz w:val="24"/>
          <w:szCs w:val="24"/>
          <w:lang w:val="sq-AL"/>
        </w:rPr>
        <w:t xml:space="preserve"> p</w:t>
      </w:r>
      <w:r w:rsidR="007C1ABD" w:rsidRPr="00641640">
        <w:rPr>
          <w:rFonts w:ascii="Times New Roman" w:hAnsi="Times New Roman" w:cs="Times New Roman"/>
          <w:noProof/>
          <w:sz w:val="24"/>
          <w:szCs w:val="24"/>
          <w:lang w:val="sq-AL"/>
        </w:rPr>
        <w:t>ë</w:t>
      </w:r>
      <w:r w:rsidR="00870DCD" w:rsidRPr="00641640">
        <w:rPr>
          <w:rFonts w:ascii="Times New Roman" w:hAnsi="Times New Roman" w:cs="Times New Roman"/>
          <w:noProof/>
          <w:sz w:val="24"/>
          <w:szCs w:val="24"/>
          <w:lang w:val="sq-AL"/>
        </w:rPr>
        <w:t>rditsh</w:t>
      </w:r>
      <w:r w:rsidR="007C1ABD" w:rsidRPr="00641640">
        <w:rPr>
          <w:rFonts w:ascii="Times New Roman" w:hAnsi="Times New Roman" w:cs="Times New Roman"/>
          <w:noProof/>
          <w:sz w:val="24"/>
          <w:szCs w:val="24"/>
          <w:lang w:val="sq-AL"/>
        </w:rPr>
        <w:t>ë</w:t>
      </w:r>
      <w:r w:rsidR="00870DCD" w:rsidRPr="00641640">
        <w:rPr>
          <w:rFonts w:ascii="Times New Roman" w:hAnsi="Times New Roman" w:cs="Times New Roman"/>
          <w:noProof/>
          <w:sz w:val="24"/>
          <w:szCs w:val="24"/>
          <w:lang w:val="sq-AL"/>
        </w:rPr>
        <w:t>m t</w:t>
      </w:r>
      <w:r w:rsidR="007C1ABD" w:rsidRPr="00641640">
        <w:rPr>
          <w:rFonts w:ascii="Times New Roman" w:hAnsi="Times New Roman" w:cs="Times New Roman"/>
          <w:noProof/>
          <w:sz w:val="24"/>
          <w:szCs w:val="24"/>
          <w:lang w:val="sq-AL"/>
        </w:rPr>
        <w:t>ë</w:t>
      </w:r>
      <w:r w:rsidR="00870DCD" w:rsidRPr="00641640">
        <w:rPr>
          <w:rFonts w:ascii="Times New Roman" w:hAnsi="Times New Roman" w:cs="Times New Roman"/>
          <w:noProof/>
          <w:sz w:val="24"/>
          <w:szCs w:val="24"/>
          <w:lang w:val="sq-AL"/>
        </w:rPr>
        <w:t xml:space="preserve"> qytetar</w:t>
      </w:r>
      <w:r w:rsidR="007C1ABD" w:rsidRPr="00641640">
        <w:rPr>
          <w:rFonts w:ascii="Times New Roman" w:hAnsi="Times New Roman" w:cs="Times New Roman"/>
          <w:noProof/>
          <w:sz w:val="24"/>
          <w:szCs w:val="24"/>
          <w:lang w:val="sq-AL"/>
        </w:rPr>
        <w:t>ë</w:t>
      </w:r>
      <w:r w:rsidR="00870DCD" w:rsidRPr="00641640">
        <w:rPr>
          <w:rFonts w:ascii="Times New Roman" w:hAnsi="Times New Roman" w:cs="Times New Roman"/>
          <w:noProof/>
          <w:sz w:val="24"/>
          <w:szCs w:val="24"/>
          <w:lang w:val="sq-AL"/>
        </w:rPr>
        <w:t>ve me institucionet publike</w:t>
      </w:r>
      <w:r w:rsidR="00AD7A27"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w:t>
      </w:r>
    </w:p>
    <w:p w14:paraId="3B11511F" w14:textId="4ECF1CF6" w:rsidR="008376D0" w:rsidRPr="00641640" w:rsidRDefault="00076AE4"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w:t>
      </w:r>
      <w:r w:rsidR="00E72046"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rg</w:t>
      </w:r>
      <w:r w:rsidR="008376D0" w:rsidRPr="00641640">
        <w:rPr>
          <w:rFonts w:ascii="Times New Roman" w:hAnsi="Times New Roman" w:cs="Times New Roman"/>
          <w:noProof/>
          <w:sz w:val="24"/>
          <w:szCs w:val="24"/>
          <w:lang w:val="sq-AL"/>
        </w:rPr>
        <w:t xml:space="preserve">jatë kësaj </w:t>
      </w:r>
      <w:r w:rsidR="006F7BA7" w:rsidRPr="00641640">
        <w:rPr>
          <w:rFonts w:ascii="Times New Roman" w:hAnsi="Times New Roman" w:cs="Times New Roman"/>
          <w:noProof/>
          <w:sz w:val="24"/>
          <w:szCs w:val="24"/>
          <w:lang w:val="sq-AL"/>
        </w:rPr>
        <w:t>periudhe</w:t>
      </w:r>
      <w:r w:rsidR="008376D0" w:rsidRPr="00641640">
        <w:rPr>
          <w:rFonts w:ascii="Times New Roman" w:hAnsi="Times New Roman" w:cs="Times New Roman"/>
          <w:noProof/>
          <w:sz w:val="24"/>
          <w:szCs w:val="24"/>
          <w:lang w:val="sq-AL"/>
        </w:rPr>
        <w:t xml:space="preserve">, </w:t>
      </w:r>
      <w:r w:rsidR="00BC4368" w:rsidRPr="00641640">
        <w:rPr>
          <w:rFonts w:ascii="Times New Roman" w:hAnsi="Times New Roman" w:cs="Times New Roman"/>
          <w:noProof/>
          <w:sz w:val="24"/>
          <w:szCs w:val="24"/>
          <w:lang w:val="sq-AL"/>
        </w:rPr>
        <w:t>Q</w:t>
      </w:r>
      <w:r w:rsidR="008376D0" w:rsidRPr="00641640">
        <w:rPr>
          <w:rFonts w:ascii="Times New Roman" w:hAnsi="Times New Roman" w:cs="Times New Roman"/>
          <w:noProof/>
          <w:sz w:val="24"/>
          <w:szCs w:val="24"/>
          <w:lang w:val="sq-AL"/>
        </w:rPr>
        <w:t xml:space="preserve">everia Shqiptare ka </w:t>
      </w:r>
      <w:r w:rsidRPr="00641640">
        <w:rPr>
          <w:rFonts w:ascii="Times New Roman" w:hAnsi="Times New Roman" w:cs="Times New Roman"/>
          <w:noProof/>
          <w:sz w:val="24"/>
          <w:szCs w:val="24"/>
          <w:lang w:val="sq-AL"/>
        </w:rPr>
        <w:t>nd</w:t>
      </w:r>
      <w:r w:rsidR="00E72046"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rmarr</w:t>
      </w:r>
      <w:r w:rsidR="00E72046" w:rsidRPr="00641640">
        <w:rPr>
          <w:rFonts w:ascii="Times New Roman" w:hAnsi="Times New Roman" w:cs="Times New Roman"/>
          <w:noProof/>
          <w:sz w:val="24"/>
          <w:szCs w:val="24"/>
          <w:lang w:val="sq-AL"/>
        </w:rPr>
        <w:t>ë</w:t>
      </w:r>
      <w:r w:rsidR="008376D0"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nj</w:t>
      </w:r>
      <w:r w:rsidR="00E72046"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seri nismash</w:t>
      </w:r>
      <w:r w:rsidR="006F7BA7" w:rsidRPr="00641640">
        <w:rPr>
          <w:rFonts w:ascii="Times New Roman" w:hAnsi="Times New Roman" w:cs="Times New Roman"/>
          <w:noProof/>
          <w:sz w:val="24"/>
          <w:szCs w:val="24"/>
          <w:lang w:val="sq-AL"/>
        </w:rPr>
        <w:t xml:space="preserve"> ligjore dhe </w:t>
      </w:r>
      <w:r w:rsidR="008376D0" w:rsidRPr="00641640">
        <w:rPr>
          <w:rFonts w:ascii="Times New Roman" w:hAnsi="Times New Roman" w:cs="Times New Roman"/>
          <w:noProof/>
          <w:sz w:val="24"/>
          <w:szCs w:val="24"/>
          <w:lang w:val="sq-AL"/>
        </w:rPr>
        <w:t>investime</w:t>
      </w:r>
      <w:r w:rsidRPr="00641640">
        <w:rPr>
          <w:rFonts w:ascii="Times New Roman" w:hAnsi="Times New Roman" w:cs="Times New Roman"/>
          <w:noProof/>
          <w:sz w:val="24"/>
          <w:szCs w:val="24"/>
          <w:lang w:val="sq-AL"/>
        </w:rPr>
        <w:t>sh</w:t>
      </w:r>
      <w:r w:rsidR="008376D0" w:rsidRPr="00641640">
        <w:rPr>
          <w:rFonts w:ascii="Times New Roman" w:hAnsi="Times New Roman" w:cs="Times New Roman"/>
          <w:noProof/>
          <w:sz w:val="24"/>
          <w:szCs w:val="24"/>
          <w:lang w:val="sq-AL"/>
        </w:rPr>
        <w:t xml:space="preserve"> të konsiderueshme për të </w:t>
      </w:r>
      <w:r w:rsidRPr="00641640">
        <w:rPr>
          <w:rFonts w:ascii="Times New Roman" w:hAnsi="Times New Roman" w:cs="Times New Roman"/>
          <w:noProof/>
          <w:sz w:val="24"/>
          <w:szCs w:val="24"/>
          <w:lang w:val="sq-AL"/>
        </w:rPr>
        <w:t xml:space="preserve">implementuar </w:t>
      </w:r>
      <w:r w:rsidR="008376D0" w:rsidRPr="00641640">
        <w:rPr>
          <w:rFonts w:ascii="Times New Roman" w:hAnsi="Times New Roman" w:cs="Times New Roman"/>
          <w:noProof/>
          <w:sz w:val="24"/>
          <w:szCs w:val="24"/>
          <w:lang w:val="sq-AL"/>
        </w:rPr>
        <w:t xml:space="preserve">sistemet elektronike, </w:t>
      </w:r>
      <w:r w:rsidR="0063610E" w:rsidRPr="00641640">
        <w:rPr>
          <w:rFonts w:ascii="Times New Roman" w:hAnsi="Times New Roman" w:cs="Times New Roman"/>
          <w:noProof/>
          <w:sz w:val="24"/>
          <w:szCs w:val="24"/>
          <w:lang w:val="sq-AL"/>
        </w:rPr>
        <w:t>p</w:t>
      </w:r>
      <w:r w:rsidR="00870DCD" w:rsidRPr="00641640">
        <w:rPr>
          <w:rFonts w:ascii="Times New Roman" w:hAnsi="Times New Roman" w:cs="Times New Roman"/>
          <w:noProof/>
          <w:sz w:val="24"/>
          <w:szCs w:val="24"/>
          <w:lang w:val="sq-AL"/>
        </w:rPr>
        <w:t>ë</w:t>
      </w:r>
      <w:r w:rsidR="0063610E" w:rsidRPr="00641640">
        <w:rPr>
          <w:rFonts w:ascii="Times New Roman" w:hAnsi="Times New Roman" w:cs="Times New Roman"/>
          <w:noProof/>
          <w:sz w:val="24"/>
          <w:szCs w:val="24"/>
          <w:lang w:val="sq-AL"/>
        </w:rPr>
        <w:t>r t</w:t>
      </w:r>
      <w:r w:rsidR="00870DCD" w:rsidRPr="00641640">
        <w:rPr>
          <w:rFonts w:ascii="Times New Roman" w:hAnsi="Times New Roman" w:cs="Times New Roman"/>
          <w:noProof/>
          <w:sz w:val="24"/>
          <w:szCs w:val="24"/>
          <w:lang w:val="sq-AL"/>
        </w:rPr>
        <w:t>ë</w:t>
      </w:r>
      <w:r w:rsidR="0063610E" w:rsidRPr="00641640">
        <w:rPr>
          <w:rFonts w:ascii="Times New Roman" w:hAnsi="Times New Roman" w:cs="Times New Roman"/>
          <w:noProof/>
          <w:sz w:val="24"/>
          <w:szCs w:val="24"/>
          <w:lang w:val="sq-AL"/>
        </w:rPr>
        <w:t xml:space="preserve"> </w:t>
      </w:r>
      <w:r w:rsidR="008376D0" w:rsidRPr="00641640">
        <w:rPr>
          <w:rFonts w:ascii="Times New Roman" w:hAnsi="Times New Roman" w:cs="Times New Roman"/>
          <w:noProof/>
          <w:sz w:val="24"/>
          <w:szCs w:val="24"/>
          <w:lang w:val="sq-AL"/>
        </w:rPr>
        <w:t xml:space="preserve">rritur numrin e sistemeve </w:t>
      </w:r>
      <w:r w:rsidR="006A127F" w:rsidRPr="00641640">
        <w:rPr>
          <w:rFonts w:ascii="Times New Roman" w:hAnsi="Times New Roman" w:cs="Times New Roman"/>
          <w:noProof/>
          <w:sz w:val="24"/>
          <w:szCs w:val="24"/>
          <w:lang w:val="sq-AL"/>
        </w:rPr>
        <w:t xml:space="preserve">elektronike </w:t>
      </w:r>
      <w:r w:rsidR="008376D0" w:rsidRPr="00641640">
        <w:rPr>
          <w:rFonts w:ascii="Times New Roman" w:hAnsi="Times New Roman" w:cs="Times New Roman"/>
          <w:noProof/>
          <w:sz w:val="24"/>
          <w:szCs w:val="24"/>
          <w:lang w:val="sq-AL"/>
        </w:rPr>
        <w:t xml:space="preserve">të lidhura në platformën qeveritare të ndërveprimit, </w:t>
      </w:r>
      <w:r w:rsidR="0063610E" w:rsidRPr="00641640">
        <w:rPr>
          <w:rFonts w:ascii="Times New Roman" w:hAnsi="Times New Roman" w:cs="Times New Roman"/>
          <w:noProof/>
          <w:sz w:val="24"/>
          <w:szCs w:val="24"/>
          <w:lang w:val="sq-AL"/>
        </w:rPr>
        <w:t>p</w:t>
      </w:r>
      <w:r w:rsidR="00870DCD" w:rsidRPr="00641640">
        <w:rPr>
          <w:rFonts w:ascii="Times New Roman" w:hAnsi="Times New Roman" w:cs="Times New Roman"/>
          <w:noProof/>
          <w:sz w:val="24"/>
          <w:szCs w:val="24"/>
          <w:lang w:val="sq-AL"/>
        </w:rPr>
        <w:t>ë</w:t>
      </w:r>
      <w:r w:rsidR="0063610E" w:rsidRPr="00641640">
        <w:rPr>
          <w:rFonts w:ascii="Times New Roman" w:hAnsi="Times New Roman" w:cs="Times New Roman"/>
          <w:noProof/>
          <w:sz w:val="24"/>
          <w:szCs w:val="24"/>
          <w:lang w:val="sq-AL"/>
        </w:rPr>
        <w:t>r t</w:t>
      </w:r>
      <w:r w:rsidR="00870DCD" w:rsidRPr="00641640">
        <w:rPr>
          <w:rFonts w:ascii="Times New Roman" w:hAnsi="Times New Roman" w:cs="Times New Roman"/>
          <w:noProof/>
          <w:sz w:val="24"/>
          <w:szCs w:val="24"/>
          <w:lang w:val="sq-AL"/>
        </w:rPr>
        <w:t>ë</w:t>
      </w:r>
      <w:r w:rsidR="0063610E" w:rsidRPr="00641640">
        <w:rPr>
          <w:rFonts w:ascii="Times New Roman" w:hAnsi="Times New Roman" w:cs="Times New Roman"/>
          <w:noProof/>
          <w:sz w:val="24"/>
          <w:szCs w:val="24"/>
          <w:lang w:val="sq-AL"/>
        </w:rPr>
        <w:t xml:space="preserve"> shtuar s</w:t>
      </w:r>
      <w:r w:rsidR="008376D0" w:rsidRPr="00641640">
        <w:rPr>
          <w:rFonts w:ascii="Times New Roman" w:hAnsi="Times New Roman" w:cs="Times New Roman"/>
          <w:noProof/>
          <w:sz w:val="24"/>
          <w:szCs w:val="24"/>
          <w:lang w:val="sq-AL"/>
        </w:rPr>
        <w:t>hërbime</w:t>
      </w:r>
      <w:r w:rsidR="0063610E" w:rsidRPr="00641640">
        <w:rPr>
          <w:rFonts w:ascii="Times New Roman" w:hAnsi="Times New Roman" w:cs="Times New Roman"/>
          <w:noProof/>
          <w:sz w:val="24"/>
          <w:szCs w:val="24"/>
          <w:lang w:val="sq-AL"/>
        </w:rPr>
        <w:t>t</w:t>
      </w:r>
      <w:r w:rsidR="008376D0" w:rsidRPr="00641640">
        <w:rPr>
          <w:rFonts w:ascii="Times New Roman" w:hAnsi="Times New Roman" w:cs="Times New Roman"/>
          <w:noProof/>
          <w:sz w:val="24"/>
          <w:szCs w:val="24"/>
          <w:lang w:val="sq-AL"/>
        </w:rPr>
        <w:t xml:space="preserve"> elektronike në platformën qeveritare e-</w:t>
      </w:r>
      <w:r w:rsidR="001D6ECC" w:rsidRPr="00641640">
        <w:rPr>
          <w:rFonts w:ascii="Times New Roman" w:hAnsi="Times New Roman" w:cs="Times New Roman"/>
          <w:noProof/>
          <w:sz w:val="24"/>
          <w:szCs w:val="24"/>
          <w:lang w:val="sq-AL"/>
        </w:rPr>
        <w:t>A</w:t>
      </w:r>
      <w:r w:rsidR="008376D0" w:rsidRPr="00641640">
        <w:rPr>
          <w:rFonts w:ascii="Times New Roman" w:hAnsi="Times New Roman" w:cs="Times New Roman"/>
          <w:noProof/>
          <w:sz w:val="24"/>
          <w:szCs w:val="24"/>
          <w:lang w:val="sq-AL"/>
        </w:rPr>
        <w:t>lbania</w:t>
      </w:r>
      <w:r w:rsidR="0063610E" w:rsidRPr="00641640">
        <w:rPr>
          <w:rFonts w:ascii="Times New Roman" w:hAnsi="Times New Roman" w:cs="Times New Roman"/>
          <w:noProof/>
          <w:sz w:val="24"/>
          <w:szCs w:val="24"/>
          <w:lang w:val="sq-AL"/>
        </w:rPr>
        <w:t xml:space="preserve"> dhe</w:t>
      </w:r>
      <w:r w:rsidR="008376D0" w:rsidRPr="00641640">
        <w:rPr>
          <w:rFonts w:ascii="Times New Roman" w:hAnsi="Times New Roman" w:cs="Times New Roman"/>
          <w:noProof/>
          <w:sz w:val="24"/>
          <w:szCs w:val="24"/>
          <w:lang w:val="sq-AL"/>
        </w:rPr>
        <w:t xml:space="preserve"> infrastrukturat fizike, </w:t>
      </w:r>
      <w:r w:rsidR="006A127F" w:rsidRPr="00641640">
        <w:rPr>
          <w:rFonts w:ascii="Times New Roman" w:hAnsi="Times New Roman" w:cs="Times New Roman"/>
          <w:noProof/>
          <w:sz w:val="24"/>
          <w:szCs w:val="24"/>
          <w:lang w:val="sq-AL"/>
        </w:rPr>
        <w:t xml:space="preserve">si </w:t>
      </w:r>
      <w:r w:rsidR="008376D0" w:rsidRPr="00641640">
        <w:rPr>
          <w:rFonts w:ascii="Times New Roman" w:hAnsi="Times New Roman" w:cs="Times New Roman"/>
          <w:noProof/>
          <w:sz w:val="24"/>
          <w:szCs w:val="24"/>
          <w:lang w:val="sq-AL"/>
        </w:rPr>
        <w:t xml:space="preserve">dhe </w:t>
      </w:r>
      <w:r w:rsidR="0063610E" w:rsidRPr="00641640">
        <w:rPr>
          <w:rFonts w:ascii="Times New Roman" w:hAnsi="Times New Roman" w:cs="Times New Roman"/>
          <w:noProof/>
          <w:sz w:val="24"/>
          <w:szCs w:val="24"/>
          <w:lang w:val="sq-AL"/>
        </w:rPr>
        <w:t>p</w:t>
      </w:r>
      <w:r w:rsidR="00870DCD" w:rsidRPr="00641640">
        <w:rPr>
          <w:rFonts w:ascii="Times New Roman" w:hAnsi="Times New Roman" w:cs="Times New Roman"/>
          <w:noProof/>
          <w:sz w:val="24"/>
          <w:szCs w:val="24"/>
          <w:lang w:val="sq-AL"/>
        </w:rPr>
        <w:t>ë</w:t>
      </w:r>
      <w:r w:rsidR="0063610E" w:rsidRPr="00641640">
        <w:rPr>
          <w:rFonts w:ascii="Times New Roman" w:hAnsi="Times New Roman" w:cs="Times New Roman"/>
          <w:noProof/>
          <w:sz w:val="24"/>
          <w:szCs w:val="24"/>
          <w:lang w:val="sq-AL"/>
        </w:rPr>
        <w:t>r t</w:t>
      </w:r>
      <w:r w:rsidR="00870DCD" w:rsidRPr="00641640">
        <w:rPr>
          <w:rFonts w:ascii="Times New Roman" w:hAnsi="Times New Roman" w:cs="Times New Roman"/>
          <w:noProof/>
          <w:sz w:val="24"/>
          <w:szCs w:val="24"/>
          <w:lang w:val="sq-AL"/>
        </w:rPr>
        <w:t>ë</w:t>
      </w:r>
      <w:r w:rsidR="0063610E" w:rsidRPr="00641640">
        <w:rPr>
          <w:rFonts w:ascii="Times New Roman" w:hAnsi="Times New Roman" w:cs="Times New Roman"/>
          <w:noProof/>
          <w:sz w:val="24"/>
          <w:szCs w:val="24"/>
          <w:lang w:val="sq-AL"/>
        </w:rPr>
        <w:t xml:space="preserve"> mund</w:t>
      </w:r>
      <w:r w:rsidR="00870DCD" w:rsidRPr="00641640">
        <w:rPr>
          <w:rFonts w:ascii="Times New Roman" w:hAnsi="Times New Roman" w:cs="Times New Roman"/>
          <w:noProof/>
          <w:sz w:val="24"/>
          <w:szCs w:val="24"/>
          <w:lang w:val="sq-AL"/>
        </w:rPr>
        <w:t>ë</w:t>
      </w:r>
      <w:r w:rsidR="0063610E" w:rsidRPr="00641640">
        <w:rPr>
          <w:rFonts w:ascii="Times New Roman" w:hAnsi="Times New Roman" w:cs="Times New Roman"/>
          <w:noProof/>
          <w:sz w:val="24"/>
          <w:szCs w:val="24"/>
          <w:lang w:val="sq-AL"/>
        </w:rPr>
        <w:t xml:space="preserve">suar </w:t>
      </w:r>
      <w:r w:rsidR="008376D0" w:rsidRPr="00641640">
        <w:rPr>
          <w:rFonts w:ascii="Times New Roman" w:hAnsi="Times New Roman" w:cs="Times New Roman"/>
          <w:noProof/>
          <w:sz w:val="24"/>
          <w:szCs w:val="24"/>
          <w:lang w:val="sq-AL"/>
        </w:rPr>
        <w:t xml:space="preserve">vënien në funksion të nënshkrimit </w:t>
      </w:r>
      <w:r w:rsidR="00BC4368" w:rsidRPr="00641640">
        <w:rPr>
          <w:rFonts w:ascii="Times New Roman" w:hAnsi="Times New Roman" w:cs="Times New Roman"/>
          <w:noProof/>
          <w:sz w:val="24"/>
          <w:szCs w:val="24"/>
          <w:lang w:val="sq-AL"/>
        </w:rPr>
        <w:t>dhe</w:t>
      </w:r>
      <w:r w:rsidR="008376D0" w:rsidRPr="00641640">
        <w:rPr>
          <w:rFonts w:ascii="Times New Roman" w:hAnsi="Times New Roman" w:cs="Times New Roman"/>
          <w:noProof/>
          <w:sz w:val="24"/>
          <w:szCs w:val="24"/>
          <w:lang w:val="sq-AL"/>
        </w:rPr>
        <w:t xml:space="preserve"> vulës elektronike. </w:t>
      </w:r>
      <w:r w:rsidR="00F129F2" w:rsidRPr="00641640">
        <w:rPr>
          <w:rFonts w:ascii="Times New Roman" w:hAnsi="Times New Roman" w:cs="Times New Roman"/>
          <w:noProof/>
          <w:sz w:val="24"/>
          <w:szCs w:val="24"/>
          <w:lang w:val="sq-AL"/>
        </w:rPr>
        <w:t>P</w:t>
      </w:r>
      <w:r w:rsidR="001F58F4" w:rsidRPr="00641640">
        <w:rPr>
          <w:rFonts w:ascii="Times New Roman" w:hAnsi="Times New Roman" w:cs="Times New Roman"/>
          <w:noProof/>
          <w:sz w:val="24"/>
          <w:szCs w:val="24"/>
          <w:lang w:val="sq-AL"/>
        </w:rPr>
        <w:t>una n</w:t>
      </w:r>
      <w:r w:rsidR="00870DCD" w:rsidRPr="00641640">
        <w:rPr>
          <w:rFonts w:ascii="Times New Roman" w:hAnsi="Times New Roman" w:cs="Times New Roman"/>
          <w:noProof/>
          <w:sz w:val="24"/>
          <w:szCs w:val="24"/>
          <w:lang w:val="sq-AL"/>
        </w:rPr>
        <w:t>ë</w:t>
      </w:r>
      <w:r w:rsidR="001F58F4" w:rsidRPr="00641640">
        <w:rPr>
          <w:rFonts w:ascii="Times New Roman" w:hAnsi="Times New Roman" w:cs="Times New Roman"/>
          <w:noProof/>
          <w:sz w:val="24"/>
          <w:szCs w:val="24"/>
          <w:lang w:val="sq-AL"/>
        </w:rPr>
        <w:t xml:space="preserve"> k</w:t>
      </w:r>
      <w:r w:rsidR="00870DCD" w:rsidRPr="00641640">
        <w:rPr>
          <w:rFonts w:ascii="Times New Roman" w:hAnsi="Times New Roman" w:cs="Times New Roman"/>
          <w:noProof/>
          <w:sz w:val="24"/>
          <w:szCs w:val="24"/>
          <w:lang w:val="sq-AL"/>
        </w:rPr>
        <w:t>ë</w:t>
      </w:r>
      <w:r w:rsidR="001F58F4" w:rsidRPr="00641640">
        <w:rPr>
          <w:rFonts w:ascii="Times New Roman" w:hAnsi="Times New Roman" w:cs="Times New Roman"/>
          <w:noProof/>
          <w:sz w:val="24"/>
          <w:szCs w:val="24"/>
          <w:lang w:val="sq-AL"/>
        </w:rPr>
        <w:t>t</w:t>
      </w:r>
      <w:r w:rsidR="00870DCD" w:rsidRPr="00641640">
        <w:rPr>
          <w:rFonts w:ascii="Times New Roman" w:hAnsi="Times New Roman" w:cs="Times New Roman"/>
          <w:noProof/>
          <w:sz w:val="24"/>
          <w:szCs w:val="24"/>
          <w:lang w:val="sq-AL"/>
        </w:rPr>
        <w:t>ë</w:t>
      </w:r>
      <w:r w:rsidR="001F58F4" w:rsidRPr="00641640">
        <w:rPr>
          <w:rFonts w:ascii="Times New Roman" w:hAnsi="Times New Roman" w:cs="Times New Roman"/>
          <w:noProof/>
          <w:sz w:val="24"/>
          <w:szCs w:val="24"/>
          <w:lang w:val="sq-AL"/>
        </w:rPr>
        <w:t xml:space="preserve"> drejtim udh</w:t>
      </w:r>
      <w:r w:rsidR="00870DCD" w:rsidRPr="00641640">
        <w:rPr>
          <w:rFonts w:ascii="Times New Roman" w:hAnsi="Times New Roman" w:cs="Times New Roman"/>
          <w:noProof/>
          <w:sz w:val="24"/>
          <w:szCs w:val="24"/>
          <w:lang w:val="sq-AL"/>
        </w:rPr>
        <w:t>ë</w:t>
      </w:r>
      <w:r w:rsidR="001F58F4" w:rsidRPr="00641640">
        <w:rPr>
          <w:rFonts w:ascii="Times New Roman" w:hAnsi="Times New Roman" w:cs="Times New Roman"/>
          <w:noProof/>
          <w:sz w:val="24"/>
          <w:szCs w:val="24"/>
          <w:lang w:val="sq-AL"/>
        </w:rPr>
        <w:t>hiqet nga Agjencia Kombëtare e Shoqë</w:t>
      </w:r>
      <w:r w:rsidR="00F129F2" w:rsidRPr="00641640">
        <w:rPr>
          <w:rFonts w:ascii="Times New Roman" w:hAnsi="Times New Roman" w:cs="Times New Roman"/>
          <w:noProof/>
          <w:sz w:val="24"/>
          <w:szCs w:val="24"/>
          <w:lang w:val="sq-AL"/>
        </w:rPr>
        <w:t>risë së Informacionit (AKSHI) dh</w:t>
      </w:r>
      <w:r w:rsidR="001F58F4" w:rsidRPr="00641640">
        <w:rPr>
          <w:rFonts w:ascii="Times New Roman" w:hAnsi="Times New Roman" w:cs="Times New Roman"/>
          <w:noProof/>
          <w:sz w:val="24"/>
          <w:szCs w:val="24"/>
          <w:lang w:val="sq-AL"/>
        </w:rPr>
        <w:t>e nga Agjencia p</w:t>
      </w:r>
      <w:r w:rsidR="00870DCD" w:rsidRPr="00641640">
        <w:rPr>
          <w:rFonts w:ascii="Times New Roman" w:hAnsi="Times New Roman" w:cs="Times New Roman"/>
          <w:noProof/>
          <w:sz w:val="24"/>
          <w:szCs w:val="24"/>
          <w:lang w:val="sq-AL"/>
        </w:rPr>
        <w:t>ë</w:t>
      </w:r>
      <w:r w:rsidR="001F58F4" w:rsidRPr="00641640">
        <w:rPr>
          <w:rFonts w:ascii="Times New Roman" w:hAnsi="Times New Roman" w:cs="Times New Roman"/>
          <w:noProof/>
          <w:sz w:val="24"/>
          <w:szCs w:val="24"/>
          <w:lang w:val="sq-AL"/>
        </w:rPr>
        <w:t>r Dialog dhe Bashk</w:t>
      </w:r>
      <w:r w:rsidR="00870DCD" w:rsidRPr="00641640">
        <w:rPr>
          <w:rFonts w:ascii="Times New Roman" w:hAnsi="Times New Roman" w:cs="Times New Roman"/>
          <w:noProof/>
          <w:sz w:val="24"/>
          <w:szCs w:val="24"/>
          <w:lang w:val="sq-AL"/>
        </w:rPr>
        <w:t>ë</w:t>
      </w:r>
      <w:r w:rsidR="00F129F2" w:rsidRPr="00641640">
        <w:rPr>
          <w:rFonts w:ascii="Times New Roman" w:hAnsi="Times New Roman" w:cs="Times New Roman"/>
          <w:noProof/>
          <w:sz w:val="24"/>
          <w:szCs w:val="24"/>
          <w:lang w:val="sq-AL"/>
        </w:rPr>
        <w:t>qeverisje (ADB).</w:t>
      </w:r>
    </w:p>
    <w:p w14:paraId="284BD756" w14:textId="48013BF6" w:rsidR="001C356F" w:rsidRPr="00641640" w:rsidRDefault="00AD7A27" w:rsidP="003A395D">
      <w:pPr>
        <w:spacing w:before="120" w:after="120"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raportin m</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fundit t</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vitit 2024, Komisioni Evropian ka njohur se zbatimi i Agjend</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 Digjitale 2022-2026 dhe Planit t</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Veprimit po vijon me sukses.</w:t>
      </w:r>
      <w:r w:rsidRPr="00641640">
        <w:rPr>
          <w:rStyle w:val="FootnoteReference"/>
          <w:rFonts w:ascii="Times New Roman" w:hAnsi="Times New Roman" w:cs="Times New Roman"/>
          <w:noProof/>
          <w:sz w:val="24"/>
          <w:szCs w:val="24"/>
          <w:lang w:val="sq-AL"/>
        </w:rPr>
        <w:footnoteReference w:id="49"/>
      </w:r>
      <w:r w:rsidRPr="00641640">
        <w:rPr>
          <w:rFonts w:ascii="Times New Roman" w:hAnsi="Times New Roman" w:cs="Times New Roman"/>
          <w:noProof/>
          <w:sz w:val="24"/>
          <w:szCs w:val="24"/>
          <w:lang w:val="sq-AL"/>
        </w:rPr>
        <w:t xml:space="preserve"> </w:t>
      </w:r>
      <w:r w:rsidR="006A127F" w:rsidRPr="00641640">
        <w:rPr>
          <w:rFonts w:ascii="Times New Roman" w:hAnsi="Times New Roman" w:cs="Times New Roman"/>
          <w:noProof/>
          <w:sz w:val="24"/>
          <w:szCs w:val="24"/>
          <w:lang w:val="sq-AL"/>
        </w:rPr>
        <w:t>Deri n</w:t>
      </w:r>
      <w:r w:rsidR="00E72046" w:rsidRPr="00641640">
        <w:rPr>
          <w:rFonts w:ascii="Times New Roman" w:hAnsi="Times New Roman" w:cs="Times New Roman"/>
          <w:noProof/>
          <w:sz w:val="24"/>
          <w:szCs w:val="24"/>
          <w:lang w:val="sq-AL"/>
        </w:rPr>
        <w:t>ë</w:t>
      </w:r>
      <w:r w:rsidR="006A127F" w:rsidRPr="00641640">
        <w:rPr>
          <w:rFonts w:ascii="Times New Roman" w:hAnsi="Times New Roman" w:cs="Times New Roman"/>
          <w:noProof/>
          <w:sz w:val="24"/>
          <w:szCs w:val="24"/>
          <w:lang w:val="sq-AL"/>
        </w:rPr>
        <w:t xml:space="preserve"> </w:t>
      </w:r>
      <w:r w:rsidR="009C732C">
        <w:rPr>
          <w:rFonts w:ascii="Times New Roman" w:hAnsi="Times New Roman" w:cs="Times New Roman"/>
          <w:noProof/>
          <w:sz w:val="24"/>
          <w:szCs w:val="24"/>
          <w:lang w:val="sq-AL"/>
        </w:rPr>
        <w:t>dhjeto</w:t>
      </w:r>
      <w:r w:rsidR="006A127F" w:rsidRPr="00641640">
        <w:rPr>
          <w:rFonts w:ascii="Times New Roman" w:hAnsi="Times New Roman" w:cs="Times New Roman"/>
          <w:noProof/>
          <w:sz w:val="24"/>
          <w:szCs w:val="24"/>
          <w:lang w:val="sq-AL"/>
        </w:rPr>
        <w:t>r 2024, platforma unike qeveritare e-Albania ofron 1247 sh</w:t>
      </w:r>
      <w:r w:rsidR="00E72046" w:rsidRPr="00641640">
        <w:rPr>
          <w:rFonts w:ascii="Times New Roman" w:hAnsi="Times New Roman" w:cs="Times New Roman"/>
          <w:noProof/>
          <w:sz w:val="24"/>
          <w:szCs w:val="24"/>
          <w:lang w:val="sq-AL"/>
        </w:rPr>
        <w:t>ë</w:t>
      </w:r>
      <w:r w:rsidR="006A127F" w:rsidRPr="00641640">
        <w:rPr>
          <w:rFonts w:ascii="Times New Roman" w:hAnsi="Times New Roman" w:cs="Times New Roman"/>
          <w:noProof/>
          <w:sz w:val="24"/>
          <w:szCs w:val="24"/>
          <w:lang w:val="sq-AL"/>
        </w:rPr>
        <w:t>rbime publike (rreth 95% e të gjitha shërbimeve publike), krahasuar me vetëm 14 të tilla apo 1% që ofroheshin në vitin 201</w:t>
      </w:r>
      <w:r w:rsidR="004554B2" w:rsidRPr="00641640">
        <w:rPr>
          <w:rFonts w:ascii="Times New Roman" w:hAnsi="Times New Roman" w:cs="Times New Roman"/>
          <w:noProof/>
          <w:sz w:val="24"/>
          <w:szCs w:val="24"/>
          <w:lang w:val="sq-AL"/>
        </w:rPr>
        <w:t>3</w:t>
      </w:r>
      <w:r w:rsidR="006A127F" w:rsidRPr="00641640">
        <w:rPr>
          <w:rFonts w:ascii="Times New Roman" w:hAnsi="Times New Roman" w:cs="Times New Roman"/>
          <w:noProof/>
          <w:sz w:val="24"/>
          <w:szCs w:val="24"/>
          <w:lang w:val="sq-AL"/>
        </w:rPr>
        <w:t xml:space="preserve">. Ky transformim </w:t>
      </w:r>
      <w:r w:rsidR="00E72046" w:rsidRPr="00641640">
        <w:rPr>
          <w:rFonts w:ascii="Times New Roman" w:hAnsi="Times New Roman" w:cs="Times New Roman"/>
          <w:noProof/>
          <w:sz w:val="24"/>
          <w:szCs w:val="24"/>
          <w:lang w:val="sq-AL"/>
        </w:rPr>
        <w:t>ë</w:t>
      </w:r>
      <w:r w:rsidR="006A127F" w:rsidRPr="00641640">
        <w:rPr>
          <w:rFonts w:ascii="Times New Roman" w:hAnsi="Times New Roman" w:cs="Times New Roman"/>
          <w:noProof/>
          <w:sz w:val="24"/>
          <w:szCs w:val="24"/>
          <w:lang w:val="sq-AL"/>
        </w:rPr>
        <w:t>sht</w:t>
      </w:r>
      <w:r w:rsidR="00E72046" w:rsidRPr="00641640">
        <w:rPr>
          <w:rFonts w:ascii="Times New Roman" w:hAnsi="Times New Roman" w:cs="Times New Roman"/>
          <w:noProof/>
          <w:sz w:val="24"/>
          <w:szCs w:val="24"/>
          <w:lang w:val="sq-AL"/>
        </w:rPr>
        <w:t>ë</w:t>
      </w:r>
      <w:r w:rsidR="006A127F" w:rsidRPr="00641640">
        <w:rPr>
          <w:rFonts w:ascii="Times New Roman" w:hAnsi="Times New Roman" w:cs="Times New Roman"/>
          <w:noProof/>
          <w:sz w:val="24"/>
          <w:szCs w:val="24"/>
          <w:lang w:val="sq-AL"/>
        </w:rPr>
        <w:t xml:space="preserve"> p</w:t>
      </w:r>
      <w:r w:rsidR="00E72046" w:rsidRPr="00641640">
        <w:rPr>
          <w:rFonts w:ascii="Times New Roman" w:hAnsi="Times New Roman" w:cs="Times New Roman"/>
          <w:noProof/>
          <w:sz w:val="24"/>
          <w:szCs w:val="24"/>
          <w:lang w:val="sq-AL"/>
        </w:rPr>
        <w:t>ë</w:t>
      </w:r>
      <w:r w:rsidR="006A127F" w:rsidRPr="00641640">
        <w:rPr>
          <w:rFonts w:ascii="Times New Roman" w:hAnsi="Times New Roman" w:cs="Times New Roman"/>
          <w:noProof/>
          <w:sz w:val="24"/>
          <w:szCs w:val="24"/>
          <w:lang w:val="sq-AL"/>
        </w:rPr>
        <w:t>rkthyer në ulje të konsiderueshme t</w:t>
      </w:r>
      <w:r w:rsidR="00E72046" w:rsidRPr="00641640">
        <w:rPr>
          <w:rFonts w:ascii="Times New Roman" w:hAnsi="Times New Roman" w:cs="Times New Roman"/>
          <w:noProof/>
          <w:sz w:val="24"/>
          <w:szCs w:val="24"/>
          <w:lang w:val="sq-AL"/>
        </w:rPr>
        <w:t>ë</w:t>
      </w:r>
      <w:r w:rsidR="006A127F" w:rsidRPr="00641640">
        <w:rPr>
          <w:rFonts w:ascii="Times New Roman" w:hAnsi="Times New Roman" w:cs="Times New Roman"/>
          <w:noProof/>
          <w:sz w:val="24"/>
          <w:szCs w:val="24"/>
          <w:lang w:val="sq-AL"/>
        </w:rPr>
        <w:t xml:space="preserve"> kostove të marrjes së shërbimeve, lehtësim të procedurave burokratike, reduktim të kohës së marrjes së shërbimeve,  rritjes së transparencës dhe cilësisë së ofrimit. T</w:t>
      </w:r>
      <w:r w:rsidR="00E72046" w:rsidRPr="00641640">
        <w:rPr>
          <w:rFonts w:ascii="Times New Roman" w:hAnsi="Times New Roman" w:cs="Times New Roman"/>
          <w:noProof/>
          <w:sz w:val="24"/>
          <w:szCs w:val="24"/>
          <w:lang w:val="sq-AL"/>
        </w:rPr>
        <w:t>ë</w:t>
      </w:r>
      <w:r w:rsidR="006A127F" w:rsidRPr="00641640">
        <w:rPr>
          <w:rFonts w:ascii="Times New Roman" w:hAnsi="Times New Roman" w:cs="Times New Roman"/>
          <w:noProof/>
          <w:sz w:val="24"/>
          <w:szCs w:val="24"/>
          <w:lang w:val="sq-AL"/>
        </w:rPr>
        <w:t xml:space="preserve"> gjitha </w:t>
      </w:r>
      <w:r w:rsidR="0087755D" w:rsidRPr="00641640">
        <w:rPr>
          <w:rFonts w:ascii="Times New Roman" w:hAnsi="Times New Roman" w:cs="Times New Roman"/>
          <w:noProof/>
          <w:sz w:val="24"/>
          <w:szCs w:val="24"/>
          <w:lang w:val="sq-AL"/>
        </w:rPr>
        <w:t>shërbime</w:t>
      </w:r>
      <w:r w:rsidR="006A127F" w:rsidRPr="00641640">
        <w:rPr>
          <w:rFonts w:ascii="Times New Roman" w:hAnsi="Times New Roman" w:cs="Times New Roman"/>
          <w:noProof/>
          <w:sz w:val="24"/>
          <w:szCs w:val="24"/>
          <w:lang w:val="sq-AL"/>
        </w:rPr>
        <w:t>t</w:t>
      </w:r>
      <w:r w:rsidR="0087755D" w:rsidRPr="00641640">
        <w:rPr>
          <w:rFonts w:ascii="Times New Roman" w:hAnsi="Times New Roman" w:cs="Times New Roman"/>
          <w:noProof/>
          <w:sz w:val="24"/>
          <w:szCs w:val="24"/>
          <w:lang w:val="sq-AL"/>
        </w:rPr>
        <w:t xml:space="preserve"> elektronike</w:t>
      </w:r>
      <w:r w:rsidR="006A127F" w:rsidRPr="00641640">
        <w:rPr>
          <w:rFonts w:ascii="Times New Roman" w:hAnsi="Times New Roman" w:cs="Times New Roman"/>
          <w:noProof/>
          <w:sz w:val="24"/>
          <w:szCs w:val="24"/>
          <w:lang w:val="sq-AL"/>
        </w:rPr>
        <w:t xml:space="preserve"> t</w:t>
      </w:r>
      <w:r w:rsidR="00E72046" w:rsidRPr="00641640">
        <w:rPr>
          <w:rFonts w:ascii="Times New Roman" w:hAnsi="Times New Roman" w:cs="Times New Roman"/>
          <w:noProof/>
          <w:sz w:val="24"/>
          <w:szCs w:val="24"/>
          <w:lang w:val="sq-AL"/>
        </w:rPr>
        <w:t>ë</w:t>
      </w:r>
      <w:r w:rsidR="006A127F" w:rsidRPr="00641640">
        <w:rPr>
          <w:rFonts w:ascii="Times New Roman" w:hAnsi="Times New Roman" w:cs="Times New Roman"/>
          <w:noProof/>
          <w:sz w:val="24"/>
          <w:szCs w:val="24"/>
          <w:lang w:val="sq-AL"/>
        </w:rPr>
        <w:t xml:space="preserve"> ofruara aktualisht jan</w:t>
      </w:r>
      <w:r w:rsidR="00E72046" w:rsidRPr="00641640">
        <w:rPr>
          <w:rFonts w:ascii="Times New Roman" w:hAnsi="Times New Roman" w:cs="Times New Roman"/>
          <w:noProof/>
          <w:sz w:val="24"/>
          <w:szCs w:val="24"/>
          <w:lang w:val="sq-AL"/>
        </w:rPr>
        <w:t>ë</w:t>
      </w:r>
      <w:r w:rsidR="0087755D" w:rsidRPr="00641640">
        <w:rPr>
          <w:rFonts w:ascii="Times New Roman" w:hAnsi="Times New Roman" w:cs="Times New Roman"/>
          <w:noProof/>
          <w:sz w:val="24"/>
          <w:szCs w:val="24"/>
          <w:lang w:val="sq-AL"/>
        </w:rPr>
        <w:t xml:space="preserve"> të kategorizuara</w:t>
      </w:r>
      <w:r w:rsidR="006A127F" w:rsidRPr="00641640">
        <w:rPr>
          <w:rFonts w:ascii="Times New Roman" w:hAnsi="Times New Roman" w:cs="Times New Roman"/>
          <w:noProof/>
          <w:sz w:val="24"/>
          <w:szCs w:val="24"/>
          <w:lang w:val="sq-AL"/>
        </w:rPr>
        <w:t xml:space="preserve"> “Nivel 4”,</w:t>
      </w:r>
      <w:r w:rsidR="0087755D" w:rsidRPr="00641640">
        <w:rPr>
          <w:rFonts w:ascii="Times New Roman" w:hAnsi="Times New Roman" w:cs="Times New Roman"/>
          <w:noProof/>
          <w:sz w:val="24"/>
          <w:szCs w:val="24"/>
          <w:lang w:val="sq-AL"/>
        </w:rPr>
        <w:t xml:space="preserve"> sipas niveleve të automatizimit të shërbimeve të UNPAN-it. </w:t>
      </w:r>
      <w:r w:rsidR="008376D0" w:rsidRPr="00641640">
        <w:rPr>
          <w:rFonts w:ascii="Times New Roman" w:hAnsi="Times New Roman" w:cs="Times New Roman"/>
          <w:noProof/>
          <w:sz w:val="24"/>
          <w:szCs w:val="24"/>
          <w:lang w:val="sq-AL"/>
        </w:rPr>
        <w:t>P</w:t>
      </w:r>
      <w:r w:rsidR="0087755D" w:rsidRPr="00641640">
        <w:rPr>
          <w:rFonts w:ascii="Times New Roman" w:hAnsi="Times New Roman" w:cs="Times New Roman"/>
          <w:noProof/>
          <w:sz w:val="24"/>
          <w:szCs w:val="24"/>
          <w:lang w:val="sq-AL"/>
        </w:rPr>
        <w:t>latform</w:t>
      </w:r>
      <w:r w:rsidR="008376D0" w:rsidRPr="00641640">
        <w:rPr>
          <w:rFonts w:ascii="Times New Roman" w:hAnsi="Times New Roman" w:cs="Times New Roman"/>
          <w:noProof/>
          <w:sz w:val="24"/>
          <w:szCs w:val="24"/>
          <w:lang w:val="sq-AL"/>
        </w:rPr>
        <w:t>a</w:t>
      </w:r>
      <w:r w:rsidR="0087755D" w:rsidRPr="00641640">
        <w:rPr>
          <w:rFonts w:ascii="Times New Roman" w:hAnsi="Times New Roman" w:cs="Times New Roman"/>
          <w:noProof/>
          <w:sz w:val="24"/>
          <w:szCs w:val="24"/>
          <w:lang w:val="sq-AL"/>
        </w:rPr>
        <w:t xml:space="preserve"> mundëson edhe shkarkimin në kohë reale të </w:t>
      </w:r>
      <w:r w:rsidR="006A127F" w:rsidRPr="00641640">
        <w:rPr>
          <w:rFonts w:ascii="Times New Roman" w:hAnsi="Times New Roman" w:cs="Times New Roman"/>
          <w:noProof/>
          <w:sz w:val="24"/>
          <w:szCs w:val="24"/>
          <w:lang w:val="sq-AL"/>
        </w:rPr>
        <w:t xml:space="preserve">92 </w:t>
      </w:r>
      <w:r w:rsidR="0087755D" w:rsidRPr="00641640">
        <w:rPr>
          <w:rFonts w:ascii="Times New Roman" w:hAnsi="Times New Roman" w:cs="Times New Roman"/>
          <w:noProof/>
          <w:sz w:val="24"/>
          <w:szCs w:val="24"/>
          <w:lang w:val="sq-AL"/>
        </w:rPr>
        <w:t xml:space="preserve">dokumenteve </w:t>
      </w:r>
      <w:r w:rsidR="006A127F" w:rsidRPr="00641640">
        <w:rPr>
          <w:rFonts w:ascii="Times New Roman" w:hAnsi="Times New Roman" w:cs="Times New Roman"/>
          <w:noProof/>
          <w:sz w:val="24"/>
          <w:szCs w:val="24"/>
          <w:lang w:val="sq-AL"/>
        </w:rPr>
        <w:t xml:space="preserve">administrative </w:t>
      </w:r>
      <w:r w:rsidR="0087755D" w:rsidRPr="00641640">
        <w:rPr>
          <w:rFonts w:ascii="Times New Roman" w:hAnsi="Times New Roman" w:cs="Times New Roman"/>
          <w:noProof/>
          <w:sz w:val="24"/>
          <w:szCs w:val="24"/>
          <w:lang w:val="sq-AL"/>
        </w:rPr>
        <w:t xml:space="preserve">me </w:t>
      </w:r>
      <w:r w:rsidR="006A127F" w:rsidRPr="00641640">
        <w:rPr>
          <w:rFonts w:ascii="Times New Roman" w:hAnsi="Times New Roman" w:cs="Times New Roman"/>
          <w:noProof/>
          <w:sz w:val="24"/>
          <w:szCs w:val="24"/>
          <w:lang w:val="sq-AL"/>
        </w:rPr>
        <w:t>vul</w:t>
      </w:r>
      <w:r w:rsidR="00E72046" w:rsidRPr="00641640">
        <w:rPr>
          <w:rFonts w:ascii="Times New Roman" w:hAnsi="Times New Roman" w:cs="Times New Roman"/>
          <w:noProof/>
          <w:sz w:val="24"/>
          <w:szCs w:val="24"/>
          <w:lang w:val="sq-AL"/>
        </w:rPr>
        <w:t>ë</w:t>
      </w:r>
      <w:r w:rsidR="006A127F" w:rsidRPr="00641640">
        <w:rPr>
          <w:rFonts w:ascii="Times New Roman" w:hAnsi="Times New Roman" w:cs="Times New Roman"/>
          <w:noProof/>
          <w:sz w:val="24"/>
          <w:szCs w:val="24"/>
          <w:lang w:val="sq-AL"/>
        </w:rPr>
        <w:t xml:space="preserve"> elektronike dhe </w:t>
      </w:r>
      <w:r w:rsidR="0087755D" w:rsidRPr="00641640">
        <w:rPr>
          <w:rFonts w:ascii="Times New Roman" w:hAnsi="Times New Roman" w:cs="Times New Roman"/>
          <w:noProof/>
          <w:sz w:val="24"/>
          <w:szCs w:val="24"/>
          <w:lang w:val="sq-AL"/>
        </w:rPr>
        <w:t xml:space="preserve">vlerë ligjore. </w:t>
      </w:r>
      <w:r w:rsidR="006F7BA7" w:rsidRPr="00641640">
        <w:rPr>
          <w:rFonts w:ascii="Times New Roman" w:hAnsi="Times New Roman" w:cs="Times New Roman"/>
          <w:noProof/>
          <w:sz w:val="24"/>
          <w:szCs w:val="24"/>
          <w:lang w:val="sq-AL"/>
        </w:rPr>
        <w:t>Mbi</w:t>
      </w:r>
      <w:r w:rsidR="006A127F" w:rsidRPr="00641640">
        <w:rPr>
          <w:rFonts w:ascii="Times New Roman" w:hAnsi="Times New Roman" w:cs="Times New Roman"/>
          <w:noProof/>
          <w:sz w:val="24"/>
          <w:szCs w:val="24"/>
          <w:lang w:val="sq-AL"/>
        </w:rPr>
        <w:t xml:space="preserve"> 3.2</w:t>
      </w:r>
      <w:r w:rsidR="001C356F" w:rsidRPr="00641640">
        <w:rPr>
          <w:rFonts w:ascii="Times New Roman" w:hAnsi="Times New Roman" w:cs="Times New Roman"/>
          <w:noProof/>
          <w:sz w:val="24"/>
          <w:szCs w:val="24"/>
          <w:lang w:val="sq-AL"/>
        </w:rPr>
        <w:t xml:space="preserve"> milionë qytetar</w:t>
      </w:r>
      <w:r w:rsidR="00E72046" w:rsidRPr="00641640">
        <w:rPr>
          <w:rFonts w:ascii="Times New Roman" w:hAnsi="Times New Roman" w:cs="Times New Roman"/>
          <w:noProof/>
          <w:sz w:val="24"/>
          <w:szCs w:val="24"/>
          <w:lang w:val="sq-AL"/>
        </w:rPr>
        <w:t>ë</w:t>
      </w:r>
      <w:r w:rsidR="001C356F" w:rsidRPr="00641640">
        <w:rPr>
          <w:rFonts w:ascii="Times New Roman" w:hAnsi="Times New Roman" w:cs="Times New Roman"/>
          <w:noProof/>
          <w:sz w:val="24"/>
          <w:szCs w:val="24"/>
          <w:lang w:val="sq-AL"/>
        </w:rPr>
        <w:t xml:space="preserve"> dhe biznese janë t</w:t>
      </w:r>
      <w:r w:rsidR="00870DCD" w:rsidRPr="00641640">
        <w:rPr>
          <w:rFonts w:ascii="Times New Roman" w:hAnsi="Times New Roman" w:cs="Times New Roman"/>
          <w:noProof/>
          <w:sz w:val="24"/>
          <w:szCs w:val="24"/>
          <w:lang w:val="sq-AL"/>
        </w:rPr>
        <w:t>ë</w:t>
      </w:r>
      <w:r w:rsidR="001C356F" w:rsidRPr="00641640">
        <w:rPr>
          <w:rFonts w:ascii="Times New Roman" w:hAnsi="Times New Roman" w:cs="Times New Roman"/>
          <w:noProof/>
          <w:sz w:val="24"/>
          <w:szCs w:val="24"/>
          <w:lang w:val="sq-AL"/>
        </w:rPr>
        <w:t xml:space="preserve"> regjistruar në Portalin e-Albania dhe shërbehen çdo ditë </w:t>
      </w:r>
      <w:r w:rsidR="00E64924" w:rsidRPr="00641640">
        <w:rPr>
          <w:rFonts w:ascii="Times New Roman" w:hAnsi="Times New Roman" w:cs="Times New Roman"/>
          <w:noProof/>
          <w:sz w:val="24"/>
          <w:szCs w:val="24"/>
          <w:lang w:val="sq-AL"/>
        </w:rPr>
        <w:t>përmes</w:t>
      </w:r>
      <w:r w:rsidR="001C356F" w:rsidRPr="00641640">
        <w:rPr>
          <w:rFonts w:ascii="Times New Roman" w:hAnsi="Times New Roman" w:cs="Times New Roman"/>
          <w:noProof/>
          <w:sz w:val="24"/>
          <w:szCs w:val="24"/>
          <w:lang w:val="sq-AL"/>
        </w:rPr>
        <w:t xml:space="preserve"> </w:t>
      </w:r>
      <w:r w:rsidR="006A127F" w:rsidRPr="00641640">
        <w:rPr>
          <w:rFonts w:ascii="Times New Roman" w:hAnsi="Times New Roman" w:cs="Times New Roman"/>
          <w:noProof/>
          <w:sz w:val="24"/>
          <w:szCs w:val="24"/>
          <w:lang w:val="sq-AL"/>
        </w:rPr>
        <w:t>platform</w:t>
      </w:r>
      <w:r w:rsidR="00E72046" w:rsidRPr="00641640">
        <w:rPr>
          <w:rFonts w:ascii="Times New Roman" w:hAnsi="Times New Roman" w:cs="Times New Roman"/>
          <w:noProof/>
          <w:sz w:val="24"/>
          <w:szCs w:val="24"/>
          <w:lang w:val="sq-AL"/>
        </w:rPr>
        <w:t>ë</w:t>
      </w:r>
      <w:r w:rsidR="006A127F" w:rsidRPr="00641640">
        <w:rPr>
          <w:rFonts w:ascii="Times New Roman" w:hAnsi="Times New Roman" w:cs="Times New Roman"/>
          <w:noProof/>
          <w:sz w:val="24"/>
          <w:szCs w:val="24"/>
          <w:lang w:val="sq-AL"/>
        </w:rPr>
        <w:t xml:space="preserve">s </w:t>
      </w:r>
      <w:r w:rsidR="001C356F" w:rsidRPr="00641640">
        <w:rPr>
          <w:rFonts w:ascii="Times New Roman" w:hAnsi="Times New Roman" w:cs="Times New Roman"/>
          <w:noProof/>
          <w:sz w:val="24"/>
          <w:szCs w:val="24"/>
          <w:lang w:val="sq-AL"/>
        </w:rPr>
        <w:t xml:space="preserve">e-Albania. </w:t>
      </w:r>
    </w:p>
    <w:p w14:paraId="6CE80799" w14:textId="2B5EB101" w:rsidR="006662A3" w:rsidRPr="005F3112" w:rsidRDefault="006662A3" w:rsidP="005F3112">
      <w:pPr>
        <w:pStyle w:val="NormalWeb"/>
        <w:spacing w:before="120" w:beforeAutospacing="0" w:after="120" w:afterAutospacing="0" w:line="276" w:lineRule="auto"/>
        <w:jc w:val="both"/>
        <w:rPr>
          <w:noProof/>
          <w:lang w:val="sq-AL"/>
        </w:rPr>
      </w:pPr>
      <w:r w:rsidRPr="00641640">
        <w:rPr>
          <w:noProof/>
          <w:lang w:val="sq-AL"/>
        </w:rPr>
        <w:t xml:space="preserve">Digjitalizimi është tashmë një proces i pakthyeshëm i </w:t>
      </w:r>
      <w:r w:rsidR="006A127F" w:rsidRPr="00641640">
        <w:rPr>
          <w:noProof/>
          <w:lang w:val="sq-AL"/>
        </w:rPr>
        <w:t>pun</w:t>
      </w:r>
      <w:r w:rsidR="00E72046" w:rsidRPr="00641640">
        <w:rPr>
          <w:noProof/>
          <w:lang w:val="sq-AL"/>
        </w:rPr>
        <w:t>ë</w:t>
      </w:r>
      <w:r w:rsidR="006A127F" w:rsidRPr="00641640">
        <w:rPr>
          <w:noProof/>
          <w:lang w:val="sq-AL"/>
        </w:rPr>
        <w:t>s s</w:t>
      </w:r>
      <w:r w:rsidR="00E72046" w:rsidRPr="00641640">
        <w:rPr>
          <w:noProof/>
          <w:lang w:val="sq-AL"/>
        </w:rPr>
        <w:t>ë</w:t>
      </w:r>
      <w:r w:rsidR="006A127F" w:rsidRPr="00641640">
        <w:rPr>
          <w:noProof/>
          <w:lang w:val="sq-AL"/>
        </w:rPr>
        <w:t xml:space="preserve"> p</w:t>
      </w:r>
      <w:r w:rsidR="00E72046" w:rsidRPr="00641640">
        <w:rPr>
          <w:noProof/>
          <w:lang w:val="sq-AL"/>
        </w:rPr>
        <w:t>ë</w:t>
      </w:r>
      <w:r w:rsidR="006A127F" w:rsidRPr="00641640">
        <w:rPr>
          <w:noProof/>
          <w:lang w:val="sq-AL"/>
        </w:rPr>
        <w:t>rditshme t</w:t>
      </w:r>
      <w:r w:rsidR="00E72046" w:rsidRPr="00641640">
        <w:rPr>
          <w:noProof/>
          <w:lang w:val="sq-AL"/>
        </w:rPr>
        <w:t>ë</w:t>
      </w:r>
      <w:r w:rsidR="006A127F" w:rsidRPr="00641640">
        <w:rPr>
          <w:noProof/>
          <w:lang w:val="sq-AL"/>
        </w:rPr>
        <w:t xml:space="preserve"> </w:t>
      </w:r>
      <w:r w:rsidRPr="00641640">
        <w:rPr>
          <w:noProof/>
          <w:lang w:val="sq-AL"/>
        </w:rPr>
        <w:t xml:space="preserve">çdo institucioni shqiptar. </w:t>
      </w:r>
      <w:r w:rsidR="001C356F" w:rsidRPr="00641640">
        <w:rPr>
          <w:noProof/>
          <w:lang w:val="sq-AL"/>
        </w:rPr>
        <w:t>Viti 2022 shënoi një ndryshim rrënjësor në shërbimin e administratës publike ndaj qytetarëve dhe bizneseve</w:t>
      </w:r>
      <w:r w:rsidR="006A127F" w:rsidRPr="00641640">
        <w:rPr>
          <w:noProof/>
          <w:lang w:val="sq-AL"/>
        </w:rPr>
        <w:t>, kur</w:t>
      </w:r>
      <w:r w:rsidR="001C356F" w:rsidRPr="00641640">
        <w:rPr>
          <w:iCs/>
          <w:noProof/>
          <w:lang w:val="sq-AL"/>
        </w:rPr>
        <w:t xml:space="preserve"> prej majit </w:t>
      </w:r>
      <w:r w:rsidR="006A127F" w:rsidRPr="00641640">
        <w:rPr>
          <w:iCs/>
          <w:noProof/>
          <w:lang w:val="sq-AL"/>
        </w:rPr>
        <w:t>u mund</w:t>
      </w:r>
      <w:r w:rsidR="00E72046" w:rsidRPr="00641640">
        <w:rPr>
          <w:iCs/>
          <w:noProof/>
          <w:lang w:val="sq-AL"/>
        </w:rPr>
        <w:t>ë</w:t>
      </w:r>
      <w:r w:rsidR="006A127F" w:rsidRPr="00641640">
        <w:rPr>
          <w:iCs/>
          <w:noProof/>
          <w:lang w:val="sq-AL"/>
        </w:rPr>
        <w:t>sua</w:t>
      </w:r>
      <w:r w:rsidR="001C356F" w:rsidRPr="00641640">
        <w:rPr>
          <w:noProof/>
          <w:lang w:val="sq-AL"/>
        </w:rPr>
        <w:t xml:space="preserve"> </w:t>
      </w:r>
      <w:r w:rsidR="006F7BA7" w:rsidRPr="00641640">
        <w:rPr>
          <w:noProof/>
          <w:lang w:val="sq-AL"/>
        </w:rPr>
        <w:t xml:space="preserve">që për të gjitha shërbimet publike </w:t>
      </w:r>
      <w:r w:rsidR="006A127F" w:rsidRPr="00641640">
        <w:rPr>
          <w:noProof/>
          <w:lang w:val="sq-AL"/>
        </w:rPr>
        <w:t>p</w:t>
      </w:r>
      <w:r w:rsidR="00E72046" w:rsidRPr="00641640">
        <w:rPr>
          <w:noProof/>
          <w:lang w:val="sq-AL"/>
        </w:rPr>
        <w:t>ë</w:t>
      </w:r>
      <w:r w:rsidR="006A127F" w:rsidRPr="00641640">
        <w:rPr>
          <w:noProof/>
          <w:lang w:val="sq-AL"/>
        </w:rPr>
        <w:t>r t</w:t>
      </w:r>
      <w:r w:rsidR="00E72046" w:rsidRPr="00641640">
        <w:rPr>
          <w:noProof/>
          <w:lang w:val="sq-AL"/>
        </w:rPr>
        <w:t>ë</w:t>
      </w:r>
      <w:r w:rsidR="006A127F" w:rsidRPr="00641640">
        <w:rPr>
          <w:noProof/>
          <w:lang w:val="sq-AL"/>
        </w:rPr>
        <w:t xml:space="preserve"> cilat</w:t>
      </w:r>
      <w:r w:rsidR="006F7BA7" w:rsidRPr="00641640">
        <w:rPr>
          <w:noProof/>
          <w:lang w:val="sq-AL"/>
        </w:rPr>
        <w:t xml:space="preserve"> aplikohet në portalin e-Albania, </w:t>
      </w:r>
      <w:r w:rsidR="006F7BA7" w:rsidRPr="00641640">
        <w:rPr>
          <w:bCs/>
          <w:noProof/>
          <w:lang w:val="sq-AL"/>
        </w:rPr>
        <w:t xml:space="preserve">përgjigja/dokumenti administrativ final </w:t>
      </w:r>
      <w:r w:rsidR="006A127F" w:rsidRPr="00641640">
        <w:rPr>
          <w:bCs/>
          <w:noProof/>
          <w:lang w:val="sq-AL"/>
        </w:rPr>
        <w:t>t</w:t>
      </w:r>
      <w:r w:rsidR="00E72046" w:rsidRPr="00641640">
        <w:rPr>
          <w:bCs/>
          <w:noProof/>
          <w:lang w:val="sq-AL"/>
        </w:rPr>
        <w:t>ë</w:t>
      </w:r>
      <w:r w:rsidR="006A127F" w:rsidRPr="00641640">
        <w:rPr>
          <w:bCs/>
          <w:noProof/>
          <w:lang w:val="sq-AL"/>
        </w:rPr>
        <w:t xml:space="preserve"> </w:t>
      </w:r>
      <w:r w:rsidR="006F7BA7" w:rsidRPr="00641640">
        <w:rPr>
          <w:bCs/>
          <w:noProof/>
          <w:lang w:val="sq-AL"/>
        </w:rPr>
        <w:t xml:space="preserve">dërgohet elektronikisht në llogarinë e çdo qytetari/biznesi </w:t>
      </w:r>
      <w:r w:rsidR="006F7BA7" w:rsidRPr="005F3112">
        <w:rPr>
          <w:bCs/>
          <w:noProof/>
          <w:lang w:val="sq-AL"/>
        </w:rPr>
        <w:t>në e-Albania me vulë ose nënshkrim elektronik</w:t>
      </w:r>
      <w:r w:rsidR="006A127F" w:rsidRPr="005F3112">
        <w:rPr>
          <w:bCs/>
          <w:noProof/>
          <w:lang w:val="sq-AL"/>
        </w:rPr>
        <w:t>, përmes Sistemit të Qarkullimit të Dokumenteve me Nënshkrim Elektronik (SQDNE)</w:t>
      </w:r>
      <w:r w:rsidR="006F7BA7" w:rsidRPr="005F3112">
        <w:rPr>
          <w:noProof/>
          <w:lang w:val="sq-AL"/>
        </w:rPr>
        <w:t>.</w:t>
      </w:r>
      <w:r w:rsidRPr="005F3112">
        <w:rPr>
          <w:noProof/>
          <w:lang w:val="sq-AL"/>
        </w:rPr>
        <w:t xml:space="preserve"> </w:t>
      </w:r>
      <w:r w:rsidR="001C356F" w:rsidRPr="005F3112">
        <w:rPr>
          <w:noProof/>
          <w:lang w:val="sq-AL"/>
        </w:rPr>
        <w:t xml:space="preserve">Shërbimet publike </w:t>
      </w:r>
      <w:r w:rsidR="001C356F" w:rsidRPr="005F3112">
        <w:rPr>
          <w:bCs/>
          <w:noProof/>
          <w:lang w:val="sq-AL"/>
        </w:rPr>
        <w:t>ofrohen elektronikisht</w:t>
      </w:r>
      <w:r w:rsidRPr="005F3112">
        <w:rPr>
          <w:noProof/>
          <w:lang w:val="sq-AL"/>
        </w:rPr>
        <w:t xml:space="preserve">, </w:t>
      </w:r>
      <w:r w:rsidR="001C356F" w:rsidRPr="005F3112">
        <w:rPr>
          <w:noProof/>
          <w:lang w:val="sq-AL"/>
        </w:rPr>
        <w:t>pa kosto shtesë</w:t>
      </w:r>
      <w:r w:rsidR="006A127F" w:rsidRPr="005F3112">
        <w:rPr>
          <w:noProof/>
          <w:lang w:val="sq-AL"/>
        </w:rPr>
        <w:t>,</w:t>
      </w:r>
      <w:r w:rsidRPr="005F3112">
        <w:rPr>
          <w:noProof/>
          <w:lang w:val="sq-AL"/>
        </w:rPr>
        <w:t xml:space="preserve"> </w:t>
      </w:r>
      <w:r w:rsidR="001C356F" w:rsidRPr="005F3112">
        <w:rPr>
          <w:noProof/>
          <w:lang w:val="sq-AL"/>
        </w:rPr>
        <w:t>pa pritje në radhët e sporteleve të institucioneve</w:t>
      </w:r>
      <w:r w:rsidRPr="005F3112">
        <w:rPr>
          <w:noProof/>
          <w:lang w:val="sq-AL"/>
        </w:rPr>
        <w:t xml:space="preserve">, dhe </w:t>
      </w:r>
      <w:r w:rsidR="001C356F" w:rsidRPr="005F3112">
        <w:rPr>
          <w:noProof/>
          <w:lang w:val="sq-AL"/>
        </w:rPr>
        <w:t>pa pasur asnjë kontakt fizik me punonjësit e administratës publike</w:t>
      </w:r>
      <w:r w:rsidR="006A127F" w:rsidRPr="005F3112">
        <w:rPr>
          <w:noProof/>
          <w:lang w:val="sq-AL"/>
        </w:rPr>
        <w:t xml:space="preserve">. Në këtë mënyrë shmanget plotësisht kontakti </w:t>
      </w:r>
      <w:r w:rsidR="006A127F" w:rsidRPr="005F3112">
        <w:rPr>
          <w:noProof/>
          <w:lang w:val="sq-AL"/>
        </w:rPr>
        <w:lastRenderedPageBreak/>
        <w:t>i drejtpërdrejtë fizik i qytetarëve dhe bizneseve me institucionet publike dhe rrjedhimisht shmangen mundësitë për korrupsion.</w:t>
      </w:r>
      <w:r w:rsidRPr="005F3112">
        <w:rPr>
          <w:noProof/>
          <w:lang w:val="sq-AL"/>
        </w:rPr>
        <w:t xml:space="preserve"> </w:t>
      </w:r>
    </w:p>
    <w:p w14:paraId="2AD22C80" w14:textId="526664AE" w:rsidR="001C356F" w:rsidRPr="008C0D07" w:rsidRDefault="006662A3" w:rsidP="005F3112">
      <w:pPr>
        <w:pStyle w:val="NormalWeb"/>
        <w:spacing w:before="120" w:beforeAutospacing="0" w:after="120" w:afterAutospacing="0" w:line="276" w:lineRule="auto"/>
        <w:jc w:val="both"/>
        <w:rPr>
          <w:iCs/>
          <w:noProof/>
          <w:lang w:val="sq-AL"/>
        </w:rPr>
      </w:pPr>
      <w:r w:rsidRPr="0053517F">
        <w:rPr>
          <w:noProof/>
          <w:lang w:val="sq-AL"/>
        </w:rPr>
        <w:t xml:space="preserve">Eliminimi i sporteleve fizike solli një rritje të ndjeshme të numrit të shërbimeve të marra </w:t>
      </w:r>
      <w:r w:rsidR="00E64924" w:rsidRPr="0053517F">
        <w:rPr>
          <w:noProof/>
          <w:lang w:val="sq-AL"/>
        </w:rPr>
        <w:t>përmes</w:t>
      </w:r>
      <w:r w:rsidRPr="0053517F">
        <w:rPr>
          <w:noProof/>
          <w:lang w:val="sq-AL"/>
        </w:rPr>
        <w:t xml:space="preserve"> portalit e-Albania. Për vitin 2023, janë marrë </w:t>
      </w:r>
      <w:r w:rsidR="00E64924" w:rsidRPr="0053517F">
        <w:rPr>
          <w:noProof/>
          <w:lang w:val="sq-AL"/>
        </w:rPr>
        <w:t>përmes</w:t>
      </w:r>
      <w:r w:rsidRPr="0053517F">
        <w:rPr>
          <w:noProof/>
          <w:lang w:val="sq-AL"/>
        </w:rPr>
        <w:t xml:space="preserve"> e-Albania 13.5 milionë shërbime publike</w:t>
      </w:r>
      <w:r w:rsidR="00EF0180" w:rsidRPr="0053517F">
        <w:rPr>
          <w:noProof/>
          <w:lang w:val="sq-AL"/>
        </w:rPr>
        <w:t>,</w:t>
      </w:r>
      <w:r w:rsidRPr="0053517F">
        <w:rPr>
          <w:noProof/>
          <w:lang w:val="sq-AL"/>
        </w:rPr>
        <w:t xml:space="preserve"> si dhe janë gjeneruar 8.7 milionë dokumente me vulë elektronike.</w:t>
      </w:r>
      <w:r w:rsidR="006A127F" w:rsidRPr="0053517F">
        <w:rPr>
          <w:noProof/>
          <w:lang w:val="sq-AL"/>
        </w:rPr>
        <w:t xml:space="preserve"> </w:t>
      </w:r>
      <w:r w:rsidR="00B72882" w:rsidRPr="0053517F">
        <w:rPr>
          <w:lang w:val="sq-AL"/>
        </w:rPr>
        <w:t>Për vitin 2024, janë marrë përmes e-Albania 15.2 milionë shërbime publike, si dhe janë gjeneruar 10.7 milionë dokumente me vulë elektronike.</w:t>
      </w:r>
      <w:r w:rsidR="00277F9D" w:rsidRPr="0053517F">
        <w:rPr>
          <w:color w:val="FF0000"/>
          <w:lang w:val="sq-AL"/>
        </w:rPr>
        <w:t xml:space="preserve"> </w:t>
      </w:r>
      <w:r w:rsidR="001C356F" w:rsidRPr="0053517F">
        <w:rPr>
          <w:noProof/>
          <w:lang w:val="sq-AL"/>
        </w:rPr>
        <w:t>Në të njëjtën kohë, çdo shërbim</w:t>
      </w:r>
      <w:r w:rsidR="001C356F" w:rsidRPr="005F3112">
        <w:rPr>
          <w:noProof/>
          <w:lang w:val="sq-AL"/>
        </w:rPr>
        <w:t xml:space="preserve"> dhe përgjigje e administratës monitorohet në kohë reale dhe sportelet janë reduktuar në mënyrë drastike. Të vetmet që mbeten të hapura janë ato ku prezenca fizike e qytetarit është e detyrueshme (n</w:t>
      </w:r>
      <w:r w:rsidR="007F00FB" w:rsidRPr="005F3112">
        <w:rPr>
          <w:noProof/>
          <w:lang w:val="sq-AL"/>
        </w:rPr>
        <w:t>ë</w:t>
      </w:r>
      <w:r w:rsidR="001C356F" w:rsidRPr="005F3112">
        <w:rPr>
          <w:noProof/>
          <w:lang w:val="sq-AL"/>
        </w:rPr>
        <w:t xml:space="preserve"> rastet e martesave, regjistrimi i shenjave të gishtave gjatë aplikimit për pasaportë ose kartë identiteti, </w:t>
      </w:r>
      <w:r w:rsidR="008D4BEF" w:rsidRPr="005F3112">
        <w:rPr>
          <w:noProof/>
          <w:lang w:val="sq-AL"/>
        </w:rPr>
        <w:t xml:space="preserve">dhe </w:t>
      </w:r>
      <w:r w:rsidR="001C356F" w:rsidRPr="005F3112">
        <w:rPr>
          <w:noProof/>
          <w:lang w:val="sq-AL"/>
        </w:rPr>
        <w:t>kontrolli i automjetit).</w:t>
      </w:r>
      <w:r w:rsidRPr="005F3112">
        <w:rPr>
          <w:noProof/>
          <w:lang w:val="sq-AL"/>
        </w:rPr>
        <w:t xml:space="preserve"> </w:t>
      </w:r>
      <w:r w:rsidR="001C356F" w:rsidRPr="005F3112">
        <w:rPr>
          <w:noProof/>
          <w:lang w:val="sq-AL"/>
        </w:rPr>
        <w:t>Gjithashtu përmes sistemi</w:t>
      </w:r>
      <w:r w:rsidRPr="005F3112">
        <w:rPr>
          <w:noProof/>
          <w:lang w:val="sq-AL"/>
        </w:rPr>
        <w:t>t SQDNE</w:t>
      </w:r>
      <w:r w:rsidR="001C356F" w:rsidRPr="005F3112">
        <w:rPr>
          <w:noProof/>
          <w:lang w:val="sq-AL"/>
        </w:rPr>
        <w:t xml:space="preserve"> është bërë i mundur monitorimi </w:t>
      </w:r>
      <w:r w:rsidR="000B2EC3" w:rsidRPr="005F3112">
        <w:rPr>
          <w:noProof/>
          <w:lang w:val="sq-AL"/>
        </w:rPr>
        <w:t>dhe kontrolli i veprimtarisë administrative, që kryhet në funksion të ofrimit të shërbimit në mënyrë elektronike, i cili kryhet</w:t>
      </w:r>
      <w:r w:rsidR="002D3816" w:rsidRPr="005F3112">
        <w:rPr>
          <w:noProof/>
          <w:lang w:val="sq-AL"/>
        </w:rPr>
        <w:t xml:space="preserve"> </w:t>
      </w:r>
      <w:r w:rsidR="001C356F" w:rsidRPr="005F3112">
        <w:rPr>
          <w:noProof/>
          <w:lang w:val="sq-AL"/>
        </w:rPr>
        <w:t>në kohë reale</w:t>
      </w:r>
      <w:r w:rsidR="00D960A9" w:rsidRPr="005F3112">
        <w:rPr>
          <w:noProof/>
          <w:lang w:val="sq-AL"/>
        </w:rPr>
        <w:t xml:space="preserve"> </w:t>
      </w:r>
      <w:r w:rsidR="001C356F" w:rsidRPr="005F3112">
        <w:rPr>
          <w:noProof/>
          <w:lang w:val="sq-AL"/>
        </w:rPr>
        <w:t xml:space="preserve">për kthimin e përgjigjeve dhe afatet e </w:t>
      </w:r>
      <w:r w:rsidR="00C278B5" w:rsidRPr="005F3112">
        <w:rPr>
          <w:noProof/>
          <w:lang w:val="sq-AL"/>
        </w:rPr>
        <w:t>ofrimit</w:t>
      </w:r>
      <w:r w:rsidR="001C356F" w:rsidRPr="005F3112">
        <w:rPr>
          <w:noProof/>
          <w:lang w:val="sq-AL"/>
        </w:rPr>
        <w:t xml:space="preserve"> të shërbimeve, duke mundësuar gjithashtu </w:t>
      </w:r>
      <w:r w:rsidR="00C278B5" w:rsidRPr="005F3112">
        <w:rPr>
          <w:noProof/>
          <w:lang w:val="sq-AL"/>
        </w:rPr>
        <w:t>matjen</w:t>
      </w:r>
      <w:r w:rsidR="001C356F" w:rsidRPr="005F3112">
        <w:rPr>
          <w:noProof/>
          <w:lang w:val="sq-AL"/>
        </w:rPr>
        <w:t xml:space="preserve"> e punës së administratës me transparencë të plotë. Aktualisht, në modulin e Administratës Publike dhe Sistemit të Qarkullimit të Dokumenteve me Nënshkrim Elektronik për gjenerimin e dokumenteve me vulë elektronike dhe marrjen e dokumenteve shoqëruese për plotësimin e dosjes së aplikantëve, janë të konfiguruar</w:t>
      </w:r>
      <w:r w:rsidRPr="005F3112">
        <w:rPr>
          <w:noProof/>
          <w:lang w:val="sq-AL"/>
        </w:rPr>
        <w:t xml:space="preserve"> </w:t>
      </w:r>
      <w:r w:rsidR="001C356F" w:rsidRPr="005F3112">
        <w:rPr>
          <w:noProof/>
          <w:lang w:val="sq-AL"/>
        </w:rPr>
        <w:t>186 institucione dhe mbi 7000 përdorues</w:t>
      </w:r>
      <w:r w:rsidRPr="005F3112">
        <w:rPr>
          <w:noProof/>
          <w:lang w:val="sq-AL"/>
        </w:rPr>
        <w:t>.</w:t>
      </w:r>
      <w:r w:rsidR="003342ED" w:rsidRPr="005F3112">
        <w:rPr>
          <w:noProof/>
          <w:lang w:val="sq-AL"/>
        </w:rPr>
        <w:t xml:space="preserve"> Gjithashtu, Qeveria Shqiptare </w:t>
      </w:r>
      <w:r w:rsidR="00F129F2" w:rsidRPr="005F3112">
        <w:rPr>
          <w:noProof/>
          <w:lang w:val="sq-AL"/>
        </w:rPr>
        <w:t>ë</w:t>
      </w:r>
      <w:r w:rsidR="003342ED" w:rsidRPr="005F3112">
        <w:rPr>
          <w:noProof/>
          <w:lang w:val="sq-AL"/>
        </w:rPr>
        <w:t>sht</w:t>
      </w:r>
      <w:r w:rsidR="00F129F2" w:rsidRPr="005F3112">
        <w:rPr>
          <w:noProof/>
          <w:lang w:val="sq-AL"/>
        </w:rPr>
        <w:t>ë</w:t>
      </w:r>
      <w:r w:rsidR="003342ED" w:rsidRPr="005F3112">
        <w:rPr>
          <w:noProof/>
          <w:lang w:val="sq-AL"/>
        </w:rPr>
        <w:t xml:space="preserve"> duke punuar paralelisht p</w:t>
      </w:r>
      <w:r w:rsidR="00F129F2" w:rsidRPr="005F3112">
        <w:rPr>
          <w:noProof/>
          <w:lang w:val="sq-AL"/>
        </w:rPr>
        <w:t>ë</w:t>
      </w:r>
      <w:r w:rsidR="003342ED" w:rsidRPr="005F3112">
        <w:rPr>
          <w:noProof/>
          <w:lang w:val="sq-AL"/>
        </w:rPr>
        <w:t>r p</w:t>
      </w:r>
      <w:r w:rsidR="00F129F2" w:rsidRPr="005F3112">
        <w:rPr>
          <w:noProof/>
          <w:lang w:val="sq-AL"/>
        </w:rPr>
        <w:t>ë</w:t>
      </w:r>
      <w:r w:rsidR="003342ED" w:rsidRPr="005F3112">
        <w:rPr>
          <w:noProof/>
          <w:lang w:val="sq-AL"/>
        </w:rPr>
        <w:t>rfshirjen e</w:t>
      </w:r>
      <w:r w:rsidR="003342ED" w:rsidRPr="005F3112">
        <w:rPr>
          <w:i/>
          <w:noProof/>
          <w:lang w:val="sq-AL"/>
        </w:rPr>
        <w:t xml:space="preserve"> life events dhe sh</w:t>
      </w:r>
      <w:r w:rsidR="00F129F2" w:rsidRPr="005F3112">
        <w:rPr>
          <w:i/>
          <w:noProof/>
          <w:lang w:val="sq-AL"/>
        </w:rPr>
        <w:t>ë</w:t>
      </w:r>
      <w:r w:rsidR="003342ED" w:rsidRPr="005F3112">
        <w:rPr>
          <w:i/>
          <w:noProof/>
          <w:lang w:val="sq-AL"/>
        </w:rPr>
        <w:t>rbimeve proaktive si modalitete t</w:t>
      </w:r>
      <w:r w:rsidR="00F129F2" w:rsidRPr="005F3112">
        <w:rPr>
          <w:i/>
          <w:noProof/>
          <w:lang w:val="sq-AL"/>
        </w:rPr>
        <w:t>ë</w:t>
      </w:r>
      <w:r w:rsidR="003342ED" w:rsidRPr="005F3112">
        <w:rPr>
          <w:i/>
          <w:noProof/>
          <w:lang w:val="sq-AL"/>
        </w:rPr>
        <w:t xml:space="preserve"> ofruara n</w:t>
      </w:r>
      <w:r w:rsidR="00F129F2" w:rsidRPr="005F3112">
        <w:rPr>
          <w:i/>
          <w:noProof/>
          <w:lang w:val="sq-AL"/>
        </w:rPr>
        <w:t>ë</w:t>
      </w:r>
      <w:r w:rsidR="003342ED" w:rsidRPr="005F3112">
        <w:rPr>
          <w:i/>
          <w:noProof/>
          <w:lang w:val="sq-AL"/>
        </w:rPr>
        <w:t xml:space="preserve"> portalin e-Albania. </w:t>
      </w:r>
    </w:p>
    <w:p w14:paraId="166D7098" w14:textId="6AA776FA" w:rsidR="00870DCD" w:rsidRPr="005F3112" w:rsidRDefault="001C356F" w:rsidP="005F3112">
      <w:pPr>
        <w:spacing w:before="120" w:after="120" w:line="276" w:lineRule="auto"/>
        <w:jc w:val="both"/>
        <w:rPr>
          <w:rFonts w:ascii="Times New Roman" w:hAnsi="Times New Roman" w:cs="Times New Roman"/>
          <w:noProof/>
          <w:sz w:val="24"/>
          <w:szCs w:val="24"/>
          <w:lang w:val="sq-AL"/>
        </w:rPr>
      </w:pPr>
      <w:r w:rsidRPr="005F3112">
        <w:rPr>
          <w:rFonts w:ascii="Times New Roman" w:hAnsi="Times New Roman" w:cs="Times New Roman"/>
          <w:noProof/>
          <w:sz w:val="24"/>
          <w:szCs w:val="24"/>
          <w:lang w:val="sq-AL"/>
        </w:rPr>
        <w:t xml:space="preserve">Portali e-Albania </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sht</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i nd</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rlidhur </w:t>
      </w:r>
      <w:r w:rsidR="003342ED" w:rsidRPr="005F3112">
        <w:rPr>
          <w:rFonts w:ascii="Times New Roman" w:hAnsi="Times New Roman" w:cs="Times New Roman"/>
          <w:noProof/>
          <w:sz w:val="24"/>
          <w:szCs w:val="24"/>
          <w:lang w:val="sq-AL"/>
        </w:rPr>
        <w:t>e</w:t>
      </w:r>
      <w:r w:rsidRPr="005F3112">
        <w:rPr>
          <w:rFonts w:ascii="Times New Roman" w:hAnsi="Times New Roman" w:cs="Times New Roman"/>
          <w:noProof/>
          <w:sz w:val="24"/>
          <w:szCs w:val="24"/>
          <w:lang w:val="sq-AL"/>
        </w:rPr>
        <w:t>dhe me Platform</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n Qeveritare t</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Nd</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rveprimit, q</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sht</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arkitektura baz</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q</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mund</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son nd</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rlidhjen e regjistrave elektronik</w:t>
      </w:r>
      <w:r w:rsidR="00870D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me nj</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ri-tjetrin dhe shk</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mbimin e t</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dh</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nave n</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kohe reale n</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form</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t</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sigurt dhe t</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besueshme. </w:t>
      </w:r>
      <w:r w:rsidR="00043F92" w:rsidRPr="005F3112">
        <w:rPr>
          <w:rFonts w:ascii="Times New Roman" w:hAnsi="Times New Roman" w:cs="Times New Roman"/>
          <w:noProof/>
          <w:sz w:val="24"/>
          <w:szCs w:val="24"/>
          <w:lang w:val="sq-AL"/>
        </w:rPr>
        <w:t>P</w:t>
      </w:r>
      <w:r w:rsidR="00870DCD" w:rsidRPr="005F3112">
        <w:rPr>
          <w:rFonts w:ascii="Times New Roman" w:hAnsi="Times New Roman" w:cs="Times New Roman"/>
          <w:noProof/>
          <w:sz w:val="24"/>
          <w:szCs w:val="24"/>
          <w:lang w:val="sq-AL"/>
        </w:rPr>
        <w:t>ë</w:t>
      </w:r>
      <w:r w:rsidR="00043F92" w:rsidRPr="005F3112">
        <w:rPr>
          <w:rFonts w:ascii="Times New Roman" w:hAnsi="Times New Roman" w:cs="Times New Roman"/>
          <w:noProof/>
          <w:sz w:val="24"/>
          <w:szCs w:val="24"/>
          <w:lang w:val="sq-AL"/>
        </w:rPr>
        <w:t>rgjat</w:t>
      </w:r>
      <w:r w:rsidR="00870DCD" w:rsidRPr="005F3112">
        <w:rPr>
          <w:rFonts w:ascii="Times New Roman" w:hAnsi="Times New Roman" w:cs="Times New Roman"/>
          <w:noProof/>
          <w:sz w:val="24"/>
          <w:szCs w:val="24"/>
          <w:lang w:val="sq-AL"/>
        </w:rPr>
        <w:t>ë</w:t>
      </w:r>
      <w:r w:rsidR="00043F92" w:rsidRPr="005F3112">
        <w:rPr>
          <w:rFonts w:ascii="Times New Roman" w:hAnsi="Times New Roman" w:cs="Times New Roman"/>
          <w:noProof/>
          <w:sz w:val="24"/>
          <w:szCs w:val="24"/>
          <w:lang w:val="sq-AL"/>
        </w:rPr>
        <w:t xml:space="preserve"> </w:t>
      </w:r>
      <w:r w:rsidRPr="005F3112">
        <w:rPr>
          <w:rFonts w:ascii="Times New Roman" w:hAnsi="Times New Roman" w:cs="Times New Roman"/>
          <w:noProof/>
          <w:sz w:val="24"/>
          <w:szCs w:val="24"/>
          <w:lang w:val="sq-AL"/>
        </w:rPr>
        <w:t>k</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tyre vitev</w:t>
      </w:r>
      <w:r w:rsidR="00043F92" w:rsidRPr="005F3112">
        <w:rPr>
          <w:rFonts w:ascii="Times New Roman" w:hAnsi="Times New Roman" w:cs="Times New Roman"/>
          <w:noProof/>
          <w:sz w:val="24"/>
          <w:szCs w:val="24"/>
          <w:lang w:val="sq-AL"/>
        </w:rPr>
        <w:t>e,</w:t>
      </w:r>
      <w:r w:rsidRPr="005F3112">
        <w:rPr>
          <w:rFonts w:ascii="Times New Roman" w:hAnsi="Times New Roman" w:cs="Times New Roman"/>
          <w:noProof/>
          <w:sz w:val="24"/>
          <w:szCs w:val="24"/>
          <w:lang w:val="sq-AL"/>
        </w:rPr>
        <w:t xml:space="preserve"> kjo Platform</w:t>
      </w:r>
      <w:r w:rsidR="00870D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ka b</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r</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t</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mundur thjeshtimin e sh</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rbimeve q</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w:t>
      </w:r>
      <w:r w:rsidR="00DE2646" w:rsidRPr="005F3112">
        <w:rPr>
          <w:rFonts w:ascii="Times New Roman" w:hAnsi="Times New Roman" w:cs="Times New Roman"/>
          <w:noProof/>
          <w:sz w:val="24"/>
          <w:szCs w:val="24"/>
          <w:lang w:val="sq-AL"/>
        </w:rPr>
        <w:t xml:space="preserve">institucionet publike </w:t>
      </w:r>
      <w:r w:rsidRPr="005F3112">
        <w:rPr>
          <w:rFonts w:ascii="Times New Roman" w:hAnsi="Times New Roman" w:cs="Times New Roman"/>
          <w:noProof/>
          <w:sz w:val="24"/>
          <w:szCs w:val="24"/>
          <w:lang w:val="sq-AL"/>
        </w:rPr>
        <w:t>ofro</w:t>
      </w:r>
      <w:r w:rsidR="00DE2646" w:rsidRPr="005F3112">
        <w:rPr>
          <w:rFonts w:ascii="Times New Roman" w:hAnsi="Times New Roman" w:cs="Times New Roman"/>
          <w:noProof/>
          <w:sz w:val="24"/>
          <w:szCs w:val="24"/>
          <w:lang w:val="sq-AL"/>
        </w:rPr>
        <w:t>jn</w:t>
      </w:r>
      <w:r w:rsidR="00E479F0"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p</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r qytetaret, bizneset dhe administrat</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n publike</w:t>
      </w:r>
      <w:r w:rsidR="00043F92" w:rsidRPr="005F3112">
        <w:rPr>
          <w:rFonts w:ascii="Times New Roman" w:hAnsi="Times New Roman" w:cs="Times New Roman"/>
          <w:noProof/>
          <w:sz w:val="24"/>
          <w:szCs w:val="24"/>
          <w:lang w:val="sq-AL"/>
        </w:rPr>
        <w:t>,</w:t>
      </w:r>
      <w:r w:rsidRPr="005F3112">
        <w:rPr>
          <w:rFonts w:ascii="Times New Roman" w:hAnsi="Times New Roman" w:cs="Times New Roman"/>
          <w:noProof/>
          <w:sz w:val="24"/>
          <w:szCs w:val="24"/>
          <w:lang w:val="sq-AL"/>
        </w:rPr>
        <w:t xml:space="preserve"> si dhe uljen ndjesh</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m t</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numrit t</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dokumenteve q</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i k</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rkohen qytetarit apo biznesit p</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r marrjen e sh</w:t>
      </w:r>
      <w:r w:rsidR="00CA2E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rbimeve publike. </w:t>
      </w:r>
    </w:p>
    <w:p w14:paraId="01A32EC6" w14:textId="0D798E7A" w:rsidR="00314AA7" w:rsidRPr="00165DF1" w:rsidRDefault="00801AD9" w:rsidP="005F3112">
      <w:pPr>
        <w:spacing w:before="120" w:after="120" w:line="276" w:lineRule="auto"/>
        <w:jc w:val="both"/>
        <w:rPr>
          <w:rFonts w:ascii="Times New Roman" w:hAnsi="Times New Roman" w:cs="Times New Roman"/>
          <w:noProof/>
          <w:sz w:val="24"/>
          <w:szCs w:val="24"/>
          <w:lang w:val="sq-AL"/>
        </w:rPr>
      </w:pPr>
      <w:r w:rsidRPr="005F3112">
        <w:rPr>
          <w:rFonts w:ascii="Times New Roman" w:hAnsi="Times New Roman" w:cs="Times New Roman"/>
          <w:noProof/>
          <w:sz w:val="24"/>
          <w:szCs w:val="24"/>
          <w:lang w:val="sq-AL"/>
        </w:rPr>
        <w:t>P</w:t>
      </w:r>
      <w:r w:rsidR="00870D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rparimi dometh</w:t>
      </w:r>
      <w:r w:rsidR="00870D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n</w:t>
      </w:r>
      <w:r w:rsidR="00870D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s i viteve t</w:t>
      </w:r>
      <w:r w:rsidR="00870D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fundit në drejtim të digjitalizimit të regjistrave bazë dhe ndërveprueshmërisë, si dhe të gjith</w:t>
      </w:r>
      <w:r w:rsidR="000D13B5" w:rsidRPr="005F3112">
        <w:rPr>
          <w:rFonts w:ascii="Times New Roman" w:hAnsi="Times New Roman" w:cs="Times New Roman"/>
          <w:noProof/>
          <w:sz w:val="24"/>
          <w:szCs w:val="24"/>
          <w:lang w:val="sq-AL"/>
        </w:rPr>
        <w:t>a</w:t>
      </w:r>
      <w:r w:rsidRPr="005F3112">
        <w:rPr>
          <w:rFonts w:ascii="Times New Roman" w:hAnsi="Times New Roman" w:cs="Times New Roman"/>
          <w:noProof/>
          <w:sz w:val="24"/>
          <w:szCs w:val="24"/>
          <w:lang w:val="sq-AL"/>
        </w:rPr>
        <w:t xml:space="preserve"> element</w:t>
      </w:r>
      <w:r w:rsidR="000D13B5" w:rsidRPr="005F3112">
        <w:rPr>
          <w:rFonts w:ascii="Times New Roman" w:hAnsi="Times New Roman" w:cs="Times New Roman"/>
          <w:noProof/>
          <w:sz w:val="24"/>
          <w:szCs w:val="24"/>
          <w:lang w:val="sq-AL"/>
        </w:rPr>
        <w:t>e</w:t>
      </w:r>
      <w:r w:rsidRPr="005F3112">
        <w:rPr>
          <w:rFonts w:ascii="Times New Roman" w:hAnsi="Times New Roman" w:cs="Times New Roman"/>
          <w:noProof/>
          <w:sz w:val="24"/>
          <w:szCs w:val="24"/>
          <w:lang w:val="sq-AL"/>
        </w:rPr>
        <w:t>ve kryesorë që mundësojnë</w:t>
      </w:r>
      <w:r w:rsidRPr="00165DF1">
        <w:rPr>
          <w:rFonts w:ascii="Times New Roman" w:hAnsi="Times New Roman" w:cs="Times New Roman"/>
          <w:noProof/>
          <w:sz w:val="24"/>
          <w:szCs w:val="24"/>
          <w:lang w:val="sq-AL"/>
        </w:rPr>
        <w:t xml:space="preserve"> qeverisjen digjitale vler</w:t>
      </w:r>
      <w:r w:rsidR="00870DCD" w:rsidRPr="00165DF1">
        <w:rPr>
          <w:rFonts w:ascii="Times New Roman" w:hAnsi="Times New Roman" w:cs="Times New Roman"/>
          <w:noProof/>
          <w:sz w:val="24"/>
          <w:szCs w:val="24"/>
          <w:lang w:val="sq-AL"/>
        </w:rPr>
        <w:t>ë</w:t>
      </w:r>
      <w:r w:rsidRPr="00165DF1">
        <w:rPr>
          <w:rFonts w:ascii="Times New Roman" w:hAnsi="Times New Roman" w:cs="Times New Roman"/>
          <w:noProof/>
          <w:sz w:val="24"/>
          <w:szCs w:val="24"/>
          <w:lang w:val="sq-AL"/>
        </w:rPr>
        <w:t>sohet si nj</w:t>
      </w:r>
      <w:r w:rsidR="00870DCD" w:rsidRPr="00165DF1">
        <w:rPr>
          <w:rFonts w:ascii="Times New Roman" w:hAnsi="Times New Roman" w:cs="Times New Roman"/>
          <w:noProof/>
          <w:sz w:val="24"/>
          <w:szCs w:val="24"/>
          <w:lang w:val="sq-AL"/>
        </w:rPr>
        <w:t>ë</w:t>
      </w:r>
      <w:r w:rsidRPr="00165DF1">
        <w:rPr>
          <w:rFonts w:ascii="Times New Roman" w:hAnsi="Times New Roman" w:cs="Times New Roman"/>
          <w:noProof/>
          <w:sz w:val="24"/>
          <w:szCs w:val="24"/>
          <w:lang w:val="sq-AL"/>
        </w:rPr>
        <w:t xml:space="preserve"> aspekt pozitiv nga OECD/SIGMA n</w:t>
      </w:r>
      <w:r w:rsidR="00870DCD" w:rsidRPr="00165DF1">
        <w:rPr>
          <w:rFonts w:ascii="Times New Roman" w:hAnsi="Times New Roman" w:cs="Times New Roman"/>
          <w:noProof/>
          <w:sz w:val="24"/>
          <w:szCs w:val="24"/>
          <w:lang w:val="sq-AL"/>
        </w:rPr>
        <w:t>ë</w:t>
      </w:r>
      <w:r w:rsidRPr="00165DF1">
        <w:rPr>
          <w:rFonts w:ascii="Times New Roman" w:hAnsi="Times New Roman" w:cs="Times New Roman"/>
          <w:noProof/>
          <w:sz w:val="24"/>
          <w:szCs w:val="24"/>
          <w:lang w:val="sq-AL"/>
        </w:rPr>
        <w:t xml:space="preserve"> raportin e saj t</w:t>
      </w:r>
      <w:r w:rsidR="00870DCD" w:rsidRPr="00165DF1">
        <w:rPr>
          <w:rFonts w:ascii="Times New Roman" w:hAnsi="Times New Roman" w:cs="Times New Roman"/>
          <w:noProof/>
          <w:sz w:val="24"/>
          <w:szCs w:val="24"/>
          <w:lang w:val="sq-AL"/>
        </w:rPr>
        <w:t>ë</w:t>
      </w:r>
      <w:r w:rsidRPr="00165DF1">
        <w:rPr>
          <w:rFonts w:ascii="Times New Roman" w:hAnsi="Times New Roman" w:cs="Times New Roman"/>
          <w:noProof/>
          <w:sz w:val="24"/>
          <w:szCs w:val="24"/>
          <w:lang w:val="sq-AL"/>
        </w:rPr>
        <w:t xml:space="preserve"> fundit t</w:t>
      </w:r>
      <w:r w:rsidR="00870DCD" w:rsidRPr="00165DF1">
        <w:rPr>
          <w:rFonts w:ascii="Times New Roman" w:hAnsi="Times New Roman" w:cs="Times New Roman"/>
          <w:noProof/>
          <w:sz w:val="24"/>
          <w:szCs w:val="24"/>
          <w:lang w:val="sq-AL"/>
        </w:rPr>
        <w:t>ë</w:t>
      </w:r>
      <w:r w:rsidRPr="00165DF1">
        <w:rPr>
          <w:rFonts w:ascii="Times New Roman" w:hAnsi="Times New Roman" w:cs="Times New Roman"/>
          <w:noProof/>
          <w:sz w:val="24"/>
          <w:szCs w:val="24"/>
          <w:lang w:val="sq-AL"/>
        </w:rPr>
        <w:t xml:space="preserve"> </w:t>
      </w:r>
      <w:r w:rsidR="008D4BEF" w:rsidRPr="00165DF1">
        <w:rPr>
          <w:rFonts w:ascii="Times New Roman" w:hAnsi="Times New Roman" w:cs="Times New Roman"/>
          <w:noProof/>
          <w:sz w:val="24"/>
          <w:szCs w:val="24"/>
          <w:lang w:val="sq-AL"/>
        </w:rPr>
        <w:t xml:space="preserve">monitorimit </w:t>
      </w:r>
      <w:r w:rsidRPr="00165DF1">
        <w:rPr>
          <w:rFonts w:ascii="Times New Roman" w:hAnsi="Times New Roman" w:cs="Times New Roman"/>
          <w:noProof/>
          <w:sz w:val="24"/>
          <w:szCs w:val="24"/>
          <w:lang w:val="sq-AL"/>
        </w:rPr>
        <w:t>t</w:t>
      </w:r>
      <w:r w:rsidR="00870DCD" w:rsidRPr="00165DF1">
        <w:rPr>
          <w:rFonts w:ascii="Times New Roman" w:hAnsi="Times New Roman" w:cs="Times New Roman"/>
          <w:noProof/>
          <w:sz w:val="24"/>
          <w:szCs w:val="24"/>
          <w:lang w:val="sq-AL"/>
        </w:rPr>
        <w:t>ë</w:t>
      </w:r>
      <w:r w:rsidRPr="00165DF1">
        <w:rPr>
          <w:rFonts w:ascii="Times New Roman" w:hAnsi="Times New Roman" w:cs="Times New Roman"/>
          <w:noProof/>
          <w:sz w:val="24"/>
          <w:szCs w:val="24"/>
          <w:lang w:val="sq-AL"/>
        </w:rPr>
        <w:t xml:space="preserve"> vitit 2024</w:t>
      </w:r>
      <w:r w:rsidR="000D13B5" w:rsidRPr="00165DF1">
        <w:rPr>
          <w:rFonts w:ascii="Times New Roman" w:hAnsi="Times New Roman" w:cs="Times New Roman"/>
          <w:noProof/>
          <w:sz w:val="24"/>
          <w:szCs w:val="24"/>
          <w:lang w:val="sq-AL"/>
        </w:rPr>
        <w:t>.</w:t>
      </w:r>
      <w:r w:rsidR="000D13B5" w:rsidRPr="00165DF1">
        <w:rPr>
          <w:rStyle w:val="FootnoteReference"/>
          <w:rFonts w:ascii="Times New Roman" w:hAnsi="Times New Roman" w:cs="Times New Roman"/>
          <w:noProof/>
          <w:sz w:val="24"/>
          <w:szCs w:val="24"/>
          <w:lang w:val="sq-AL"/>
        </w:rPr>
        <w:footnoteReference w:id="50"/>
      </w:r>
      <w:r w:rsidR="000D13B5" w:rsidRPr="00165DF1">
        <w:rPr>
          <w:rFonts w:ascii="Times New Roman" w:hAnsi="Times New Roman" w:cs="Times New Roman"/>
          <w:noProof/>
          <w:sz w:val="24"/>
          <w:szCs w:val="24"/>
          <w:lang w:val="sq-AL"/>
        </w:rPr>
        <w:t xml:space="preserve"> Fal</w:t>
      </w:r>
      <w:r w:rsidR="00870DCD" w:rsidRPr="00165DF1">
        <w:rPr>
          <w:rFonts w:ascii="Times New Roman" w:hAnsi="Times New Roman" w:cs="Times New Roman"/>
          <w:noProof/>
          <w:sz w:val="24"/>
          <w:szCs w:val="24"/>
          <w:lang w:val="sq-AL"/>
        </w:rPr>
        <w:t>ë</w:t>
      </w:r>
      <w:r w:rsidR="000D13B5" w:rsidRPr="00165DF1">
        <w:rPr>
          <w:rFonts w:ascii="Times New Roman" w:hAnsi="Times New Roman" w:cs="Times New Roman"/>
          <w:noProof/>
          <w:sz w:val="24"/>
          <w:szCs w:val="24"/>
          <w:lang w:val="sq-AL"/>
        </w:rPr>
        <w:t xml:space="preserve"> integrimit t</w:t>
      </w:r>
      <w:r w:rsidR="00870DCD" w:rsidRPr="00165DF1">
        <w:rPr>
          <w:rFonts w:ascii="Times New Roman" w:hAnsi="Times New Roman" w:cs="Times New Roman"/>
          <w:noProof/>
          <w:sz w:val="24"/>
          <w:szCs w:val="24"/>
          <w:lang w:val="sq-AL"/>
        </w:rPr>
        <w:t>ë</w:t>
      </w:r>
      <w:r w:rsidR="000D13B5" w:rsidRPr="00165DF1">
        <w:rPr>
          <w:rFonts w:ascii="Times New Roman" w:hAnsi="Times New Roman" w:cs="Times New Roman"/>
          <w:noProof/>
          <w:sz w:val="24"/>
          <w:szCs w:val="24"/>
          <w:lang w:val="sq-AL"/>
        </w:rPr>
        <w:t xml:space="preserve"> 6</w:t>
      </w:r>
      <w:r w:rsidR="007728CB" w:rsidRPr="00165DF1">
        <w:rPr>
          <w:rFonts w:ascii="Times New Roman" w:hAnsi="Times New Roman" w:cs="Times New Roman"/>
          <w:noProof/>
          <w:sz w:val="24"/>
          <w:szCs w:val="24"/>
          <w:lang w:val="sq-AL"/>
        </w:rPr>
        <w:t>3</w:t>
      </w:r>
      <w:r w:rsidR="000D13B5" w:rsidRPr="00165DF1">
        <w:rPr>
          <w:rFonts w:ascii="Times New Roman" w:hAnsi="Times New Roman" w:cs="Times New Roman"/>
          <w:noProof/>
          <w:sz w:val="24"/>
          <w:szCs w:val="24"/>
          <w:lang w:val="sq-AL"/>
        </w:rPr>
        <w:t xml:space="preserve"> regjistrave elektronik</w:t>
      </w:r>
      <w:r w:rsidR="00870DCD" w:rsidRPr="00165DF1">
        <w:rPr>
          <w:rFonts w:ascii="Times New Roman" w:hAnsi="Times New Roman" w:cs="Times New Roman"/>
          <w:noProof/>
          <w:sz w:val="24"/>
          <w:szCs w:val="24"/>
          <w:lang w:val="sq-AL"/>
        </w:rPr>
        <w:t>ë</w:t>
      </w:r>
      <w:r w:rsidR="000D13B5" w:rsidRPr="00165DF1">
        <w:rPr>
          <w:rFonts w:ascii="Times New Roman" w:hAnsi="Times New Roman" w:cs="Times New Roman"/>
          <w:noProof/>
          <w:sz w:val="24"/>
          <w:szCs w:val="24"/>
          <w:lang w:val="sq-AL"/>
        </w:rPr>
        <w:t xml:space="preserve"> deri m</w:t>
      </w:r>
      <w:r w:rsidR="00870DCD" w:rsidRPr="00165DF1">
        <w:rPr>
          <w:rFonts w:ascii="Times New Roman" w:hAnsi="Times New Roman" w:cs="Times New Roman"/>
          <w:noProof/>
          <w:sz w:val="24"/>
          <w:szCs w:val="24"/>
          <w:lang w:val="sq-AL"/>
        </w:rPr>
        <w:t>ë</w:t>
      </w:r>
      <w:r w:rsidR="000D13B5" w:rsidRPr="00165DF1">
        <w:rPr>
          <w:rFonts w:ascii="Times New Roman" w:hAnsi="Times New Roman" w:cs="Times New Roman"/>
          <w:noProof/>
          <w:sz w:val="24"/>
          <w:szCs w:val="24"/>
          <w:lang w:val="sq-AL"/>
        </w:rPr>
        <w:t xml:space="preserve"> tani,</w:t>
      </w:r>
      <w:r w:rsidR="001C356F" w:rsidRPr="00165DF1">
        <w:rPr>
          <w:rFonts w:ascii="Times New Roman" w:hAnsi="Times New Roman" w:cs="Times New Roman"/>
          <w:noProof/>
          <w:sz w:val="24"/>
          <w:szCs w:val="24"/>
          <w:lang w:val="sq-AL"/>
        </w:rPr>
        <w:t xml:space="preserve"> Platform</w:t>
      </w:r>
      <w:r w:rsidRPr="00165DF1">
        <w:rPr>
          <w:rFonts w:ascii="Times New Roman" w:hAnsi="Times New Roman" w:cs="Times New Roman"/>
          <w:noProof/>
          <w:sz w:val="24"/>
          <w:szCs w:val="24"/>
          <w:lang w:val="sq-AL"/>
        </w:rPr>
        <w:t>a</w:t>
      </w:r>
      <w:r w:rsidR="000D13B5" w:rsidRPr="00165DF1">
        <w:rPr>
          <w:rFonts w:ascii="Times New Roman" w:hAnsi="Times New Roman" w:cs="Times New Roman"/>
          <w:noProof/>
          <w:sz w:val="24"/>
          <w:szCs w:val="24"/>
          <w:lang w:val="sq-AL"/>
        </w:rPr>
        <w:t xml:space="preserve"> Nd</w:t>
      </w:r>
      <w:r w:rsidR="00870DCD" w:rsidRPr="00165DF1">
        <w:rPr>
          <w:rFonts w:ascii="Times New Roman" w:hAnsi="Times New Roman" w:cs="Times New Roman"/>
          <w:noProof/>
          <w:sz w:val="24"/>
          <w:szCs w:val="24"/>
          <w:lang w:val="sq-AL"/>
        </w:rPr>
        <w:t>ë</w:t>
      </w:r>
      <w:r w:rsidR="000D13B5" w:rsidRPr="00165DF1">
        <w:rPr>
          <w:rFonts w:ascii="Times New Roman" w:hAnsi="Times New Roman" w:cs="Times New Roman"/>
          <w:noProof/>
          <w:sz w:val="24"/>
          <w:szCs w:val="24"/>
          <w:lang w:val="sq-AL"/>
        </w:rPr>
        <w:t>rqeveritare e Nd</w:t>
      </w:r>
      <w:r w:rsidR="00870DCD" w:rsidRPr="00165DF1">
        <w:rPr>
          <w:rFonts w:ascii="Times New Roman" w:hAnsi="Times New Roman" w:cs="Times New Roman"/>
          <w:noProof/>
          <w:sz w:val="24"/>
          <w:szCs w:val="24"/>
          <w:lang w:val="sq-AL"/>
        </w:rPr>
        <w:t>ë</w:t>
      </w:r>
      <w:r w:rsidR="000D13B5" w:rsidRPr="00165DF1">
        <w:rPr>
          <w:rFonts w:ascii="Times New Roman" w:hAnsi="Times New Roman" w:cs="Times New Roman"/>
          <w:noProof/>
          <w:sz w:val="24"/>
          <w:szCs w:val="24"/>
          <w:lang w:val="sq-AL"/>
        </w:rPr>
        <w:t>rveprimit</w:t>
      </w:r>
      <w:r w:rsidR="001C356F" w:rsidRPr="00165DF1">
        <w:rPr>
          <w:rFonts w:ascii="Times New Roman" w:hAnsi="Times New Roman" w:cs="Times New Roman"/>
          <w:noProof/>
          <w:sz w:val="24"/>
          <w:szCs w:val="24"/>
          <w:lang w:val="sq-AL"/>
        </w:rPr>
        <w:t xml:space="preserve"> </w:t>
      </w:r>
      <w:r w:rsidR="00043F92" w:rsidRPr="00165DF1">
        <w:rPr>
          <w:rFonts w:ascii="Times New Roman" w:hAnsi="Times New Roman" w:cs="Times New Roman"/>
          <w:noProof/>
          <w:sz w:val="24"/>
          <w:szCs w:val="24"/>
          <w:lang w:val="sq-AL"/>
        </w:rPr>
        <w:t>mund</w:t>
      </w:r>
      <w:r w:rsidR="00870DCD" w:rsidRPr="00165DF1">
        <w:rPr>
          <w:rFonts w:ascii="Times New Roman" w:hAnsi="Times New Roman" w:cs="Times New Roman"/>
          <w:noProof/>
          <w:sz w:val="24"/>
          <w:szCs w:val="24"/>
          <w:lang w:val="sq-AL"/>
        </w:rPr>
        <w:t>ë</w:t>
      </w:r>
      <w:r w:rsidR="00043F92" w:rsidRPr="00165DF1">
        <w:rPr>
          <w:rFonts w:ascii="Times New Roman" w:hAnsi="Times New Roman" w:cs="Times New Roman"/>
          <w:noProof/>
          <w:sz w:val="24"/>
          <w:szCs w:val="24"/>
          <w:lang w:val="sq-AL"/>
        </w:rPr>
        <w:t>son</w:t>
      </w:r>
      <w:r w:rsidR="001C356F" w:rsidRPr="00165DF1">
        <w:rPr>
          <w:rFonts w:ascii="Times New Roman" w:hAnsi="Times New Roman" w:cs="Times New Roman"/>
          <w:noProof/>
          <w:sz w:val="24"/>
          <w:szCs w:val="24"/>
          <w:lang w:val="sq-AL"/>
        </w:rPr>
        <w:t xml:space="preserve"> q</w:t>
      </w:r>
      <w:r w:rsidR="00CA2ECD" w:rsidRPr="00165DF1">
        <w:rPr>
          <w:rFonts w:ascii="Times New Roman" w:hAnsi="Times New Roman" w:cs="Times New Roman"/>
          <w:noProof/>
          <w:sz w:val="24"/>
          <w:szCs w:val="24"/>
          <w:lang w:val="sq-AL"/>
        </w:rPr>
        <w:t>ë</w:t>
      </w:r>
      <w:r w:rsidR="001C356F" w:rsidRPr="00165DF1">
        <w:rPr>
          <w:rFonts w:ascii="Times New Roman" w:hAnsi="Times New Roman" w:cs="Times New Roman"/>
          <w:noProof/>
          <w:sz w:val="24"/>
          <w:szCs w:val="24"/>
          <w:lang w:val="sq-AL"/>
        </w:rPr>
        <w:t xml:space="preserve"> </w:t>
      </w:r>
      <w:r w:rsidR="000D13B5" w:rsidRPr="00165DF1">
        <w:rPr>
          <w:rFonts w:ascii="Times New Roman" w:hAnsi="Times New Roman" w:cs="Times New Roman"/>
          <w:noProof/>
          <w:sz w:val="24"/>
          <w:szCs w:val="24"/>
          <w:lang w:val="sq-AL"/>
        </w:rPr>
        <w:t xml:space="preserve">aktualisht </w:t>
      </w:r>
      <w:r w:rsidR="001C356F" w:rsidRPr="00165DF1">
        <w:rPr>
          <w:rFonts w:ascii="Times New Roman" w:hAnsi="Times New Roman" w:cs="Times New Roman"/>
          <w:noProof/>
          <w:sz w:val="24"/>
          <w:szCs w:val="24"/>
          <w:lang w:val="sq-AL"/>
        </w:rPr>
        <w:t>68% e fushave n</w:t>
      </w:r>
      <w:r w:rsidR="00CA2ECD" w:rsidRPr="00165DF1">
        <w:rPr>
          <w:rFonts w:ascii="Times New Roman" w:hAnsi="Times New Roman" w:cs="Times New Roman"/>
          <w:noProof/>
          <w:sz w:val="24"/>
          <w:szCs w:val="24"/>
          <w:lang w:val="sq-AL"/>
        </w:rPr>
        <w:t>ë</w:t>
      </w:r>
      <w:r w:rsidR="001C356F" w:rsidRPr="00165DF1">
        <w:rPr>
          <w:rFonts w:ascii="Times New Roman" w:hAnsi="Times New Roman" w:cs="Times New Roman"/>
          <w:noProof/>
          <w:sz w:val="24"/>
          <w:szCs w:val="24"/>
          <w:lang w:val="sq-AL"/>
        </w:rPr>
        <w:t xml:space="preserve"> formular</w:t>
      </w:r>
      <w:r w:rsidR="00636AC5" w:rsidRPr="00165DF1">
        <w:rPr>
          <w:rFonts w:ascii="Times New Roman" w:hAnsi="Times New Roman" w:cs="Times New Roman"/>
          <w:noProof/>
          <w:sz w:val="24"/>
          <w:szCs w:val="24"/>
          <w:lang w:val="sq-AL"/>
        </w:rPr>
        <w:t>ë</w:t>
      </w:r>
      <w:r w:rsidR="001C356F" w:rsidRPr="00165DF1">
        <w:rPr>
          <w:rFonts w:ascii="Times New Roman" w:hAnsi="Times New Roman" w:cs="Times New Roman"/>
          <w:noProof/>
          <w:sz w:val="24"/>
          <w:szCs w:val="24"/>
          <w:lang w:val="sq-AL"/>
        </w:rPr>
        <w:t>t e aplikimeve n</w:t>
      </w:r>
      <w:r w:rsidR="00CA2ECD" w:rsidRPr="00165DF1">
        <w:rPr>
          <w:rFonts w:ascii="Times New Roman" w:hAnsi="Times New Roman" w:cs="Times New Roman"/>
          <w:noProof/>
          <w:sz w:val="24"/>
          <w:szCs w:val="24"/>
          <w:lang w:val="sq-AL"/>
        </w:rPr>
        <w:t xml:space="preserve">ë </w:t>
      </w:r>
      <w:r w:rsidR="001C356F" w:rsidRPr="00165DF1">
        <w:rPr>
          <w:rFonts w:ascii="Times New Roman" w:hAnsi="Times New Roman" w:cs="Times New Roman"/>
          <w:noProof/>
          <w:sz w:val="24"/>
          <w:szCs w:val="24"/>
          <w:lang w:val="sq-AL"/>
        </w:rPr>
        <w:t>sh</w:t>
      </w:r>
      <w:r w:rsidR="00CA2ECD" w:rsidRPr="00165DF1">
        <w:rPr>
          <w:rFonts w:ascii="Times New Roman" w:hAnsi="Times New Roman" w:cs="Times New Roman"/>
          <w:noProof/>
          <w:sz w:val="24"/>
          <w:szCs w:val="24"/>
          <w:lang w:val="sq-AL"/>
        </w:rPr>
        <w:t>ë</w:t>
      </w:r>
      <w:r w:rsidR="001C356F" w:rsidRPr="00165DF1">
        <w:rPr>
          <w:rFonts w:ascii="Times New Roman" w:hAnsi="Times New Roman" w:cs="Times New Roman"/>
          <w:noProof/>
          <w:sz w:val="24"/>
          <w:szCs w:val="24"/>
          <w:lang w:val="sq-AL"/>
        </w:rPr>
        <w:t>rbimet publike n</w:t>
      </w:r>
      <w:r w:rsidR="00CA2ECD" w:rsidRPr="00165DF1">
        <w:rPr>
          <w:rFonts w:ascii="Times New Roman" w:hAnsi="Times New Roman" w:cs="Times New Roman"/>
          <w:noProof/>
          <w:sz w:val="24"/>
          <w:szCs w:val="24"/>
          <w:lang w:val="sq-AL"/>
        </w:rPr>
        <w:t>ë</w:t>
      </w:r>
      <w:r w:rsidR="001C356F" w:rsidRPr="00165DF1">
        <w:rPr>
          <w:rFonts w:ascii="Times New Roman" w:hAnsi="Times New Roman" w:cs="Times New Roman"/>
          <w:noProof/>
          <w:sz w:val="24"/>
          <w:szCs w:val="24"/>
          <w:lang w:val="sq-AL"/>
        </w:rPr>
        <w:t xml:space="preserve"> e-Albania t</w:t>
      </w:r>
      <w:r w:rsidR="00CA2ECD" w:rsidRPr="00165DF1">
        <w:rPr>
          <w:rFonts w:ascii="Times New Roman" w:hAnsi="Times New Roman" w:cs="Times New Roman"/>
          <w:noProof/>
          <w:sz w:val="24"/>
          <w:szCs w:val="24"/>
          <w:lang w:val="sq-AL"/>
        </w:rPr>
        <w:t>ë</w:t>
      </w:r>
      <w:r w:rsidR="001C356F" w:rsidRPr="00165DF1">
        <w:rPr>
          <w:rFonts w:ascii="Times New Roman" w:hAnsi="Times New Roman" w:cs="Times New Roman"/>
          <w:noProof/>
          <w:sz w:val="24"/>
          <w:szCs w:val="24"/>
          <w:lang w:val="sq-AL"/>
        </w:rPr>
        <w:t xml:space="preserve"> parambushen nga komunikimi n</w:t>
      </w:r>
      <w:r w:rsidR="00CA2ECD" w:rsidRPr="00165DF1">
        <w:rPr>
          <w:rFonts w:ascii="Times New Roman" w:hAnsi="Times New Roman" w:cs="Times New Roman"/>
          <w:noProof/>
          <w:sz w:val="24"/>
          <w:szCs w:val="24"/>
          <w:lang w:val="sq-AL"/>
        </w:rPr>
        <w:t>ë</w:t>
      </w:r>
      <w:r w:rsidR="001C356F" w:rsidRPr="00165DF1">
        <w:rPr>
          <w:rFonts w:ascii="Times New Roman" w:hAnsi="Times New Roman" w:cs="Times New Roman"/>
          <w:noProof/>
          <w:sz w:val="24"/>
          <w:szCs w:val="24"/>
          <w:lang w:val="sq-AL"/>
        </w:rPr>
        <w:t xml:space="preserve"> koh</w:t>
      </w:r>
      <w:r w:rsidR="00CA2ECD" w:rsidRPr="00165DF1">
        <w:rPr>
          <w:rFonts w:ascii="Times New Roman" w:hAnsi="Times New Roman" w:cs="Times New Roman"/>
          <w:noProof/>
          <w:sz w:val="24"/>
          <w:szCs w:val="24"/>
          <w:lang w:val="sq-AL"/>
        </w:rPr>
        <w:t>ë</w:t>
      </w:r>
      <w:r w:rsidR="001C356F" w:rsidRPr="00165DF1">
        <w:rPr>
          <w:rFonts w:ascii="Times New Roman" w:hAnsi="Times New Roman" w:cs="Times New Roman"/>
          <w:noProof/>
          <w:sz w:val="24"/>
          <w:szCs w:val="24"/>
          <w:lang w:val="sq-AL"/>
        </w:rPr>
        <w:t xml:space="preserve"> reale i regjistrave elektronike t</w:t>
      </w:r>
      <w:r w:rsidR="00CA2ECD" w:rsidRPr="00165DF1">
        <w:rPr>
          <w:rFonts w:ascii="Times New Roman" w:hAnsi="Times New Roman" w:cs="Times New Roman"/>
          <w:noProof/>
          <w:sz w:val="24"/>
          <w:szCs w:val="24"/>
          <w:lang w:val="sq-AL"/>
        </w:rPr>
        <w:t>ë</w:t>
      </w:r>
      <w:r w:rsidR="001C356F" w:rsidRPr="00165DF1">
        <w:rPr>
          <w:rFonts w:ascii="Times New Roman" w:hAnsi="Times New Roman" w:cs="Times New Roman"/>
          <w:noProof/>
          <w:sz w:val="24"/>
          <w:szCs w:val="24"/>
          <w:lang w:val="sq-AL"/>
        </w:rPr>
        <w:t xml:space="preserve"> institucioneve t</w:t>
      </w:r>
      <w:r w:rsidR="00CA2ECD" w:rsidRPr="00165DF1">
        <w:rPr>
          <w:rFonts w:ascii="Times New Roman" w:hAnsi="Times New Roman" w:cs="Times New Roman"/>
          <w:noProof/>
          <w:sz w:val="24"/>
          <w:szCs w:val="24"/>
          <w:lang w:val="sq-AL"/>
        </w:rPr>
        <w:t>ë</w:t>
      </w:r>
      <w:r w:rsidR="001C356F" w:rsidRPr="00165DF1">
        <w:rPr>
          <w:rFonts w:ascii="Times New Roman" w:hAnsi="Times New Roman" w:cs="Times New Roman"/>
          <w:noProof/>
          <w:sz w:val="24"/>
          <w:szCs w:val="24"/>
          <w:lang w:val="sq-AL"/>
        </w:rPr>
        <w:t xml:space="preserve"> ndryshme me nj</w:t>
      </w:r>
      <w:r w:rsidR="00CA2ECD" w:rsidRPr="00165DF1">
        <w:rPr>
          <w:rFonts w:ascii="Times New Roman" w:hAnsi="Times New Roman" w:cs="Times New Roman"/>
          <w:noProof/>
          <w:sz w:val="24"/>
          <w:szCs w:val="24"/>
          <w:lang w:val="sq-AL"/>
        </w:rPr>
        <w:t>ë</w:t>
      </w:r>
      <w:r w:rsidR="001C356F" w:rsidRPr="00165DF1">
        <w:rPr>
          <w:rFonts w:ascii="Times New Roman" w:hAnsi="Times New Roman" w:cs="Times New Roman"/>
          <w:noProof/>
          <w:sz w:val="24"/>
          <w:szCs w:val="24"/>
          <w:lang w:val="sq-AL"/>
        </w:rPr>
        <w:t>ri</w:t>
      </w:r>
      <w:r w:rsidR="000D13B5" w:rsidRPr="00165DF1">
        <w:rPr>
          <w:rFonts w:ascii="Times New Roman" w:hAnsi="Times New Roman" w:cs="Times New Roman"/>
          <w:noProof/>
          <w:sz w:val="24"/>
          <w:szCs w:val="24"/>
          <w:lang w:val="sq-AL"/>
        </w:rPr>
        <w:t>-</w:t>
      </w:r>
      <w:r w:rsidR="001C356F" w:rsidRPr="00165DF1">
        <w:rPr>
          <w:rFonts w:ascii="Times New Roman" w:hAnsi="Times New Roman" w:cs="Times New Roman"/>
          <w:noProof/>
          <w:sz w:val="24"/>
          <w:szCs w:val="24"/>
          <w:lang w:val="sq-AL"/>
        </w:rPr>
        <w:t>tjetrin.</w:t>
      </w:r>
      <w:r w:rsidR="006662A3" w:rsidRPr="00165DF1">
        <w:rPr>
          <w:rFonts w:ascii="Times New Roman" w:hAnsi="Times New Roman" w:cs="Times New Roman"/>
          <w:noProof/>
          <w:sz w:val="24"/>
          <w:szCs w:val="24"/>
          <w:lang w:val="sq-AL"/>
        </w:rPr>
        <w:t xml:space="preserve"> </w:t>
      </w:r>
      <w:r w:rsidR="00314AA7" w:rsidRPr="00165DF1">
        <w:rPr>
          <w:rFonts w:ascii="Times New Roman" w:hAnsi="Times New Roman" w:cs="Times New Roman"/>
          <w:noProof/>
          <w:sz w:val="24"/>
          <w:szCs w:val="24"/>
          <w:lang w:val="sq-AL"/>
        </w:rPr>
        <w:t>N</w:t>
      </w:r>
      <w:r w:rsidR="00870DCD" w:rsidRPr="00165DF1">
        <w:rPr>
          <w:rFonts w:ascii="Times New Roman" w:hAnsi="Times New Roman" w:cs="Times New Roman"/>
          <w:noProof/>
          <w:sz w:val="24"/>
          <w:szCs w:val="24"/>
          <w:lang w:val="sq-AL"/>
        </w:rPr>
        <w:t>ë</w:t>
      </w:r>
      <w:r w:rsidR="00314AA7" w:rsidRPr="00165DF1">
        <w:rPr>
          <w:rFonts w:ascii="Times New Roman" w:hAnsi="Times New Roman" w:cs="Times New Roman"/>
          <w:noProof/>
          <w:sz w:val="24"/>
          <w:szCs w:val="24"/>
          <w:lang w:val="sq-AL"/>
        </w:rPr>
        <w:t xml:space="preserve"> </w:t>
      </w:r>
      <w:r w:rsidR="00992EB8">
        <w:rPr>
          <w:rFonts w:ascii="Times New Roman" w:hAnsi="Times New Roman" w:cs="Times New Roman"/>
          <w:noProof/>
          <w:sz w:val="24"/>
          <w:szCs w:val="24"/>
          <w:lang w:val="sq-AL"/>
        </w:rPr>
        <w:t>t</w:t>
      </w:r>
      <w:r w:rsidR="00314AA7" w:rsidRPr="00165DF1">
        <w:rPr>
          <w:rFonts w:ascii="Times New Roman" w:hAnsi="Times New Roman" w:cs="Times New Roman"/>
          <w:noProof/>
          <w:sz w:val="24"/>
          <w:szCs w:val="24"/>
          <w:lang w:val="sq-AL"/>
        </w:rPr>
        <w:t>etor 2023, Qeveria Shqiptare p</w:t>
      </w:r>
      <w:r w:rsidR="00870DCD" w:rsidRPr="00165DF1">
        <w:rPr>
          <w:rFonts w:ascii="Times New Roman" w:hAnsi="Times New Roman" w:cs="Times New Roman"/>
          <w:noProof/>
          <w:sz w:val="24"/>
          <w:szCs w:val="24"/>
          <w:lang w:val="sq-AL"/>
        </w:rPr>
        <w:t>ë</w:t>
      </w:r>
      <w:r w:rsidR="00314AA7" w:rsidRPr="00165DF1">
        <w:rPr>
          <w:rFonts w:ascii="Times New Roman" w:hAnsi="Times New Roman" w:cs="Times New Roman"/>
          <w:noProof/>
          <w:sz w:val="24"/>
          <w:szCs w:val="24"/>
          <w:lang w:val="sq-AL"/>
        </w:rPr>
        <w:t>rafroi Korniz</w:t>
      </w:r>
      <w:r w:rsidR="00870DCD" w:rsidRPr="00165DF1">
        <w:rPr>
          <w:rFonts w:ascii="Times New Roman" w:hAnsi="Times New Roman" w:cs="Times New Roman"/>
          <w:noProof/>
          <w:sz w:val="24"/>
          <w:szCs w:val="24"/>
          <w:lang w:val="sq-AL"/>
        </w:rPr>
        <w:t>ë</w:t>
      </w:r>
      <w:r w:rsidR="00314AA7" w:rsidRPr="00165DF1">
        <w:rPr>
          <w:rFonts w:ascii="Times New Roman" w:hAnsi="Times New Roman" w:cs="Times New Roman"/>
          <w:noProof/>
          <w:sz w:val="24"/>
          <w:szCs w:val="24"/>
          <w:lang w:val="sq-AL"/>
        </w:rPr>
        <w:t>n Komb</w:t>
      </w:r>
      <w:r w:rsidR="00870DCD" w:rsidRPr="00165DF1">
        <w:rPr>
          <w:rFonts w:ascii="Times New Roman" w:hAnsi="Times New Roman" w:cs="Times New Roman"/>
          <w:noProof/>
          <w:sz w:val="24"/>
          <w:szCs w:val="24"/>
          <w:lang w:val="sq-AL"/>
        </w:rPr>
        <w:t>ë</w:t>
      </w:r>
      <w:r w:rsidR="00314AA7" w:rsidRPr="00165DF1">
        <w:rPr>
          <w:rFonts w:ascii="Times New Roman" w:hAnsi="Times New Roman" w:cs="Times New Roman"/>
          <w:noProof/>
          <w:sz w:val="24"/>
          <w:szCs w:val="24"/>
          <w:lang w:val="sq-AL"/>
        </w:rPr>
        <w:t>tare t</w:t>
      </w:r>
      <w:r w:rsidR="00870DCD" w:rsidRPr="00165DF1">
        <w:rPr>
          <w:rFonts w:ascii="Times New Roman" w:hAnsi="Times New Roman" w:cs="Times New Roman"/>
          <w:noProof/>
          <w:sz w:val="24"/>
          <w:szCs w:val="24"/>
          <w:lang w:val="sq-AL"/>
        </w:rPr>
        <w:t>ë</w:t>
      </w:r>
      <w:r w:rsidR="00314AA7" w:rsidRPr="00165DF1">
        <w:rPr>
          <w:rFonts w:ascii="Times New Roman" w:hAnsi="Times New Roman" w:cs="Times New Roman"/>
          <w:noProof/>
          <w:sz w:val="24"/>
          <w:szCs w:val="24"/>
          <w:lang w:val="sq-AL"/>
        </w:rPr>
        <w:t xml:space="preserve"> Ndërveprueshmërisë me Korniz</w:t>
      </w:r>
      <w:r w:rsidR="00870DCD" w:rsidRPr="00165DF1">
        <w:rPr>
          <w:rFonts w:ascii="Times New Roman" w:hAnsi="Times New Roman" w:cs="Times New Roman"/>
          <w:noProof/>
          <w:sz w:val="24"/>
          <w:szCs w:val="24"/>
          <w:lang w:val="sq-AL"/>
        </w:rPr>
        <w:t>ë</w:t>
      </w:r>
      <w:r w:rsidR="00314AA7" w:rsidRPr="00165DF1">
        <w:rPr>
          <w:rFonts w:ascii="Times New Roman" w:hAnsi="Times New Roman" w:cs="Times New Roman"/>
          <w:noProof/>
          <w:sz w:val="24"/>
          <w:szCs w:val="24"/>
          <w:lang w:val="sq-AL"/>
        </w:rPr>
        <w:t>n Evropiane t</w:t>
      </w:r>
      <w:r w:rsidR="00870DCD" w:rsidRPr="00165DF1">
        <w:rPr>
          <w:rFonts w:ascii="Times New Roman" w:hAnsi="Times New Roman" w:cs="Times New Roman"/>
          <w:noProof/>
          <w:sz w:val="24"/>
          <w:szCs w:val="24"/>
          <w:lang w:val="sq-AL"/>
        </w:rPr>
        <w:t>ë</w:t>
      </w:r>
      <w:r w:rsidR="00314AA7" w:rsidRPr="00165DF1">
        <w:rPr>
          <w:rFonts w:ascii="Times New Roman" w:hAnsi="Times New Roman" w:cs="Times New Roman"/>
          <w:noProof/>
          <w:sz w:val="24"/>
          <w:szCs w:val="24"/>
          <w:lang w:val="sq-AL"/>
        </w:rPr>
        <w:t xml:space="preserve"> Nd</w:t>
      </w:r>
      <w:r w:rsidR="00870DCD" w:rsidRPr="00165DF1">
        <w:rPr>
          <w:rFonts w:ascii="Times New Roman" w:hAnsi="Times New Roman" w:cs="Times New Roman"/>
          <w:noProof/>
          <w:sz w:val="24"/>
          <w:szCs w:val="24"/>
          <w:lang w:val="sq-AL"/>
        </w:rPr>
        <w:t>ë</w:t>
      </w:r>
      <w:r w:rsidR="00314AA7" w:rsidRPr="00165DF1">
        <w:rPr>
          <w:rFonts w:ascii="Times New Roman" w:hAnsi="Times New Roman" w:cs="Times New Roman"/>
          <w:noProof/>
          <w:sz w:val="24"/>
          <w:szCs w:val="24"/>
          <w:lang w:val="sq-AL"/>
        </w:rPr>
        <w:t>rveprueshm</w:t>
      </w:r>
      <w:r w:rsidR="00870DCD" w:rsidRPr="00165DF1">
        <w:rPr>
          <w:rFonts w:ascii="Times New Roman" w:hAnsi="Times New Roman" w:cs="Times New Roman"/>
          <w:noProof/>
          <w:sz w:val="24"/>
          <w:szCs w:val="24"/>
          <w:lang w:val="sq-AL"/>
        </w:rPr>
        <w:t>ë</w:t>
      </w:r>
      <w:r w:rsidR="00314AA7" w:rsidRPr="00165DF1">
        <w:rPr>
          <w:rFonts w:ascii="Times New Roman" w:hAnsi="Times New Roman" w:cs="Times New Roman"/>
          <w:noProof/>
          <w:sz w:val="24"/>
          <w:szCs w:val="24"/>
          <w:lang w:val="sq-AL"/>
        </w:rPr>
        <w:t>ris</w:t>
      </w:r>
      <w:r w:rsidR="00870DCD" w:rsidRPr="00165DF1">
        <w:rPr>
          <w:rFonts w:ascii="Times New Roman" w:hAnsi="Times New Roman" w:cs="Times New Roman"/>
          <w:noProof/>
          <w:sz w:val="24"/>
          <w:szCs w:val="24"/>
          <w:lang w:val="sq-AL"/>
        </w:rPr>
        <w:t>ë</w:t>
      </w:r>
      <w:r w:rsidR="00314AA7" w:rsidRPr="00165DF1">
        <w:rPr>
          <w:rFonts w:ascii="Times New Roman" w:hAnsi="Times New Roman" w:cs="Times New Roman"/>
          <w:noProof/>
          <w:sz w:val="24"/>
          <w:szCs w:val="24"/>
          <w:lang w:val="sq-AL"/>
        </w:rPr>
        <w:t xml:space="preserve"> (EIF) të miratuar në vitin 2017, n</w:t>
      </w:r>
      <w:r w:rsidR="00870DCD" w:rsidRPr="00165DF1">
        <w:rPr>
          <w:rFonts w:ascii="Times New Roman" w:hAnsi="Times New Roman" w:cs="Times New Roman"/>
          <w:noProof/>
          <w:sz w:val="24"/>
          <w:szCs w:val="24"/>
          <w:lang w:val="sq-AL"/>
        </w:rPr>
        <w:t>ë</w:t>
      </w:r>
      <w:r w:rsidR="00314AA7" w:rsidRPr="00165DF1">
        <w:rPr>
          <w:rFonts w:ascii="Times New Roman" w:hAnsi="Times New Roman" w:cs="Times New Roman"/>
          <w:noProof/>
          <w:sz w:val="24"/>
          <w:szCs w:val="24"/>
          <w:lang w:val="sq-AL"/>
        </w:rPr>
        <w:t xml:space="preserve"> nj</w:t>
      </w:r>
      <w:r w:rsidR="00870DCD" w:rsidRPr="00165DF1">
        <w:rPr>
          <w:rFonts w:ascii="Times New Roman" w:hAnsi="Times New Roman" w:cs="Times New Roman"/>
          <w:noProof/>
          <w:sz w:val="24"/>
          <w:szCs w:val="24"/>
          <w:lang w:val="sq-AL"/>
        </w:rPr>
        <w:t>ë</w:t>
      </w:r>
      <w:r w:rsidR="00314AA7" w:rsidRPr="00165DF1">
        <w:rPr>
          <w:rFonts w:ascii="Times New Roman" w:hAnsi="Times New Roman" w:cs="Times New Roman"/>
          <w:noProof/>
          <w:sz w:val="24"/>
          <w:szCs w:val="24"/>
          <w:lang w:val="sq-AL"/>
        </w:rPr>
        <w:t xml:space="preserve"> proces p</w:t>
      </w:r>
      <w:r w:rsidR="00870DCD" w:rsidRPr="00165DF1">
        <w:rPr>
          <w:rFonts w:ascii="Times New Roman" w:hAnsi="Times New Roman" w:cs="Times New Roman"/>
          <w:noProof/>
          <w:sz w:val="24"/>
          <w:szCs w:val="24"/>
          <w:lang w:val="sq-AL"/>
        </w:rPr>
        <w:t>ë</w:t>
      </w:r>
      <w:r w:rsidR="00314AA7" w:rsidRPr="00165DF1">
        <w:rPr>
          <w:rFonts w:ascii="Times New Roman" w:hAnsi="Times New Roman" w:cs="Times New Roman"/>
          <w:noProof/>
          <w:sz w:val="24"/>
          <w:szCs w:val="24"/>
          <w:lang w:val="sq-AL"/>
        </w:rPr>
        <w:t>rafrimi q</w:t>
      </w:r>
      <w:r w:rsidR="00870DCD" w:rsidRPr="00165DF1">
        <w:rPr>
          <w:rFonts w:ascii="Times New Roman" w:hAnsi="Times New Roman" w:cs="Times New Roman"/>
          <w:noProof/>
          <w:sz w:val="24"/>
          <w:szCs w:val="24"/>
          <w:lang w:val="sq-AL"/>
        </w:rPr>
        <w:t>ë Komisioni Evropian inkurajon t</w:t>
      </w:r>
      <w:r w:rsidR="007C1ABD" w:rsidRPr="00165DF1">
        <w:rPr>
          <w:rFonts w:ascii="Times New Roman" w:hAnsi="Times New Roman" w:cs="Times New Roman"/>
          <w:noProof/>
          <w:sz w:val="24"/>
          <w:szCs w:val="24"/>
          <w:lang w:val="sq-AL"/>
        </w:rPr>
        <w:t>ë</w:t>
      </w:r>
      <w:r w:rsidR="00870DCD" w:rsidRPr="00165DF1">
        <w:rPr>
          <w:rFonts w:ascii="Times New Roman" w:hAnsi="Times New Roman" w:cs="Times New Roman"/>
          <w:noProof/>
          <w:sz w:val="24"/>
          <w:szCs w:val="24"/>
          <w:lang w:val="sq-AL"/>
        </w:rPr>
        <w:t xml:space="preserve"> vijoj</w:t>
      </w:r>
      <w:r w:rsidR="007C1ABD" w:rsidRPr="00165DF1">
        <w:rPr>
          <w:rFonts w:ascii="Times New Roman" w:hAnsi="Times New Roman" w:cs="Times New Roman"/>
          <w:noProof/>
          <w:sz w:val="24"/>
          <w:szCs w:val="24"/>
          <w:lang w:val="sq-AL"/>
        </w:rPr>
        <w:t>ë</w:t>
      </w:r>
      <w:r w:rsidR="00870DCD" w:rsidRPr="00165DF1">
        <w:rPr>
          <w:rFonts w:ascii="Times New Roman" w:hAnsi="Times New Roman" w:cs="Times New Roman"/>
          <w:noProof/>
          <w:sz w:val="24"/>
          <w:szCs w:val="24"/>
          <w:lang w:val="sq-AL"/>
        </w:rPr>
        <w:t xml:space="preserve"> m</w:t>
      </w:r>
      <w:r w:rsidR="007C1ABD" w:rsidRPr="00165DF1">
        <w:rPr>
          <w:rFonts w:ascii="Times New Roman" w:hAnsi="Times New Roman" w:cs="Times New Roman"/>
          <w:noProof/>
          <w:sz w:val="24"/>
          <w:szCs w:val="24"/>
          <w:lang w:val="sq-AL"/>
        </w:rPr>
        <w:t>ë</w:t>
      </w:r>
      <w:r w:rsidR="00870DCD" w:rsidRPr="00165DF1">
        <w:rPr>
          <w:rFonts w:ascii="Times New Roman" w:hAnsi="Times New Roman" w:cs="Times New Roman"/>
          <w:noProof/>
          <w:sz w:val="24"/>
          <w:szCs w:val="24"/>
          <w:lang w:val="sq-AL"/>
        </w:rPr>
        <w:t xml:space="preserve"> tej </w:t>
      </w:r>
      <w:r w:rsidR="007728CB" w:rsidRPr="00165DF1">
        <w:rPr>
          <w:rFonts w:ascii="Times New Roman" w:hAnsi="Times New Roman" w:cs="Times New Roman"/>
          <w:noProof/>
          <w:sz w:val="24"/>
          <w:szCs w:val="24"/>
          <w:lang w:val="sq-AL"/>
        </w:rPr>
        <w:t xml:space="preserve">me harmonizimin </w:t>
      </w:r>
      <w:r w:rsidR="00314AA7" w:rsidRPr="00165DF1">
        <w:rPr>
          <w:rFonts w:ascii="Times New Roman" w:hAnsi="Times New Roman" w:cs="Times New Roman"/>
          <w:noProof/>
          <w:sz w:val="24"/>
          <w:szCs w:val="24"/>
          <w:lang w:val="sq-AL"/>
        </w:rPr>
        <w:t>me Aktin e ri të Evrop</w:t>
      </w:r>
      <w:r w:rsidR="00870DCD" w:rsidRPr="00165DF1">
        <w:rPr>
          <w:rFonts w:ascii="Times New Roman" w:hAnsi="Times New Roman" w:cs="Times New Roman"/>
          <w:noProof/>
          <w:sz w:val="24"/>
          <w:szCs w:val="24"/>
          <w:lang w:val="sq-AL"/>
        </w:rPr>
        <w:t>ë</w:t>
      </w:r>
      <w:r w:rsidR="00314AA7" w:rsidRPr="00165DF1">
        <w:rPr>
          <w:rFonts w:ascii="Times New Roman" w:hAnsi="Times New Roman" w:cs="Times New Roman"/>
          <w:noProof/>
          <w:sz w:val="24"/>
          <w:szCs w:val="24"/>
          <w:lang w:val="sq-AL"/>
        </w:rPr>
        <w:t>s Ndërvepruese të hyr</w:t>
      </w:r>
      <w:r w:rsidR="00870DCD" w:rsidRPr="00165DF1">
        <w:rPr>
          <w:rFonts w:ascii="Times New Roman" w:hAnsi="Times New Roman" w:cs="Times New Roman"/>
          <w:noProof/>
          <w:sz w:val="24"/>
          <w:szCs w:val="24"/>
          <w:lang w:val="sq-AL"/>
        </w:rPr>
        <w:t>ë</w:t>
      </w:r>
      <w:r w:rsidR="00314AA7" w:rsidRPr="00165DF1">
        <w:rPr>
          <w:rFonts w:ascii="Times New Roman" w:hAnsi="Times New Roman" w:cs="Times New Roman"/>
          <w:noProof/>
          <w:sz w:val="24"/>
          <w:szCs w:val="24"/>
          <w:lang w:val="sq-AL"/>
        </w:rPr>
        <w:t xml:space="preserve"> n</w:t>
      </w:r>
      <w:r w:rsidR="00870DCD" w:rsidRPr="00165DF1">
        <w:rPr>
          <w:rFonts w:ascii="Times New Roman" w:hAnsi="Times New Roman" w:cs="Times New Roman"/>
          <w:noProof/>
          <w:sz w:val="24"/>
          <w:szCs w:val="24"/>
          <w:lang w:val="sq-AL"/>
        </w:rPr>
        <w:t>ë</w:t>
      </w:r>
      <w:r w:rsidR="00314AA7" w:rsidRPr="00165DF1">
        <w:rPr>
          <w:rFonts w:ascii="Times New Roman" w:hAnsi="Times New Roman" w:cs="Times New Roman"/>
          <w:noProof/>
          <w:sz w:val="24"/>
          <w:szCs w:val="24"/>
          <w:lang w:val="sq-AL"/>
        </w:rPr>
        <w:t xml:space="preserve"> fuqi </w:t>
      </w:r>
      <w:r w:rsidR="00870DCD" w:rsidRPr="00165DF1">
        <w:rPr>
          <w:rFonts w:ascii="Times New Roman" w:hAnsi="Times New Roman" w:cs="Times New Roman"/>
          <w:noProof/>
          <w:sz w:val="24"/>
          <w:szCs w:val="24"/>
          <w:lang w:val="sq-AL"/>
        </w:rPr>
        <w:t>n</w:t>
      </w:r>
      <w:r w:rsidR="007C1ABD" w:rsidRPr="00165DF1">
        <w:rPr>
          <w:rFonts w:ascii="Times New Roman" w:hAnsi="Times New Roman" w:cs="Times New Roman"/>
          <w:noProof/>
          <w:sz w:val="24"/>
          <w:szCs w:val="24"/>
          <w:lang w:val="sq-AL"/>
        </w:rPr>
        <w:t>ë</w:t>
      </w:r>
      <w:r w:rsidR="00870DCD" w:rsidRPr="00165DF1">
        <w:rPr>
          <w:rFonts w:ascii="Times New Roman" w:hAnsi="Times New Roman" w:cs="Times New Roman"/>
          <w:noProof/>
          <w:sz w:val="24"/>
          <w:szCs w:val="24"/>
          <w:lang w:val="sq-AL"/>
        </w:rPr>
        <w:t xml:space="preserve"> </w:t>
      </w:r>
      <w:r w:rsidR="00314AA7" w:rsidRPr="00165DF1">
        <w:rPr>
          <w:rFonts w:ascii="Times New Roman" w:hAnsi="Times New Roman" w:cs="Times New Roman"/>
          <w:noProof/>
          <w:sz w:val="24"/>
          <w:szCs w:val="24"/>
          <w:lang w:val="sq-AL"/>
        </w:rPr>
        <w:t>prill 2024.</w:t>
      </w:r>
      <w:r w:rsidR="00314AA7" w:rsidRPr="00165DF1">
        <w:rPr>
          <w:rStyle w:val="FootnoteReference"/>
          <w:rFonts w:ascii="Times New Roman" w:hAnsi="Times New Roman" w:cs="Times New Roman"/>
          <w:noProof/>
          <w:sz w:val="24"/>
          <w:szCs w:val="24"/>
          <w:lang w:val="sq-AL"/>
        </w:rPr>
        <w:footnoteReference w:id="51"/>
      </w:r>
    </w:p>
    <w:p w14:paraId="52E08151" w14:textId="7ACDD572" w:rsidR="001C356F" w:rsidRPr="005F3112" w:rsidRDefault="001C356F" w:rsidP="005F3112">
      <w:pPr>
        <w:spacing w:before="120" w:after="120" w:line="276" w:lineRule="auto"/>
        <w:jc w:val="both"/>
        <w:rPr>
          <w:rFonts w:ascii="Times New Roman" w:hAnsi="Times New Roman" w:cs="Times New Roman"/>
          <w:noProof/>
          <w:sz w:val="24"/>
          <w:szCs w:val="24"/>
          <w:lang w:val="sq-AL"/>
        </w:rPr>
      </w:pPr>
      <w:r w:rsidRPr="00165DF1">
        <w:rPr>
          <w:rFonts w:ascii="Times New Roman" w:hAnsi="Times New Roman" w:cs="Times New Roman"/>
          <w:noProof/>
          <w:sz w:val="24"/>
          <w:szCs w:val="24"/>
          <w:lang w:val="sq-AL"/>
        </w:rPr>
        <w:lastRenderedPageBreak/>
        <w:t xml:space="preserve">Që </w:t>
      </w:r>
      <w:r w:rsidR="00DE2646" w:rsidRPr="00165DF1">
        <w:rPr>
          <w:rFonts w:ascii="Times New Roman" w:hAnsi="Times New Roman" w:cs="Times New Roman"/>
          <w:noProof/>
          <w:sz w:val="24"/>
          <w:szCs w:val="24"/>
          <w:lang w:val="sq-AL"/>
        </w:rPr>
        <w:t>prej vitit</w:t>
      </w:r>
      <w:r w:rsidRPr="00165DF1">
        <w:rPr>
          <w:rFonts w:ascii="Times New Roman" w:hAnsi="Times New Roman" w:cs="Times New Roman"/>
          <w:noProof/>
          <w:sz w:val="24"/>
          <w:szCs w:val="24"/>
          <w:lang w:val="sq-AL"/>
        </w:rPr>
        <w:t xml:space="preserve"> 2017, kur </w:t>
      </w:r>
      <w:r w:rsidR="00DE2646" w:rsidRPr="00165DF1">
        <w:rPr>
          <w:rFonts w:ascii="Times New Roman" w:hAnsi="Times New Roman" w:cs="Times New Roman"/>
          <w:noProof/>
          <w:sz w:val="24"/>
          <w:szCs w:val="24"/>
          <w:lang w:val="sq-AL"/>
        </w:rPr>
        <w:t>u njoh ligj</w:t>
      </w:r>
      <w:r w:rsidR="00E479F0" w:rsidRPr="00165DF1">
        <w:rPr>
          <w:rFonts w:ascii="Times New Roman" w:hAnsi="Times New Roman" w:cs="Times New Roman"/>
          <w:noProof/>
          <w:sz w:val="24"/>
          <w:szCs w:val="24"/>
          <w:lang w:val="sq-AL"/>
        </w:rPr>
        <w:t>ë</w:t>
      </w:r>
      <w:r w:rsidR="00DE2646" w:rsidRPr="00165DF1">
        <w:rPr>
          <w:rFonts w:ascii="Times New Roman" w:hAnsi="Times New Roman" w:cs="Times New Roman"/>
          <w:noProof/>
          <w:sz w:val="24"/>
          <w:szCs w:val="24"/>
          <w:lang w:val="sq-AL"/>
        </w:rPr>
        <w:t xml:space="preserve">risht </w:t>
      </w:r>
      <w:r w:rsidR="00DE2646" w:rsidRPr="0053517F">
        <w:rPr>
          <w:rFonts w:ascii="Times New Roman" w:hAnsi="Times New Roman" w:cs="Times New Roman"/>
          <w:noProof/>
          <w:sz w:val="24"/>
          <w:szCs w:val="24"/>
          <w:lang w:val="sq-AL"/>
        </w:rPr>
        <w:t>vlera e vul</w:t>
      </w:r>
      <w:r w:rsidR="00E479F0" w:rsidRPr="0053517F">
        <w:rPr>
          <w:rFonts w:ascii="Times New Roman" w:hAnsi="Times New Roman" w:cs="Times New Roman"/>
          <w:noProof/>
          <w:sz w:val="24"/>
          <w:szCs w:val="24"/>
          <w:lang w:val="sq-AL"/>
        </w:rPr>
        <w:t>ë</w:t>
      </w:r>
      <w:r w:rsidR="00DE2646" w:rsidRPr="0053517F">
        <w:rPr>
          <w:rFonts w:ascii="Times New Roman" w:hAnsi="Times New Roman" w:cs="Times New Roman"/>
          <w:noProof/>
          <w:sz w:val="24"/>
          <w:szCs w:val="24"/>
          <w:lang w:val="sq-AL"/>
        </w:rPr>
        <w:t xml:space="preserve">s elektronike, </w:t>
      </w:r>
      <w:r w:rsidRPr="0053517F">
        <w:rPr>
          <w:rFonts w:ascii="Times New Roman" w:hAnsi="Times New Roman" w:cs="Times New Roman"/>
          <w:noProof/>
          <w:sz w:val="24"/>
          <w:szCs w:val="24"/>
          <w:lang w:val="sq-AL"/>
        </w:rPr>
        <w:t xml:space="preserve">e deri </w:t>
      </w:r>
      <w:r w:rsidR="00043F92" w:rsidRPr="0053517F">
        <w:rPr>
          <w:rFonts w:ascii="Times New Roman" w:hAnsi="Times New Roman" w:cs="Times New Roman"/>
          <w:noProof/>
          <w:sz w:val="24"/>
          <w:szCs w:val="24"/>
          <w:lang w:val="sq-AL"/>
        </w:rPr>
        <w:t>n</w:t>
      </w:r>
      <w:r w:rsidR="00870DCD" w:rsidRPr="0053517F">
        <w:rPr>
          <w:rFonts w:ascii="Times New Roman" w:hAnsi="Times New Roman" w:cs="Times New Roman"/>
          <w:noProof/>
          <w:sz w:val="24"/>
          <w:szCs w:val="24"/>
          <w:lang w:val="sq-AL"/>
        </w:rPr>
        <w:t>ë</w:t>
      </w:r>
      <w:r w:rsidR="00043F92" w:rsidRPr="0053517F">
        <w:rPr>
          <w:rFonts w:ascii="Times New Roman" w:hAnsi="Times New Roman" w:cs="Times New Roman"/>
          <w:noProof/>
          <w:sz w:val="24"/>
          <w:szCs w:val="24"/>
          <w:lang w:val="sq-AL"/>
        </w:rPr>
        <w:t xml:space="preserve"> </w:t>
      </w:r>
      <w:r w:rsidR="00277F9D" w:rsidRPr="0053517F">
        <w:rPr>
          <w:rFonts w:ascii="Times New Roman" w:hAnsi="Times New Roman" w:cs="Times New Roman"/>
          <w:noProof/>
          <w:sz w:val="24"/>
          <w:szCs w:val="24"/>
          <w:lang w:val="sq-AL"/>
        </w:rPr>
        <w:t>dhjetor</w:t>
      </w:r>
      <w:r w:rsidR="002C05AD" w:rsidRPr="0053517F">
        <w:rPr>
          <w:rFonts w:ascii="Times New Roman" w:hAnsi="Times New Roman" w:cs="Times New Roman"/>
          <w:noProof/>
          <w:sz w:val="24"/>
          <w:szCs w:val="24"/>
          <w:lang w:val="sq-AL"/>
        </w:rPr>
        <w:t xml:space="preserve"> 2024</w:t>
      </w:r>
      <w:r w:rsidRPr="0053517F">
        <w:rPr>
          <w:rFonts w:ascii="Times New Roman" w:hAnsi="Times New Roman" w:cs="Times New Roman"/>
          <w:noProof/>
          <w:sz w:val="24"/>
          <w:szCs w:val="24"/>
          <w:lang w:val="sq-AL"/>
        </w:rPr>
        <w:t xml:space="preserve"> janë gjeneruar mbi 34 milionë dokumente me vulë elektronike, përkthyer kjo n</w:t>
      </w:r>
      <w:r w:rsidR="00734C6C" w:rsidRPr="0053517F">
        <w:rPr>
          <w:rFonts w:ascii="Times New Roman" w:hAnsi="Times New Roman" w:cs="Times New Roman"/>
          <w:noProof/>
          <w:sz w:val="24"/>
          <w:szCs w:val="24"/>
          <w:lang w:val="sq-AL"/>
        </w:rPr>
        <w:t>ë</w:t>
      </w:r>
      <w:r w:rsidRPr="0053517F">
        <w:rPr>
          <w:rFonts w:ascii="Times New Roman" w:hAnsi="Times New Roman" w:cs="Times New Roman"/>
          <w:noProof/>
          <w:sz w:val="24"/>
          <w:szCs w:val="24"/>
          <w:lang w:val="sq-AL"/>
        </w:rPr>
        <w:t xml:space="preserve"> kursime në kohë dhe kosto për qytetarët dhe bizneset. Konkretisht Portali e-Albania </w:t>
      </w:r>
      <w:r w:rsidR="00043F92" w:rsidRPr="0053517F">
        <w:rPr>
          <w:rFonts w:ascii="Times New Roman" w:hAnsi="Times New Roman" w:cs="Times New Roman"/>
          <w:noProof/>
          <w:sz w:val="24"/>
          <w:szCs w:val="24"/>
          <w:lang w:val="sq-AL"/>
        </w:rPr>
        <w:t>u</w:t>
      </w:r>
      <w:r w:rsidRPr="0053517F">
        <w:rPr>
          <w:rFonts w:ascii="Times New Roman" w:hAnsi="Times New Roman" w:cs="Times New Roman"/>
          <w:noProof/>
          <w:sz w:val="24"/>
          <w:szCs w:val="24"/>
          <w:lang w:val="sq-AL"/>
        </w:rPr>
        <w:t xml:space="preserve"> ka k</w:t>
      </w:r>
      <w:r w:rsidR="00D00916" w:rsidRPr="0053517F">
        <w:rPr>
          <w:rFonts w:ascii="Times New Roman" w:hAnsi="Times New Roman" w:cs="Times New Roman"/>
          <w:noProof/>
          <w:sz w:val="24"/>
          <w:szCs w:val="24"/>
          <w:lang w:val="sq-AL"/>
        </w:rPr>
        <w:t>ursyer qytetarëve dhe bizneseve</w:t>
      </w:r>
      <w:r w:rsidR="00043F92" w:rsidRPr="0053517F">
        <w:rPr>
          <w:rFonts w:ascii="Times New Roman" w:hAnsi="Times New Roman" w:cs="Times New Roman"/>
          <w:noProof/>
          <w:sz w:val="24"/>
          <w:szCs w:val="24"/>
          <w:lang w:val="sq-AL"/>
        </w:rPr>
        <w:t xml:space="preserve"> </w:t>
      </w:r>
      <w:r w:rsidR="00165DF1" w:rsidRPr="0053517F">
        <w:rPr>
          <w:rFonts w:ascii="Times New Roman" w:hAnsi="Times New Roman" w:cs="Times New Roman"/>
          <w:sz w:val="24"/>
          <w:szCs w:val="24"/>
          <w:lang w:val="sq-AL"/>
        </w:rPr>
        <w:t>1,200 vite pritje në radhë për marrjen e dokumenteve shteterore me vulë elektronike, si dhe rreth 18 milionë EUR kosto nga heqja</w:t>
      </w:r>
      <w:r w:rsidR="00043F92" w:rsidRPr="0053517F">
        <w:rPr>
          <w:rFonts w:ascii="Times New Roman" w:hAnsi="Times New Roman" w:cs="Times New Roman"/>
          <w:noProof/>
          <w:sz w:val="24"/>
          <w:szCs w:val="24"/>
          <w:lang w:val="sq-AL"/>
        </w:rPr>
        <w:t xml:space="preserve"> e tarifave të këtyre dokumenteve që ofrohen tashmë pa pagesë në platformë në version elektronik.</w:t>
      </w:r>
      <w:r w:rsidR="00801AD9" w:rsidRPr="0053517F">
        <w:rPr>
          <w:rFonts w:ascii="Times New Roman" w:hAnsi="Times New Roman" w:cs="Times New Roman"/>
          <w:noProof/>
          <w:sz w:val="24"/>
          <w:szCs w:val="24"/>
          <w:lang w:val="sq-AL"/>
        </w:rPr>
        <w:t xml:space="preserve"> Ky transformim rr</w:t>
      </w:r>
      <w:r w:rsidR="00870DCD" w:rsidRPr="0053517F">
        <w:rPr>
          <w:rFonts w:ascii="Times New Roman" w:hAnsi="Times New Roman" w:cs="Times New Roman"/>
          <w:noProof/>
          <w:sz w:val="24"/>
          <w:szCs w:val="24"/>
          <w:lang w:val="sq-AL"/>
        </w:rPr>
        <w:t>ë</w:t>
      </w:r>
      <w:r w:rsidR="00801AD9" w:rsidRPr="0053517F">
        <w:rPr>
          <w:rFonts w:ascii="Times New Roman" w:hAnsi="Times New Roman" w:cs="Times New Roman"/>
          <w:noProof/>
          <w:sz w:val="24"/>
          <w:szCs w:val="24"/>
          <w:lang w:val="sq-AL"/>
        </w:rPr>
        <w:t>nj</w:t>
      </w:r>
      <w:r w:rsidR="00870DCD" w:rsidRPr="0053517F">
        <w:rPr>
          <w:rFonts w:ascii="Times New Roman" w:hAnsi="Times New Roman" w:cs="Times New Roman"/>
          <w:noProof/>
          <w:sz w:val="24"/>
          <w:szCs w:val="24"/>
          <w:lang w:val="sq-AL"/>
        </w:rPr>
        <w:t>ë</w:t>
      </w:r>
      <w:r w:rsidR="00801AD9" w:rsidRPr="0053517F">
        <w:rPr>
          <w:rFonts w:ascii="Times New Roman" w:hAnsi="Times New Roman" w:cs="Times New Roman"/>
          <w:noProof/>
          <w:sz w:val="24"/>
          <w:szCs w:val="24"/>
          <w:lang w:val="sq-AL"/>
        </w:rPr>
        <w:t>sor vler</w:t>
      </w:r>
      <w:r w:rsidR="00870DCD" w:rsidRPr="0053517F">
        <w:rPr>
          <w:rFonts w:ascii="Times New Roman" w:hAnsi="Times New Roman" w:cs="Times New Roman"/>
          <w:noProof/>
          <w:sz w:val="24"/>
          <w:szCs w:val="24"/>
          <w:lang w:val="sq-AL"/>
        </w:rPr>
        <w:t>ë</w:t>
      </w:r>
      <w:r w:rsidR="00801AD9" w:rsidRPr="0053517F">
        <w:rPr>
          <w:rFonts w:ascii="Times New Roman" w:hAnsi="Times New Roman" w:cs="Times New Roman"/>
          <w:noProof/>
          <w:sz w:val="24"/>
          <w:szCs w:val="24"/>
          <w:lang w:val="sq-AL"/>
        </w:rPr>
        <w:t>sohet edhe nga OECD/SIGMA, e cil</w:t>
      </w:r>
      <w:r w:rsidR="000D13B5" w:rsidRPr="0053517F">
        <w:rPr>
          <w:rFonts w:ascii="Times New Roman" w:hAnsi="Times New Roman" w:cs="Times New Roman"/>
          <w:noProof/>
          <w:sz w:val="24"/>
          <w:szCs w:val="24"/>
          <w:lang w:val="sq-AL"/>
        </w:rPr>
        <w:t>a</w:t>
      </w:r>
      <w:r w:rsidR="00801AD9" w:rsidRPr="0053517F">
        <w:rPr>
          <w:rFonts w:ascii="Times New Roman" w:hAnsi="Times New Roman" w:cs="Times New Roman"/>
          <w:noProof/>
          <w:sz w:val="24"/>
          <w:szCs w:val="24"/>
          <w:lang w:val="sq-AL"/>
        </w:rPr>
        <w:t xml:space="preserve"> thekson se cilësia e ofrimit</w:t>
      </w:r>
      <w:r w:rsidR="00801AD9" w:rsidRPr="00165DF1">
        <w:rPr>
          <w:rFonts w:ascii="Times New Roman" w:hAnsi="Times New Roman" w:cs="Times New Roman"/>
          <w:noProof/>
          <w:sz w:val="24"/>
          <w:szCs w:val="24"/>
          <w:lang w:val="sq-AL"/>
        </w:rPr>
        <w:t xml:space="preserve"> t</w:t>
      </w:r>
      <w:r w:rsidR="00870DCD" w:rsidRPr="00165DF1">
        <w:rPr>
          <w:rFonts w:ascii="Times New Roman" w:hAnsi="Times New Roman" w:cs="Times New Roman"/>
          <w:noProof/>
          <w:sz w:val="24"/>
          <w:szCs w:val="24"/>
          <w:lang w:val="sq-AL"/>
        </w:rPr>
        <w:t>ë</w:t>
      </w:r>
      <w:r w:rsidR="00801AD9" w:rsidRPr="00165DF1">
        <w:rPr>
          <w:rFonts w:ascii="Times New Roman" w:hAnsi="Times New Roman" w:cs="Times New Roman"/>
          <w:noProof/>
          <w:sz w:val="24"/>
          <w:szCs w:val="24"/>
          <w:lang w:val="sq-AL"/>
        </w:rPr>
        <w:t xml:space="preserve"> shërbimeve</w:t>
      </w:r>
      <w:r w:rsidR="00801AD9" w:rsidRPr="00641640">
        <w:rPr>
          <w:rFonts w:ascii="Times New Roman" w:hAnsi="Times New Roman" w:cs="Times New Roman"/>
          <w:noProof/>
          <w:sz w:val="24"/>
          <w:szCs w:val="24"/>
          <w:lang w:val="sq-AL"/>
        </w:rPr>
        <w:t xml:space="preserve"> është rritur gjatë viteve të fundit falë digjitalizimit dhe thjeshtësimit t</w:t>
      </w:r>
      <w:r w:rsidR="00870DCD" w:rsidRPr="00641640">
        <w:rPr>
          <w:rFonts w:ascii="Times New Roman" w:hAnsi="Times New Roman" w:cs="Times New Roman"/>
          <w:noProof/>
          <w:sz w:val="24"/>
          <w:szCs w:val="24"/>
          <w:lang w:val="sq-AL"/>
        </w:rPr>
        <w:t>ë</w:t>
      </w:r>
      <w:r w:rsidR="00801AD9" w:rsidRPr="00641640">
        <w:rPr>
          <w:rFonts w:ascii="Times New Roman" w:hAnsi="Times New Roman" w:cs="Times New Roman"/>
          <w:noProof/>
          <w:sz w:val="24"/>
          <w:szCs w:val="24"/>
          <w:lang w:val="sq-AL"/>
        </w:rPr>
        <w:t xml:space="preserve"> procedurave, </w:t>
      </w:r>
      <w:r w:rsidR="000D13B5" w:rsidRPr="00641640">
        <w:rPr>
          <w:rFonts w:ascii="Times New Roman" w:hAnsi="Times New Roman" w:cs="Times New Roman"/>
          <w:noProof/>
          <w:sz w:val="24"/>
          <w:szCs w:val="24"/>
          <w:lang w:val="sq-AL"/>
        </w:rPr>
        <w:t xml:space="preserve">teksa </w:t>
      </w:r>
      <w:r w:rsidR="00801AD9" w:rsidRPr="00641640">
        <w:rPr>
          <w:rFonts w:ascii="Times New Roman" w:hAnsi="Times New Roman" w:cs="Times New Roman"/>
          <w:noProof/>
          <w:sz w:val="24"/>
          <w:szCs w:val="24"/>
          <w:lang w:val="sq-AL"/>
        </w:rPr>
        <w:t>shumic</w:t>
      </w:r>
      <w:r w:rsidR="000D13B5" w:rsidRPr="00641640">
        <w:rPr>
          <w:rFonts w:ascii="Times New Roman" w:hAnsi="Times New Roman" w:cs="Times New Roman"/>
          <w:noProof/>
          <w:sz w:val="24"/>
          <w:szCs w:val="24"/>
          <w:lang w:val="sq-AL"/>
        </w:rPr>
        <w:t>a</w:t>
      </w:r>
      <w:r w:rsidR="00801AD9" w:rsidRPr="00641640">
        <w:rPr>
          <w:rFonts w:ascii="Times New Roman" w:hAnsi="Times New Roman" w:cs="Times New Roman"/>
          <w:noProof/>
          <w:sz w:val="24"/>
          <w:szCs w:val="24"/>
          <w:lang w:val="sq-AL"/>
        </w:rPr>
        <w:t xml:space="preserve"> e qytetar</w:t>
      </w:r>
      <w:r w:rsidR="00870DCD" w:rsidRPr="00641640">
        <w:rPr>
          <w:rFonts w:ascii="Times New Roman" w:hAnsi="Times New Roman" w:cs="Times New Roman"/>
          <w:noProof/>
          <w:sz w:val="24"/>
          <w:szCs w:val="24"/>
          <w:lang w:val="sq-AL"/>
        </w:rPr>
        <w:t>ë</w:t>
      </w:r>
      <w:r w:rsidR="00801AD9" w:rsidRPr="00641640">
        <w:rPr>
          <w:rFonts w:ascii="Times New Roman" w:hAnsi="Times New Roman" w:cs="Times New Roman"/>
          <w:noProof/>
          <w:sz w:val="24"/>
          <w:szCs w:val="24"/>
          <w:lang w:val="sq-AL"/>
        </w:rPr>
        <w:t>ve t</w:t>
      </w:r>
      <w:r w:rsidR="00870DCD" w:rsidRPr="00641640">
        <w:rPr>
          <w:rFonts w:ascii="Times New Roman" w:hAnsi="Times New Roman" w:cs="Times New Roman"/>
          <w:noProof/>
          <w:sz w:val="24"/>
          <w:szCs w:val="24"/>
          <w:lang w:val="sq-AL"/>
        </w:rPr>
        <w:t>ë</w:t>
      </w:r>
      <w:r w:rsidR="00801AD9" w:rsidRPr="00641640">
        <w:rPr>
          <w:rFonts w:ascii="Times New Roman" w:hAnsi="Times New Roman" w:cs="Times New Roman"/>
          <w:noProof/>
          <w:sz w:val="24"/>
          <w:szCs w:val="24"/>
          <w:lang w:val="sq-AL"/>
        </w:rPr>
        <w:t xml:space="preserve"> anketuar nga SIGMA</w:t>
      </w:r>
      <w:r w:rsidR="000D13B5" w:rsidRPr="00641640">
        <w:rPr>
          <w:rFonts w:ascii="Times New Roman" w:hAnsi="Times New Roman" w:cs="Times New Roman"/>
          <w:noProof/>
          <w:sz w:val="24"/>
          <w:szCs w:val="24"/>
          <w:lang w:val="sq-AL"/>
        </w:rPr>
        <w:t xml:space="preserve"> </w:t>
      </w:r>
      <w:r w:rsidR="00801AD9" w:rsidRPr="00641640">
        <w:rPr>
          <w:rFonts w:ascii="Times New Roman" w:hAnsi="Times New Roman" w:cs="Times New Roman"/>
          <w:noProof/>
          <w:sz w:val="24"/>
          <w:szCs w:val="24"/>
          <w:lang w:val="sq-AL"/>
        </w:rPr>
        <w:t>kan</w:t>
      </w:r>
      <w:r w:rsidR="00870DCD" w:rsidRPr="00641640">
        <w:rPr>
          <w:rFonts w:ascii="Times New Roman" w:hAnsi="Times New Roman" w:cs="Times New Roman"/>
          <w:noProof/>
          <w:sz w:val="24"/>
          <w:szCs w:val="24"/>
          <w:lang w:val="sq-AL"/>
        </w:rPr>
        <w:t>ë</w:t>
      </w:r>
      <w:r w:rsidR="00801AD9" w:rsidRPr="00641640">
        <w:rPr>
          <w:rFonts w:ascii="Times New Roman" w:hAnsi="Times New Roman" w:cs="Times New Roman"/>
          <w:noProof/>
          <w:sz w:val="24"/>
          <w:szCs w:val="24"/>
          <w:lang w:val="sq-AL"/>
        </w:rPr>
        <w:t xml:space="preserve"> raportuar se </w:t>
      </w:r>
      <w:r w:rsidR="00801AD9" w:rsidRPr="005F3112">
        <w:rPr>
          <w:rFonts w:ascii="Times New Roman" w:hAnsi="Times New Roman" w:cs="Times New Roman"/>
          <w:noProof/>
          <w:sz w:val="24"/>
          <w:szCs w:val="24"/>
          <w:lang w:val="sq-AL"/>
        </w:rPr>
        <w:t>janë të kënaqur me ndërveprimin e tyre të fundit me shërbimet publike.</w:t>
      </w:r>
      <w:r w:rsidR="00801AD9" w:rsidRPr="005F3112">
        <w:rPr>
          <w:rStyle w:val="FootnoteReference"/>
          <w:rFonts w:ascii="Times New Roman" w:hAnsi="Times New Roman" w:cs="Times New Roman"/>
          <w:noProof/>
          <w:sz w:val="24"/>
          <w:szCs w:val="24"/>
          <w:lang w:val="sq-AL"/>
        </w:rPr>
        <w:footnoteReference w:id="52"/>
      </w:r>
    </w:p>
    <w:p w14:paraId="1DDD1AEB" w14:textId="12DEEA51" w:rsidR="001F58F4" w:rsidRPr="00B86DB8" w:rsidRDefault="00F4095F" w:rsidP="005F3112">
      <w:pPr>
        <w:spacing w:before="120" w:after="120" w:line="276" w:lineRule="auto"/>
        <w:jc w:val="both"/>
        <w:rPr>
          <w:rFonts w:ascii="Times New Roman" w:hAnsi="Times New Roman" w:cs="Times New Roman"/>
          <w:sz w:val="24"/>
          <w:szCs w:val="24"/>
          <w:lang w:val="sq-AL"/>
        </w:rPr>
      </w:pPr>
      <w:r w:rsidRPr="005F3112">
        <w:rPr>
          <w:rFonts w:ascii="Times New Roman" w:hAnsi="Times New Roman" w:cs="Times New Roman"/>
          <w:noProof/>
          <w:sz w:val="24"/>
          <w:szCs w:val="24"/>
          <w:lang w:val="sq-AL"/>
        </w:rPr>
        <w:t>Paralelisht k</w:t>
      </w:r>
      <w:r w:rsidR="00870D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tyre zhvillimeve, në qershor të vitit 2023 u miratua </w:t>
      </w:r>
      <w:r w:rsidR="00AE4065">
        <w:rPr>
          <w:rFonts w:ascii="Times New Roman" w:hAnsi="Times New Roman" w:cs="Times New Roman"/>
          <w:noProof/>
          <w:sz w:val="24"/>
          <w:szCs w:val="24"/>
          <w:lang w:val="sq-AL"/>
        </w:rPr>
        <w:t>l</w:t>
      </w:r>
      <w:r w:rsidRPr="005F3112">
        <w:rPr>
          <w:rFonts w:ascii="Times New Roman" w:hAnsi="Times New Roman" w:cs="Times New Roman"/>
          <w:noProof/>
          <w:sz w:val="24"/>
          <w:szCs w:val="24"/>
          <w:lang w:val="sq-AL"/>
        </w:rPr>
        <w:t>igji nr. 43/2023 “</w:t>
      </w:r>
      <w:r w:rsidRPr="000024B5">
        <w:rPr>
          <w:rFonts w:ascii="Times New Roman" w:hAnsi="Times New Roman" w:cs="Times New Roman"/>
          <w:i/>
          <w:iCs/>
          <w:noProof/>
          <w:sz w:val="24"/>
          <w:szCs w:val="24"/>
          <w:lang w:val="sq-AL"/>
        </w:rPr>
        <w:t>Për Qeverisjen Elektronike</w:t>
      </w:r>
      <w:r w:rsidRPr="005F3112">
        <w:rPr>
          <w:rFonts w:ascii="Times New Roman" w:hAnsi="Times New Roman" w:cs="Times New Roman"/>
          <w:noProof/>
          <w:sz w:val="24"/>
          <w:szCs w:val="24"/>
          <w:lang w:val="sq-AL"/>
        </w:rPr>
        <w:t>”, i cili p</w:t>
      </w:r>
      <w:r w:rsidR="00870D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rcakton të drejtat, detyrimet dhe përgjegjësit</w:t>
      </w:r>
      <w:r w:rsidR="00870DCD" w:rsidRPr="005F3112">
        <w:rPr>
          <w:rFonts w:ascii="Times New Roman" w:hAnsi="Times New Roman" w:cs="Times New Roman"/>
          <w:noProof/>
          <w:sz w:val="24"/>
          <w:szCs w:val="24"/>
          <w:lang w:val="sq-AL"/>
        </w:rPr>
        <w:t>ë</w:t>
      </w:r>
      <w:r w:rsidRPr="005F3112">
        <w:rPr>
          <w:rFonts w:ascii="Times New Roman" w:hAnsi="Times New Roman" w:cs="Times New Roman"/>
          <w:noProof/>
          <w:sz w:val="24"/>
          <w:szCs w:val="24"/>
          <w:lang w:val="sq-AL"/>
        </w:rPr>
        <w:t xml:space="preserve"> e autoriteteve publike dhe subjekteve private në lidhje me krijimin, zhvillimin dhe manaxhimin e sistemeve të infrastrukturës së informacionit, detyrimin e tyre për zbatimin e standardeve të teknologjisë së informacionit, përcaktimin e rregullave për </w:t>
      </w:r>
      <w:r w:rsidRPr="0053517F">
        <w:rPr>
          <w:rFonts w:ascii="Times New Roman" w:hAnsi="Times New Roman" w:cs="Times New Roman"/>
          <w:noProof/>
          <w:sz w:val="24"/>
          <w:szCs w:val="24"/>
          <w:lang w:val="sq-AL"/>
        </w:rPr>
        <w:t>krijimin dhe ofrimin e shërbimeve elektronike në Republikën e Shqipërisë, si dhe aksesin, përpunimin dhe protokollimin e dokumentit elektronik.</w:t>
      </w:r>
      <w:r w:rsidR="005F3112" w:rsidRPr="0053517F">
        <w:rPr>
          <w:rFonts w:ascii="Times New Roman" w:hAnsi="Times New Roman" w:cs="Times New Roman"/>
          <w:noProof/>
          <w:sz w:val="24"/>
          <w:szCs w:val="24"/>
          <w:lang w:val="sq-AL"/>
        </w:rPr>
        <w:t xml:space="preserve"> </w:t>
      </w:r>
      <w:r w:rsidR="005F3112" w:rsidRPr="0053517F">
        <w:rPr>
          <w:rFonts w:ascii="Times New Roman" w:hAnsi="Times New Roman" w:cs="Times New Roman"/>
          <w:sz w:val="24"/>
          <w:szCs w:val="24"/>
          <w:lang w:val="sq-AL"/>
        </w:rPr>
        <w:t xml:space="preserve">Nëpërmjet Dekretit Presidencial nr. 350, datë 1.10.2024, u miratuan ndryshimet në </w:t>
      </w:r>
      <w:r w:rsidR="00AE4065">
        <w:rPr>
          <w:rFonts w:ascii="Times New Roman" w:hAnsi="Times New Roman" w:cs="Times New Roman"/>
          <w:sz w:val="24"/>
          <w:szCs w:val="24"/>
          <w:lang w:val="sq-AL"/>
        </w:rPr>
        <w:t>l</w:t>
      </w:r>
      <w:r w:rsidR="005F3112" w:rsidRPr="0053517F">
        <w:rPr>
          <w:rFonts w:ascii="Times New Roman" w:hAnsi="Times New Roman" w:cs="Times New Roman"/>
          <w:sz w:val="24"/>
          <w:szCs w:val="24"/>
          <w:lang w:val="sq-AL"/>
        </w:rPr>
        <w:t xml:space="preserve">igjin 43/2023 </w:t>
      </w:r>
      <w:r w:rsidR="000024B5">
        <w:rPr>
          <w:rFonts w:ascii="Times New Roman" w:hAnsi="Times New Roman" w:cs="Times New Roman"/>
          <w:sz w:val="24"/>
          <w:szCs w:val="24"/>
          <w:lang w:val="sq-AL"/>
        </w:rPr>
        <w:t>“</w:t>
      </w:r>
      <w:r w:rsidR="005F3112" w:rsidRPr="000024B5">
        <w:rPr>
          <w:rFonts w:ascii="Times New Roman" w:hAnsi="Times New Roman" w:cs="Times New Roman"/>
          <w:i/>
          <w:iCs/>
          <w:sz w:val="24"/>
          <w:szCs w:val="24"/>
          <w:lang w:val="sq-AL"/>
        </w:rPr>
        <w:t>Për Qeverisjen Elektronike</w:t>
      </w:r>
      <w:r w:rsidR="000024B5">
        <w:rPr>
          <w:rFonts w:ascii="Times New Roman" w:hAnsi="Times New Roman" w:cs="Times New Roman"/>
          <w:sz w:val="24"/>
          <w:szCs w:val="24"/>
          <w:lang w:val="sq-AL"/>
        </w:rPr>
        <w:t>”</w:t>
      </w:r>
      <w:r w:rsidR="005F3112" w:rsidRPr="0053517F">
        <w:rPr>
          <w:rFonts w:ascii="Times New Roman" w:hAnsi="Times New Roman" w:cs="Times New Roman"/>
          <w:sz w:val="24"/>
          <w:szCs w:val="24"/>
          <w:lang w:val="sq-AL"/>
        </w:rPr>
        <w:t xml:space="preserve">, të cilat, ndër të tjera, parashikojnë ofrimin e shërbimit të nënshkrimit elektronik si për qytetarët shqiptarë ashtu edhe për ata të huaj. Ky ndryshim sjell shumë risi për qytetarët, duke përfshirë thjeshtimin e procedurave administrative, uljen e nevojës për printim dhe dorëzim fizik të dokumenteve, si dhe ofrimin e një mënyre të sigurt dhe më të lehtë për të nënshkruar dokumente. Ofrimi i shërbimeve të vërtetimit, nënshkrimeve elektronike, vulave </w:t>
      </w:r>
      <w:r w:rsidR="005F3112" w:rsidRPr="00B86DB8">
        <w:rPr>
          <w:rFonts w:ascii="Times New Roman" w:hAnsi="Times New Roman" w:cs="Times New Roman"/>
          <w:sz w:val="24"/>
          <w:szCs w:val="24"/>
          <w:lang w:val="sq-AL"/>
        </w:rPr>
        <w:t>elektronike dhe certifikatave elektronike për qytetarët shqiptarë dhe të huaj përmirëson efikasitetin dhe lehtëson aksesin në shërbimet qeveritare dhe bizneset.</w:t>
      </w:r>
    </w:p>
    <w:p w14:paraId="394B5C50" w14:textId="73CF4E45" w:rsidR="00B86DB8" w:rsidRPr="00B86DB8" w:rsidRDefault="00B86DB8" w:rsidP="005F3112">
      <w:pPr>
        <w:spacing w:before="120" w:after="120" w:line="276" w:lineRule="auto"/>
        <w:jc w:val="both"/>
        <w:rPr>
          <w:rFonts w:ascii="Times New Roman" w:hAnsi="Times New Roman" w:cs="Times New Roman"/>
          <w:sz w:val="24"/>
          <w:szCs w:val="24"/>
          <w:lang w:val="sq-AL"/>
        </w:rPr>
      </w:pPr>
      <w:r w:rsidRPr="00B86DB8">
        <w:rPr>
          <w:rFonts w:ascii="Times New Roman" w:hAnsi="Times New Roman"/>
          <w:sz w:val="24"/>
          <w:szCs w:val="24"/>
        </w:rPr>
        <w:t xml:space="preserve">Një prioritet kyç i Qeverisë Shqiptare në thellimin e agjendës për shërbime publike të aksesueshme dhe efikase mbetet thjeshtimi administrativ dhe reduktimi i barrës administrative në marrjen e shërbimeve. Në këtë drejtim, një Grup i dedikuar Ndërinstitucional Pune për derregullimin e procedurave administrative në funksion të shërbimeve publike të ofruara për qytetarët dhe bizneset u ngrit me urdhër të Kryeministrit në Dhjetor 2023. Grupi Ndërinstitucional i Punës u bashkëkryesua nga ministri i Drejtësisë (MD) dhe ministri i Shtetit për Sipërmarrjen dhe Klimën e Biznesit (MSHSKB) dhe përfshinte drejtorin e Përgjithshëm të Agjencisë për Dialog dhe Bashkëqeverisje, drejtorin e Përgjithshëm të Agjencisë Kombëtare të Shoqërisë së Informacionit, zëvendësministrat e ministrive kryesore, si dhe drejtues të agjencive vartëse. Grupi i punës luajti një rol të rëndësishëm në koordinimin e aktiviteteve dhe në sigurimin që të gjitha institucionet të kontribuonin në mënyrë të harmonizuar në proces. Në kuadër të procesit të derregullimit, janë analizuar gjithsej 282 shërbime publike të ofruara nga ministritë dhe institucionet e tyre vartëse. Këto përfshijnë shërbime që u ofrohen bizneseve në sektorë të ndryshëm si turizmi, mjedisi, arsimi, mbrojtja etj. Në total, 126 shërbime, ose 45% e totalit, do të përfshihen në procesin e përmirësimit, duke përfshirë reduktimin e dokumentacionit, shkurtimin e afateve dhe thjeshtimin e procedurave. </w:t>
      </w:r>
      <w:r w:rsidRPr="00B86DB8">
        <w:rPr>
          <w:rFonts w:ascii="Times New Roman" w:hAnsi="Times New Roman"/>
          <w:sz w:val="24"/>
          <w:szCs w:val="24"/>
        </w:rPr>
        <w:lastRenderedPageBreak/>
        <w:t>Për ofrimin e shërbimeve të përmirësuara, aktualisht kërkohen 999 dokumente. Pas analizave, është parashikuar eliminimi i 246 dokumenteve, që përfaqëson një ulje prej 25% të totalit të dokumenteve të kërkuara.</w:t>
      </w:r>
    </w:p>
    <w:p w14:paraId="5A2DFF6B" w14:textId="18241FCD" w:rsidR="003F531C" w:rsidRPr="00641640" w:rsidRDefault="0086473E" w:rsidP="003A395D">
      <w:pPr>
        <w:spacing w:line="276" w:lineRule="auto"/>
        <w:jc w:val="both"/>
        <w:rPr>
          <w:rFonts w:ascii="Times New Roman" w:eastAsia="Times New Roman" w:hAnsi="Times New Roman" w:cs="Times New Roman"/>
          <w:i/>
          <w:noProof/>
          <w:sz w:val="24"/>
          <w:szCs w:val="24"/>
          <w:lang w:val="sq-AL"/>
        </w:rPr>
      </w:pPr>
      <w:r w:rsidRPr="00B86DB8">
        <w:rPr>
          <w:rFonts w:ascii="Times New Roman" w:hAnsi="Times New Roman" w:cs="Times New Roman"/>
          <w:noProof/>
          <w:sz w:val="24"/>
          <w:szCs w:val="24"/>
          <w:lang w:val="sq-AL"/>
        </w:rPr>
        <w:t>Zh</w:t>
      </w:r>
      <w:r w:rsidR="00E21A88" w:rsidRPr="00B86DB8">
        <w:rPr>
          <w:rFonts w:ascii="Times New Roman" w:hAnsi="Times New Roman" w:cs="Times New Roman"/>
          <w:noProof/>
          <w:sz w:val="24"/>
          <w:szCs w:val="24"/>
          <w:lang w:val="sq-AL"/>
        </w:rPr>
        <w:t>villimet e m</w:t>
      </w:r>
      <w:r w:rsidR="00064AC5" w:rsidRPr="00B86DB8">
        <w:rPr>
          <w:rFonts w:ascii="Times New Roman" w:hAnsi="Times New Roman" w:cs="Times New Roman"/>
          <w:noProof/>
          <w:sz w:val="24"/>
          <w:szCs w:val="24"/>
          <w:lang w:val="sq-AL"/>
        </w:rPr>
        <w:t>ë</w:t>
      </w:r>
      <w:r w:rsidR="00E21A88" w:rsidRPr="00B86DB8">
        <w:rPr>
          <w:rFonts w:ascii="Times New Roman" w:hAnsi="Times New Roman" w:cs="Times New Roman"/>
          <w:noProof/>
          <w:sz w:val="24"/>
          <w:szCs w:val="24"/>
          <w:lang w:val="sq-AL"/>
        </w:rPr>
        <w:t>sip</w:t>
      </w:r>
      <w:r w:rsidR="00064AC5" w:rsidRPr="00B86DB8">
        <w:rPr>
          <w:rFonts w:ascii="Times New Roman" w:hAnsi="Times New Roman" w:cs="Times New Roman"/>
          <w:noProof/>
          <w:sz w:val="24"/>
          <w:szCs w:val="24"/>
          <w:lang w:val="sq-AL"/>
        </w:rPr>
        <w:t>ë</w:t>
      </w:r>
      <w:r w:rsidR="00E21A88" w:rsidRPr="00B86DB8">
        <w:rPr>
          <w:rFonts w:ascii="Times New Roman" w:hAnsi="Times New Roman" w:cs="Times New Roman"/>
          <w:noProof/>
          <w:sz w:val="24"/>
          <w:szCs w:val="24"/>
          <w:lang w:val="sq-AL"/>
        </w:rPr>
        <w:t xml:space="preserve">rme </w:t>
      </w:r>
      <w:r w:rsidR="00F4095F" w:rsidRPr="00B86DB8">
        <w:rPr>
          <w:rFonts w:ascii="Times New Roman" w:hAnsi="Times New Roman" w:cs="Times New Roman"/>
          <w:noProof/>
          <w:sz w:val="24"/>
          <w:szCs w:val="24"/>
          <w:lang w:val="sq-AL"/>
        </w:rPr>
        <w:t>kan</w:t>
      </w:r>
      <w:r w:rsidR="00870DCD" w:rsidRPr="00B86DB8">
        <w:rPr>
          <w:rFonts w:ascii="Times New Roman" w:hAnsi="Times New Roman" w:cs="Times New Roman"/>
          <w:noProof/>
          <w:sz w:val="24"/>
          <w:szCs w:val="24"/>
          <w:lang w:val="sq-AL"/>
        </w:rPr>
        <w:t>ë</w:t>
      </w:r>
      <w:r w:rsidR="00F4095F" w:rsidRPr="00B86DB8">
        <w:rPr>
          <w:rFonts w:ascii="Times New Roman" w:hAnsi="Times New Roman" w:cs="Times New Roman"/>
          <w:noProof/>
          <w:sz w:val="24"/>
          <w:szCs w:val="24"/>
          <w:lang w:val="sq-AL"/>
        </w:rPr>
        <w:t xml:space="preserve"> mund</w:t>
      </w:r>
      <w:r w:rsidR="00870DCD" w:rsidRPr="00B86DB8">
        <w:rPr>
          <w:rFonts w:ascii="Times New Roman" w:hAnsi="Times New Roman" w:cs="Times New Roman"/>
          <w:noProof/>
          <w:sz w:val="24"/>
          <w:szCs w:val="24"/>
          <w:lang w:val="sq-AL"/>
        </w:rPr>
        <w:t>ë</w:t>
      </w:r>
      <w:r w:rsidR="00F4095F" w:rsidRPr="00B86DB8">
        <w:rPr>
          <w:rFonts w:ascii="Times New Roman" w:hAnsi="Times New Roman" w:cs="Times New Roman"/>
          <w:noProof/>
          <w:sz w:val="24"/>
          <w:szCs w:val="24"/>
          <w:lang w:val="sq-AL"/>
        </w:rPr>
        <w:t>suar garantimin e nj</w:t>
      </w:r>
      <w:r w:rsidR="00870DCD" w:rsidRPr="00B86DB8">
        <w:rPr>
          <w:rFonts w:ascii="Times New Roman" w:hAnsi="Times New Roman" w:cs="Times New Roman"/>
          <w:noProof/>
          <w:sz w:val="24"/>
          <w:szCs w:val="24"/>
          <w:lang w:val="sq-AL"/>
        </w:rPr>
        <w:t>ë</w:t>
      </w:r>
      <w:r w:rsidR="00F4095F" w:rsidRPr="00B86DB8">
        <w:rPr>
          <w:rFonts w:ascii="Times New Roman" w:hAnsi="Times New Roman" w:cs="Times New Roman"/>
          <w:noProof/>
          <w:sz w:val="24"/>
          <w:szCs w:val="24"/>
          <w:lang w:val="sq-AL"/>
        </w:rPr>
        <w:t xml:space="preserve"> performance shum</w:t>
      </w:r>
      <w:r w:rsidR="00870DCD" w:rsidRPr="00B86DB8">
        <w:rPr>
          <w:rFonts w:ascii="Times New Roman" w:hAnsi="Times New Roman" w:cs="Times New Roman"/>
          <w:noProof/>
          <w:sz w:val="24"/>
          <w:szCs w:val="24"/>
          <w:lang w:val="sq-AL"/>
        </w:rPr>
        <w:t>ë</w:t>
      </w:r>
      <w:r w:rsidR="00F4095F" w:rsidRPr="00B86DB8">
        <w:rPr>
          <w:rFonts w:ascii="Times New Roman" w:hAnsi="Times New Roman" w:cs="Times New Roman"/>
          <w:noProof/>
          <w:sz w:val="24"/>
          <w:szCs w:val="24"/>
          <w:lang w:val="sq-AL"/>
        </w:rPr>
        <w:t xml:space="preserve"> t</w:t>
      </w:r>
      <w:r w:rsidR="00870DCD" w:rsidRPr="00B86DB8">
        <w:rPr>
          <w:rFonts w:ascii="Times New Roman" w:hAnsi="Times New Roman" w:cs="Times New Roman"/>
          <w:noProof/>
          <w:sz w:val="24"/>
          <w:szCs w:val="24"/>
          <w:lang w:val="sq-AL"/>
        </w:rPr>
        <w:t>ë</w:t>
      </w:r>
      <w:r w:rsidR="00F4095F" w:rsidRPr="00B86DB8">
        <w:rPr>
          <w:rFonts w:ascii="Times New Roman" w:hAnsi="Times New Roman" w:cs="Times New Roman"/>
          <w:noProof/>
          <w:sz w:val="24"/>
          <w:szCs w:val="24"/>
          <w:lang w:val="sq-AL"/>
        </w:rPr>
        <w:t xml:space="preserve"> k</w:t>
      </w:r>
      <w:r w:rsidR="00870DCD" w:rsidRPr="00B86DB8">
        <w:rPr>
          <w:rFonts w:ascii="Times New Roman" w:hAnsi="Times New Roman" w:cs="Times New Roman"/>
          <w:noProof/>
          <w:sz w:val="24"/>
          <w:szCs w:val="24"/>
          <w:lang w:val="sq-AL"/>
        </w:rPr>
        <w:t>ë</w:t>
      </w:r>
      <w:r w:rsidR="00F4095F" w:rsidRPr="00B86DB8">
        <w:rPr>
          <w:rFonts w:ascii="Times New Roman" w:hAnsi="Times New Roman" w:cs="Times New Roman"/>
          <w:noProof/>
          <w:sz w:val="24"/>
          <w:szCs w:val="24"/>
          <w:lang w:val="sq-AL"/>
        </w:rPr>
        <w:t>naqshme t</w:t>
      </w:r>
      <w:r w:rsidR="00870DCD" w:rsidRPr="00B86DB8">
        <w:rPr>
          <w:rFonts w:ascii="Times New Roman" w:hAnsi="Times New Roman" w:cs="Times New Roman"/>
          <w:noProof/>
          <w:sz w:val="24"/>
          <w:szCs w:val="24"/>
          <w:lang w:val="sq-AL"/>
        </w:rPr>
        <w:t>ë</w:t>
      </w:r>
      <w:r w:rsidR="00F4095F" w:rsidRPr="00B86DB8">
        <w:rPr>
          <w:rFonts w:ascii="Times New Roman" w:hAnsi="Times New Roman" w:cs="Times New Roman"/>
          <w:noProof/>
          <w:sz w:val="24"/>
          <w:szCs w:val="24"/>
          <w:lang w:val="sq-AL"/>
        </w:rPr>
        <w:t xml:space="preserve"> Shqip</w:t>
      </w:r>
      <w:r w:rsidR="00870DCD" w:rsidRPr="00B86DB8">
        <w:rPr>
          <w:rFonts w:ascii="Times New Roman" w:hAnsi="Times New Roman" w:cs="Times New Roman"/>
          <w:noProof/>
          <w:sz w:val="24"/>
          <w:szCs w:val="24"/>
          <w:lang w:val="sq-AL"/>
        </w:rPr>
        <w:t>ë</w:t>
      </w:r>
      <w:r w:rsidR="00F4095F" w:rsidRPr="00B86DB8">
        <w:rPr>
          <w:rFonts w:ascii="Times New Roman" w:hAnsi="Times New Roman" w:cs="Times New Roman"/>
          <w:noProof/>
          <w:sz w:val="24"/>
          <w:szCs w:val="24"/>
          <w:lang w:val="sq-AL"/>
        </w:rPr>
        <w:t>ris</w:t>
      </w:r>
      <w:r w:rsidR="00870DCD" w:rsidRPr="00B86DB8">
        <w:rPr>
          <w:rFonts w:ascii="Times New Roman" w:hAnsi="Times New Roman" w:cs="Times New Roman"/>
          <w:noProof/>
          <w:sz w:val="24"/>
          <w:szCs w:val="24"/>
          <w:lang w:val="sq-AL"/>
        </w:rPr>
        <w:t>ë</w:t>
      </w:r>
      <w:r w:rsidR="00F4095F" w:rsidRPr="00B86DB8">
        <w:rPr>
          <w:rFonts w:ascii="Times New Roman" w:hAnsi="Times New Roman" w:cs="Times New Roman"/>
          <w:noProof/>
          <w:sz w:val="24"/>
          <w:szCs w:val="24"/>
          <w:lang w:val="sq-AL"/>
        </w:rPr>
        <w:t xml:space="preserve"> n</w:t>
      </w:r>
      <w:r w:rsidR="00870DCD" w:rsidRPr="00B86DB8">
        <w:rPr>
          <w:rFonts w:ascii="Times New Roman" w:hAnsi="Times New Roman" w:cs="Times New Roman"/>
          <w:noProof/>
          <w:sz w:val="24"/>
          <w:szCs w:val="24"/>
          <w:lang w:val="sq-AL"/>
        </w:rPr>
        <w:t>ë</w:t>
      </w:r>
      <w:r w:rsidR="00F4095F" w:rsidRPr="00B86DB8">
        <w:rPr>
          <w:rFonts w:ascii="Times New Roman" w:hAnsi="Times New Roman" w:cs="Times New Roman"/>
          <w:noProof/>
          <w:sz w:val="24"/>
          <w:szCs w:val="24"/>
          <w:lang w:val="sq-AL"/>
        </w:rPr>
        <w:t xml:space="preserve"> Indeksin e Zhvillimit t</w:t>
      </w:r>
      <w:r w:rsidR="00870DCD" w:rsidRPr="00B86DB8">
        <w:rPr>
          <w:rFonts w:ascii="Times New Roman" w:hAnsi="Times New Roman" w:cs="Times New Roman"/>
          <w:noProof/>
          <w:sz w:val="24"/>
          <w:szCs w:val="24"/>
          <w:lang w:val="sq-AL"/>
        </w:rPr>
        <w:t>ë</w:t>
      </w:r>
      <w:r w:rsidR="00F4095F" w:rsidRPr="00B86DB8">
        <w:rPr>
          <w:rFonts w:ascii="Times New Roman" w:hAnsi="Times New Roman" w:cs="Times New Roman"/>
          <w:noProof/>
          <w:sz w:val="24"/>
          <w:szCs w:val="24"/>
          <w:lang w:val="sq-AL"/>
        </w:rPr>
        <w:t xml:space="preserve"> Qeverisjes Elektronike </w:t>
      </w:r>
      <w:r w:rsidR="00F4095F" w:rsidRPr="00641640">
        <w:rPr>
          <w:rFonts w:ascii="Times New Roman" w:hAnsi="Times New Roman" w:cs="Times New Roman"/>
          <w:noProof/>
          <w:sz w:val="24"/>
          <w:szCs w:val="24"/>
          <w:lang w:val="sq-AL"/>
        </w:rPr>
        <w:t xml:space="preserve">(EGDI), si i vetmi indeks global mbi qeverisjen elektronike, i cili e </w:t>
      </w:r>
      <w:r w:rsidR="001A7CC1" w:rsidRPr="00641640">
        <w:rPr>
          <w:rFonts w:ascii="Times New Roman" w:hAnsi="Times New Roman" w:cs="Times New Roman"/>
          <w:noProof/>
          <w:sz w:val="24"/>
          <w:szCs w:val="24"/>
          <w:lang w:val="sq-AL"/>
        </w:rPr>
        <w:t>rendit</w:t>
      </w:r>
      <w:r w:rsidR="00F4095F" w:rsidRPr="00641640">
        <w:rPr>
          <w:rFonts w:ascii="Times New Roman" w:hAnsi="Times New Roman" w:cs="Times New Roman"/>
          <w:noProof/>
          <w:sz w:val="24"/>
          <w:szCs w:val="24"/>
          <w:lang w:val="sq-AL"/>
        </w:rPr>
        <w:t xml:space="preserve"> Shqip</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rin</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 xml:space="preserve"> n</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 xml:space="preserve"> vendin e 62-t</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 xml:space="preserve"> n</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 xml:space="preserve"> rang bot</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ror</w:t>
      </w:r>
      <w:r w:rsidR="001A7CC1" w:rsidRPr="00641640">
        <w:rPr>
          <w:rFonts w:ascii="Times New Roman" w:hAnsi="Times New Roman" w:cs="Times New Roman"/>
          <w:noProof/>
          <w:sz w:val="24"/>
          <w:szCs w:val="24"/>
          <w:lang w:val="sq-AL"/>
        </w:rPr>
        <w:t xml:space="preserve"> p</w:t>
      </w:r>
      <w:r w:rsidR="00DA5C1F" w:rsidRPr="00641640">
        <w:rPr>
          <w:rFonts w:ascii="Times New Roman" w:hAnsi="Times New Roman" w:cs="Times New Roman"/>
          <w:noProof/>
          <w:sz w:val="24"/>
          <w:szCs w:val="24"/>
          <w:lang w:val="sq-AL"/>
        </w:rPr>
        <w:t>ë</w:t>
      </w:r>
      <w:r w:rsidR="001A7CC1" w:rsidRPr="00641640">
        <w:rPr>
          <w:rFonts w:ascii="Times New Roman" w:hAnsi="Times New Roman" w:cs="Times New Roman"/>
          <w:noProof/>
          <w:sz w:val="24"/>
          <w:szCs w:val="24"/>
          <w:lang w:val="sq-AL"/>
        </w:rPr>
        <w:t>r vitin 2024</w:t>
      </w:r>
      <w:r w:rsidR="00F4095F" w:rsidRPr="00641640">
        <w:rPr>
          <w:rFonts w:ascii="Times New Roman" w:hAnsi="Times New Roman" w:cs="Times New Roman"/>
          <w:noProof/>
          <w:sz w:val="24"/>
          <w:szCs w:val="24"/>
          <w:lang w:val="sq-AL"/>
        </w:rPr>
        <w:t>, nj</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 xml:space="preserve"> p</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rmir</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sim i ndjesh</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m nga renditja n</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 xml:space="preserve"> vendin e 82-t</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 xml:space="preserve"> n</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 xml:space="preserve"> vitin 2016.</w:t>
      </w:r>
      <w:r w:rsidR="00F4095F" w:rsidRPr="00641640">
        <w:rPr>
          <w:rStyle w:val="FootnoteReference"/>
          <w:rFonts w:ascii="Times New Roman" w:hAnsi="Times New Roman" w:cs="Times New Roman"/>
          <w:noProof/>
          <w:sz w:val="24"/>
          <w:szCs w:val="24"/>
          <w:lang w:val="sq-AL"/>
        </w:rPr>
        <w:footnoteReference w:id="53"/>
      </w:r>
      <w:r w:rsidR="00F4095F" w:rsidRPr="00641640">
        <w:rPr>
          <w:rFonts w:ascii="Times New Roman" w:hAnsi="Times New Roman" w:cs="Times New Roman"/>
          <w:noProof/>
          <w:sz w:val="24"/>
          <w:szCs w:val="24"/>
          <w:lang w:val="sq-AL"/>
        </w:rPr>
        <w:t xml:space="preserve"> </w:t>
      </w:r>
      <w:r w:rsidR="000B017B" w:rsidRPr="00641640">
        <w:rPr>
          <w:rFonts w:ascii="Times New Roman" w:eastAsia="Times New Roman" w:hAnsi="Times New Roman" w:cs="Times New Roman"/>
          <w:noProof/>
          <w:sz w:val="24"/>
          <w:szCs w:val="24"/>
          <w:lang w:val="sq-AL"/>
        </w:rPr>
        <w:t xml:space="preserve">Gjithashtu, Shqipëria renditet e 46-ta në botë sa i përket indikatorit </w:t>
      </w:r>
      <w:r w:rsidR="000B017B" w:rsidRPr="00641640">
        <w:rPr>
          <w:rFonts w:ascii="Times New Roman" w:eastAsia="Times New Roman" w:hAnsi="Times New Roman" w:cs="Times New Roman"/>
          <w:i/>
          <w:noProof/>
          <w:sz w:val="24"/>
          <w:szCs w:val="24"/>
          <w:lang w:val="sq-AL"/>
        </w:rPr>
        <w:t>Online Service Index (OSI).</w:t>
      </w:r>
    </w:p>
    <w:p w14:paraId="0DF777B7" w14:textId="77777777" w:rsidR="002A04F3" w:rsidRPr="00641640" w:rsidRDefault="002A04F3" w:rsidP="003A395D">
      <w:pPr>
        <w:spacing w:after="0" w:line="276" w:lineRule="auto"/>
        <w:jc w:val="both"/>
        <w:rPr>
          <w:rFonts w:ascii="Times New Roman" w:hAnsi="Times New Roman" w:cs="Times New Roman"/>
          <w:noProof/>
          <w:sz w:val="24"/>
          <w:szCs w:val="24"/>
          <w:lang w:val="sq-AL"/>
        </w:rPr>
      </w:pPr>
    </w:p>
    <w:p w14:paraId="3F8C8A24" w14:textId="0B5B9027" w:rsidR="00F4095F" w:rsidRPr="00641640" w:rsidRDefault="00F4095F" w:rsidP="003A395D">
      <w:pPr>
        <w:spacing w:line="276" w:lineRule="auto"/>
        <w:jc w:val="both"/>
        <w:rPr>
          <w:rFonts w:ascii="Times New Roman" w:hAnsi="Times New Roman" w:cs="Times New Roman"/>
          <w:b/>
          <w:bCs/>
          <w:i/>
          <w:iCs/>
          <w:noProof/>
          <w:sz w:val="24"/>
          <w:szCs w:val="24"/>
          <w:lang w:val="sq-AL"/>
        </w:rPr>
      </w:pPr>
      <w:r w:rsidRPr="00641640">
        <w:rPr>
          <w:rFonts w:ascii="Times New Roman" w:hAnsi="Times New Roman" w:cs="Times New Roman"/>
          <w:b/>
          <w:bCs/>
          <w:i/>
          <w:iCs/>
          <w:noProof/>
          <w:sz w:val="24"/>
          <w:szCs w:val="24"/>
          <w:lang w:val="sq-AL"/>
        </w:rPr>
        <w:t>Sfidat</w:t>
      </w:r>
    </w:p>
    <w:p w14:paraId="129A0883" w14:textId="312EF71D" w:rsidR="000662B0" w:rsidRPr="00641640" w:rsidRDefault="00BC4368"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Raporti më i fundit nga Komisioni Evropian për vitin 202</w:t>
      </w:r>
      <w:r w:rsidR="00E94D42" w:rsidRPr="00641640">
        <w:rPr>
          <w:rFonts w:ascii="Times New Roman" w:hAnsi="Times New Roman" w:cs="Times New Roman"/>
          <w:noProof/>
          <w:sz w:val="24"/>
          <w:szCs w:val="24"/>
          <w:lang w:val="sq-AL"/>
        </w:rPr>
        <w:t>4</w:t>
      </w:r>
      <w:r w:rsidRPr="00641640">
        <w:rPr>
          <w:rFonts w:ascii="Times New Roman" w:hAnsi="Times New Roman" w:cs="Times New Roman"/>
          <w:noProof/>
          <w:sz w:val="24"/>
          <w:szCs w:val="24"/>
          <w:lang w:val="sq-AL"/>
        </w:rPr>
        <w:t xml:space="preserve"> njeh përpjekjet që janë bërë nga Shqipëria </w:t>
      </w:r>
      <w:r w:rsidR="00E94D42"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E94D42" w:rsidRPr="00641640">
        <w:rPr>
          <w:rFonts w:ascii="Times New Roman" w:hAnsi="Times New Roman" w:cs="Times New Roman"/>
          <w:noProof/>
          <w:sz w:val="24"/>
          <w:szCs w:val="24"/>
          <w:lang w:val="sq-AL"/>
        </w:rPr>
        <w:t xml:space="preserve">r zgjerimin e </w:t>
      </w:r>
      <w:r w:rsidRPr="00641640">
        <w:rPr>
          <w:rFonts w:ascii="Times New Roman" w:hAnsi="Times New Roman" w:cs="Times New Roman"/>
          <w:noProof/>
          <w:sz w:val="24"/>
          <w:szCs w:val="24"/>
          <w:lang w:val="sq-AL"/>
        </w:rPr>
        <w:t>digjitalizimi</w:t>
      </w:r>
      <w:r w:rsidR="00E94D42" w:rsidRPr="00641640">
        <w:rPr>
          <w:rFonts w:ascii="Times New Roman" w:hAnsi="Times New Roman" w:cs="Times New Roman"/>
          <w:noProof/>
          <w:sz w:val="24"/>
          <w:szCs w:val="24"/>
          <w:lang w:val="sq-AL"/>
        </w:rPr>
        <w:t>t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shërbimeve publike, </w:t>
      </w:r>
      <w:r w:rsidR="00E67BA8" w:rsidRPr="00641640">
        <w:rPr>
          <w:rFonts w:ascii="Times New Roman" w:hAnsi="Times New Roman" w:cs="Times New Roman"/>
          <w:noProof/>
          <w:sz w:val="24"/>
          <w:szCs w:val="24"/>
          <w:lang w:val="sq-AL"/>
        </w:rPr>
        <w:t xml:space="preserve">si dhe </w:t>
      </w:r>
      <w:r w:rsidRPr="00641640">
        <w:rPr>
          <w:rFonts w:ascii="Times New Roman" w:hAnsi="Times New Roman" w:cs="Times New Roman"/>
          <w:noProof/>
          <w:sz w:val="24"/>
          <w:szCs w:val="24"/>
          <w:lang w:val="sq-AL"/>
        </w:rPr>
        <w:t xml:space="preserve">thekson nevojën për të siguruar qasje të barabartë në këto shërbime për qytetarët me njohuri të kufizuara në fushën e </w:t>
      </w:r>
      <w:r w:rsidR="008C49E8" w:rsidRPr="00641640">
        <w:rPr>
          <w:rFonts w:ascii="Times New Roman" w:hAnsi="Times New Roman" w:cs="Times New Roman"/>
          <w:noProof/>
          <w:sz w:val="24"/>
          <w:szCs w:val="24"/>
          <w:lang w:val="sq-AL"/>
        </w:rPr>
        <w:t>teknologjis</w:t>
      </w:r>
      <w:r w:rsidR="00870DCD" w:rsidRPr="00641640">
        <w:rPr>
          <w:rFonts w:ascii="Times New Roman" w:hAnsi="Times New Roman" w:cs="Times New Roman"/>
          <w:noProof/>
          <w:sz w:val="24"/>
          <w:szCs w:val="24"/>
          <w:lang w:val="sq-AL"/>
        </w:rPr>
        <w:t>ë</w:t>
      </w:r>
      <w:r w:rsidR="008C49E8" w:rsidRPr="00641640">
        <w:rPr>
          <w:rFonts w:ascii="Times New Roman" w:hAnsi="Times New Roman" w:cs="Times New Roman"/>
          <w:noProof/>
          <w:sz w:val="24"/>
          <w:szCs w:val="24"/>
          <w:lang w:val="sq-AL"/>
        </w:rPr>
        <w:t xml:space="preserve"> s</w:t>
      </w:r>
      <w:r w:rsidR="00870DCD" w:rsidRPr="00641640">
        <w:rPr>
          <w:rFonts w:ascii="Times New Roman" w:hAnsi="Times New Roman" w:cs="Times New Roman"/>
          <w:noProof/>
          <w:sz w:val="24"/>
          <w:szCs w:val="24"/>
          <w:lang w:val="sq-AL"/>
        </w:rPr>
        <w:t>ë</w:t>
      </w:r>
      <w:r w:rsidR="008C49E8" w:rsidRPr="00641640">
        <w:rPr>
          <w:rFonts w:ascii="Times New Roman" w:hAnsi="Times New Roman" w:cs="Times New Roman"/>
          <w:noProof/>
          <w:sz w:val="24"/>
          <w:szCs w:val="24"/>
          <w:lang w:val="sq-AL"/>
        </w:rPr>
        <w:t xml:space="preserve"> informacionit</w:t>
      </w:r>
      <w:r w:rsidRPr="00641640">
        <w:rPr>
          <w:rFonts w:ascii="Times New Roman" w:hAnsi="Times New Roman" w:cs="Times New Roman"/>
          <w:noProof/>
          <w:sz w:val="24"/>
          <w:szCs w:val="24"/>
          <w:lang w:val="sq-AL"/>
        </w:rPr>
        <w:t xml:space="preserve"> apo qasje të kufizuar në mjetet teknologjike, të cilat e vështirësojne marrjen e këtyre shërbimeve.</w:t>
      </w:r>
      <w:r w:rsidR="00E94D42" w:rsidRPr="00641640">
        <w:rPr>
          <w:rStyle w:val="FootnoteReference"/>
          <w:rFonts w:ascii="Times New Roman" w:hAnsi="Times New Roman" w:cs="Times New Roman"/>
          <w:noProof/>
          <w:sz w:val="24"/>
          <w:szCs w:val="24"/>
          <w:lang w:val="sq-AL"/>
        </w:rPr>
        <w:footnoteReference w:id="54"/>
      </w:r>
      <w:r w:rsidRPr="00641640">
        <w:rPr>
          <w:rFonts w:ascii="Times New Roman" w:hAnsi="Times New Roman" w:cs="Times New Roman"/>
          <w:noProof/>
          <w:sz w:val="24"/>
          <w:szCs w:val="24"/>
          <w:lang w:val="sq-AL"/>
        </w:rPr>
        <w:t xml:space="preserve"> </w:t>
      </w:r>
      <w:r w:rsidR="00E21A88" w:rsidRPr="00641640">
        <w:rPr>
          <w:rFonts w:ascii="Times New Roman" w:hAnsi="Times New Roman" w:cs="Times New Roman"/>
          <w:noProof/>
          <w:sz w:val="24"/>
          <w:szCs w:val="24"/>
          <w:lang w:val="sq-AL"/>
        </w:rPr>
        <w:t>N</w:t>
      </w:r>
      <w:r w:rsidR="00064AC5" w:rsidRPr="00641640">
        <w:rPr>
          <w:rFonts w:ascii="Times New Roman" w:hAnsi="Times New Roman" w:cs="Times New Roman"/>
          <w:noProof/>
          <w:sz w:val="24"/>
          <w:szCs w:val="24"/>
          <w:lang w:val="sq-AL"/>
        </w:rPr>
        <w:t>ë</w:t>
      </w:r>
      <w:r w:rsidR="00E21A88" w:rsidRPr="00641640">
        <w:rPr>
          <w:rFonts w:ascii="Times New Roman" w:hAnsi="Times New Roman" w:cs="Times New Roman"/>
          <w:noProof/>
          <w:sz w:val="24"/>
          <w:szCs w:val="24"/>
          <w:lang w:val="sq-AL"/>
        </w:rPr>
        <w:t xml:space="preserve"> k</w:t>
      </w:r>
      <w:r w:rsidR="00064AC5" w:rsidRPr="00641640">
        <w:rPr>
          <w:rFonts w:ascii="Times New Roman" w:hAnsi="Times New Roman" w:cs="Times New Roman"/>
          <w:noProof/>
          <w:sz w:val="24"/>
          <w:szCs w:val="24"/>
          <w:lang w:val="sq-AL"/>
        </w:rPr>
        <w:t>ë</w:t>
      </w:r>
      <w:r w:rsidR="00E21A88"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E21A88" w:rsidRPr="00641640">
        <w:rPr>
          <w:rFonts w:ascii="Times New Roman" w:hAnsi="Times New Roman" w:cs="Times New Roman"/>
          <w:noProof/>
          <w:sz w:val="24"/>
          <w:szCs w:val="24"/>
          <w:lang w:val="sq-AL"/>
        </w:rPr>
        <w:t xml:space="preserve"> drejtim, </w:t>
      </w:r>
      <w:r w:rsidRPr="00641640">
        <w:rPr>
          <w:rFonts w:ascii="Times New Roman" w:hAnsi="Times New Roman" w:cs="Times New Roman"/>
          <w:noProof/>
          <w:sz w:val="24"/>
          <w:szCs w:val="24"/>
          <w:lang w:val="sq-AL"/>
        </w:rPr>
        <w:t xml:space="preserve">objektivat </w:t>
      </w:r>
      <w:r w:rsidR="00E21A88" w:rsidRPr="00641640">
        <w:rPr>
          <w:rFonts w:ascii="Times New Roman" w:hAnsi="Times New Roman" w:cs="Times New Roman"/>
          <w:noProof/>
          <w:sz w:val="24"/>
          <w:szCs w:val="24"/>
          <w:lang w:val="sq-AL"/>
        </w:rPr>
        <w:t>dhe</w:t>
      </w:r>
      <w:r w:rsidRPr="00641640">
        <w:rPr>
          <w:rFonts w:ascii="Times New Roman" w:hAnsi="Times New Roman" w:cs="Times New Roman"/>
          <w:noProof/>
          <w:sz w:val="24"/>
          <w:szCs w:val="24"/>
          <w:lang w:val="sq-AL"/>
        </w:rPr>
        <w:t xml:space="preserve"> masat e parashikuara nën këtë shtyllë</w:t>
      </w:r>
      <w:r w:rsidR="00E67BA8" w:rsidRPr="00641640">
        <w:rPr>
          <w:rFonts w:ascii="Times New Roman" w:hAnsi="Times New Roman" w:cs="Times New Roman"/>
          <w:noProof/>
          <w:sz w:val="24"/>
          <w:szCs w:val="24"/>
          <w:lang w:val="sq-AL"/>
        </w:rPr>
        <w:t xml:space="preserve"> </w:t>
      </w:r>
      <w:r w:rsidR="00E21A88"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E21A88" w:rsidRPr="00641640">
        <w:rPr>
          <w:rFonts w:ascii="Times New Roman" w:hAnsi="Times New Roman" w:cs="Times New Roman"/>
          <w:noProof/>
          <w:sz w:val="24"/>
          <w:szCs w:val="24"/>
          <w:lang w:val="sq-AL"/>
        </w:rPr>
        <w:t xml:space="preserve"> Strategjis</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kanë për qëllim pikërisht përmirësimin e këtyre gjetjeve dhe minimizimin e hendekut mes qytetarëve</w:t>
      </w:r>
      <w:r w:rsidR="00E21A88" w:rsidRPr="00641640">
        <w:rPr>
          <w:rFonts w:ascii="Times New Roman" w:hAnsi="Times New Roman" w:cs="Times New Roman"/>
          <w:noProof/>
          <w:sz w:val="24"/>
          <w:szCs w:val="24"/>
          <w:lang w:val="sq-AL"/>
        </w:rPr>
        <w:t xml:space="preserve"> e</w:t>
      </w:r>
      <w:r w:rsidRPr="00641640">
        <w:rPr>
          <w:rFonts w:ascii="Times New Roman" w:hAnsi="Times New Roman" w:cs="Times New Roman"/>
          <w:noProof/>
          <w:sz w:val="24"/>
          <w:szCs w:val="24"/>
          <w:lang w:val="sq-AL"/>
        </w:rPr>
        <w:t xml:space="preserve"> bizneseve dhe aksesi</w:t>
      </w:r>
      <w:r w:rsidR="00E21A88" w:rsidRPr="00641640">
        <w:rPr>
          <w:rFonts w:ascii="Times New Roman" w:hAnsi="Times New Roman" w:cs="Times New Roman"/>
          <w:noProof/>
          <w:sz w:val="24"/>
          <w:szCs w:val="24"/>
          <w:lang w:val="sq-AL"/>
        </w:rPr>
        <w:t>t t</w:t>
      </w:r>
      <w:r w:rsidR="00064AC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tyre në shërbime. </w:t>
      </w:r>
    </w:p>
    <w:p w14:paraId="4D85CE28" w14:textId="599A5B05" w:rsidR="000A4C3D" w:rsidRPr="00641640" w:rsidRDefault="001A7CC1"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Gjithashtu, masat synojn</w:t>
      </w:r>
      <w:r w:rsidR="00DA5C1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w:t>
      </w:r>
      <w:r w:rsidR="00DA5C1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adresojn</w:t>
      </w:r>
      <w:r w:rsidR="00DA5C1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edhe fragmentarizimin e kuadrit p</w:t>
      </w:r>
      <w:r w:rsidR="00DA5C1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politikat e ofrimit t</w:t>
      </w:r>
      <w:r w:rsidR="00DA5C1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sh</w:t>
      </w:r>
      <w:r w:rsidR="00DA5C1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rbimeve si nj</w:t>
      </w:r>
      <w:r w:rsidR="00DA5C1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gjetje e evidentuar n</w:t>
      </w:r>
      <w:r w:rsidR="00DA5C1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Raportin e vitit 2024 nga SIGMA.</w:t>
      </w:r>
      <w:r w:rsidRPr="00641640">
        <w:rPr>
          <w:rStyle w:val="FootnoteReference"/>
          <w:rFonts w:ascii="Times New Roman" w:hAnsi="Times New Roman" w:cs="Times New Roman"/>
          <w:noProof/>
          <w:sz w:val="24"/>
          <w:szCs w:val="24"/>
          <w:lang w:val="sq-AL"/>
        </w:rPr>
        <w:footnoteReference w:id="55"/>
      </w:r>
      <w:r w:rsidRPr="00641640">
        <w:rPr>
          <w:rFonts w:ascii="Times New Roman" w:hAnsi="Times New Roman" w:cs="Times New Roman"/>
          <w:noProof/>
          <w:sz w:val="24"/>
          <w:szCs w:val="24"/>
          <w:lang w:val="sq-AL"/>
        </w:rPr>
        <w:t xml:space="preserve"> </w:t>
      </w:r>
      <w:r w:rsidR="00741693" w:rsidRPr="00641640">
        <w:rPr>
          <w:rFonts w:ascii="Times New Roman" w:hAnsi="Times New Roman" w:cs="Times New Roman"/>
          <w:noProof/>
          <w:sz w:val="24"/>
          <w:szCs w:val="24"/>
          <w:lang w:val="sq-AL"/>
        </w:rPr>
        <w:t xml:space="preserve">Ndër masat prioritare që duhet të ndërmerren në </w:t>
      </w:r>
      <w:r w:rsidRPr="00641640">
        <w:rPr>
          <w:rFonts w:ascii="Times New Roman" w:hAnsi="Times New Roman" w:cs="Times New Roman"/>
          <w:noProof/>
          <w:sz w:val="24"/>
          <w:szCs w:val="24"/>
          <w:lang w:val="sq-AL"/>
        </w:rPr>
        <w:t>k</w:t>
      </w:r>
      <w:r w:rsidR="00DA5C1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t</w:t>
      </w:r>
      <w:r w:rsidR="00DA5C1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drejtim </w:t>
      </w:r>
      <w:r w:rsidR="00741693" w:rsidRPr="00641640">
        <w:rPr>
          <w:rFonts w:ascii="Times New Roman" w:hAnsi="Times New Roman" w:cs="Times New Roman"/>
          <w:noProof/>
          <w:sz w:val="24"/>
          <w:szCs w:val="24"/>
          <w:lang w:val="sq-AL"/>
        </w:rPr>
        <w:t>theksohet nevoja për krijimin e një mekanizmi të përhershëm koordinimi ndërinstitucional, i cili do të sigurojë një qasje të integruar për hartimin dhe ofrimin e shërbimeve publike në tërësi. Një tjetër prioritet i rëndësishëm është përmirësimi i platformës e-Albania, duke garantuar</w:t>
      </w:r>
      <w:r w:rsidRPr="00641640">
        <w:rPr>
          <w:rFonts w:ascii="Times New Roman" w:hAnsi="Times New Roman" w:cs="Times New Roman"/>
          <w:noProof/>
          <w:sz w:val="24"/>
          <w:szCs w:val="24"/>
          <w:lang w:val="sq-AL"/>
        </w:rPr>
        <w:t>, mes t</w:t>
      </w:r>
      <w:r w:rsidR="00DA5C1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tjerash, edhe</w:t>
      </w:r>
      <w:r w:rsidR="00741693" w:rsidRPr="00641640">
        <w:rPr>
          <w:rFonts w:ascii="Times New Roman" w:hAnsi="Times New Roman" w:cs="Times New Roman"/>
          <w:noProof/>
          <w:sz w:val="24"/>
          <w:szCs w:val="24"/>
          <w:lang w:val="sq-AL"/>
        </w:rPr>
        <w:t xml:space="preserve"> mbledhjen dhe analizimin e rregullt të të dhënave mbi përdor</w:t>
      </w:r>
      <w:r w:rsidR="000A4C3D" w:rsidRPr="00641640">
        <w:rPr>
          <w:rFonts w:ascii="Times New Roman" w:hAnsi="Times New Roman" w:cs="Times New Roman"/>
          <w:noProof/>
          <w:sz w:val="24"/>
          <w:szCs w:val="24"/>
          <w:lang w:val="sq-AL"/>
        </w:rPr>
        <w:t>imin</w:t>
      </w:r>
      <w:r w:rsidR="00741693" w:rsidRPr="00641640">
        <w:rPr>
          <w:rFonts w:ascii="Times New Roman" w:hAnsi="Times New Roman" w:cs="Times New Roman"/>
          <w:noProof/>
          <w:sz w:val="24"/>
          <w:szCs w:val="24"/>
          <w:lang w:val="sq-AL"/>
        </w:rPr>
        <w:t xml:space="preserve"> e saj</w:t>
      </w:r>
      <w:r w:rsidRPr="00641640">
        <w:rPr>
          <w:rFonts w:ascii="Times New Roman" w:hAnsi="Times New Roman" w:cs="Times New Roman"/>
          <w:noProof/>
          <w:sz w:val="24"/>
          <w:szCs w:val="24"/>
          <w:lang w:val="sq-AL"/>
        </w:rPr>
        <w:t xml:space="preserve"> bazuar n</w:t>
      </w:r>
      <w:r w:rsidR="00DA5C1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w:t>
      </w:r>
      <w:r w:rsidR="00DA5C1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rkufizime dhe kritere t</w:t>
      </w:r>
      <w:r w:rsidR="00DA5C1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mir</w:t>
      </w:r>
      <w:r w:rsidR="00DA5C1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p</w:t>
      </w:r>
      <w:r w:rsidR="00DA5C1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rcaktuara</w:t>
      </w:r>
      <w:r w:rsidR="00741693" w:rsidRPr="00641640">
        <w:rPr>
          <w:rFonts w:ascii="Times New Roman" w:hAnsi="Times New Roman" w:cs="Times New Roman"/>
          <w:noProof/>
          <w:sz w:val="24"/>
          <w:szCs w:val="24"/>
          <w:lang w:val="sq-AL"/>
        </w:rPr>
        <w:t xml:space="preserve">, përfshirë shkallën e përfundimit të proceseve, kohën e kërkuar për navigim drejt shërbimeve të duhura dhe kohën e nevojshme për plotësimin e formularëve. Këto </w:t>
      </w:r>
      <w:r w:rsidR="00870DCD" w:rsidRPr="00641640">
        <w:rPr>
          <w:rFonts w:ascii="Times New Roman" w:hAnsi="Times New Roman" w:cs="Times New Roman"/>
          <w:noProof/>
          <w:sz w:val="24"/>
          <w:szCs w:val="24"/>
          <w:lang w:val="sq-AL"/>
        </w:rPr>
        <w:t>p</w:t>
      </w:r>
      <w:r w:rsidR="007C1ABD" w:rsidRPr="00641640">
        <w:rPr>
          <w:rFonts w:ascii="Times New Roman" w:hAnsi="Times New Roman" w:cs="Times New Roman"/>
          <w:noProof/>
          <w:sz w:val="24"/>
          <w:szCs w:val="24"/>
          <w:lang w:val="sq-AL"/>
        </w:rPr>
        <w:t>ë</w:t>
      </w:r>
      <w:r w:rsidR="00870DCD" w:rsidRPr="00641640">
        <w:rPr>
          <w:rFonts w:ascii="Times New Roman" w:hAnsi="Times New Roman" w:cs="Times New Roman"/>
          <w:noProof/>
          <w:sz w:val="24"/>
          <w:szCs w:val="24"/>
          <w:lang w:val="sq-AL"/>
        </w:rPr>
        <w:t>rpjekje do t</w:t>
      </w:r>
      <w:r w:rsidR="007C1ABD" w:rsidRPr="00641640">
        <w:rPr>
          <w:rFonts w:ascii="Times New Roman" w:hAnsi="Times New Roman" w:cs="Times New Roman"/>
          <w:noProof/>
          <w:sz w:val="24"/>
          <w:szCs w:val="24"/>
          <w:lang w:val="sq-AL"/>
        </w:rPr>
        <w:t>ë</w:t>
      </w:r>
      <w:r w:rsidR="00870DCD" w:rsidRPr="00641640">
        <w:rPr>
          <w:rFonts w:ascii="Times New Roman" w:hAnsi="Times New Roman" w:cs="Times New Roman"/>
          <w:noProof/>
          <w:sz w:val="24"/>
          <w:szCs w:val="24"/>
          <w:lang w:val="sq-AL"/>
        </w:rPr>
        <w:t xml:space="preserve"> garantojn</w:t>
      </w:r>
      <w:r w:rsidR="007C1ABD" w:rsidRPr="00641640">
        <w:rPr>
          <w:rFonts w:ascii="Times New Roman" w:hAnsi="Times New Roman" w:cs="Times New Roman"/>
          <w:noProof/>
          <w:sz w:val="24"/>
          <w:szCs w:val="24"/>
          <w:lang w:val="sq-AL"/>
        </w:rPr>
        <w:t>ë</w:t>
      </w:r>
      <w:r w:rsidR="00870DCD" w:rsidRPr="00641640">
        <w:rPr>
          <w:rFonts w:ascii="Times New Roman" w:hAnsi="Times New Roman" w:cs="Times New Roman"/>
          <w:noProof/>
          <w:sz w:val="24"/>
          <w:szCs w:val="24"/>
          <w:lang w:val="sq-AL"/>
        </w:rPr>
        <w:t xml:space="preserve"> </w:t>
      </w:r>
      <w:r w:rsidR="000A4C3D" w:rsidRPr="00641640">
        <w:rPr>
          <w:rFonts w:ascii="Times New Roman" w:hAnsi="Times New Roman" w:cs="Times New Roman"/>
          <w:noProof/>
          <w:sz w:val="24"/>
          <w:szCs w:val="24"/>
          <w:lang w:val="sq-AL"/>
        </w:rPr>
        <w:t>përmirësim</w:t>
      </w:r>
      <w:r w:rsidR="00267C47" w:rsidRPr="00641640">
        <w:rPr>
          <w:rFonts w:ascii="Times New Roman" w:hAnsi="Times New Roman" w:cs="Times New Roman"/>
          <w:noProof/>
          <w:sz w:val="24"/>
          <w:szCs w:val="24"/>
          <w:lang w:val="sq-AL"/>
        </w:rPr>
        <w:t>in</w:t>
      </w:r>
      <w:r w:rsidR="000A4C3D" w:rsidRPr="00641640">
        <w:rPr>
          <w:rFonts w:ascii="Times New Roman" w:hAnsi="Times New Roman" w:cs="Times New Roman"/>
          <w:noProof/>
          <w:sz w:val="24"/>
          <w:szCs w:val="24"/>
          <w:lang w:val="sq-AL"/>
        </w:rPr>
        <w:t xml:space="preserve"> </w:t>
      </w:r>
      <w:r w:rsidR="00267C47" w:rsidRPr="00641640">
        <w:rPr>
          <w:rFonts w:ascii="Times New Roman" w:hAnsi="Times New Roman" w:cs="Times New Roman"/>
          <w:noProof/>
          <w:sz w:val="24"/>
          <w:szCs w:val="24"/>
          <w:lang w:val="sq-AL"/>
        </w:rPr>
        <w:t>e</w:t>
      </w:r>
      <w:r w:rsidR="000A4C3D" w:rsidRPr="00641640">
        <w:rPr>
          <w:rFonts w:ascii="Times New Roman" w:hAnsi="Times New Roman" w:cs="Times New Roman"/>
          <w:noProof/>
          <w:sz w:val="24"/>
          <w:szCs w:val="24"/>
          <w:lang w:val="sq-AL"/>
        </w:rPr>
        <w:t xml:space="preserve"> q</w:t>
      </w:r>
      <w:r w:rsidR="006802E2" w:rsidRPr="00641640">
        <w:rPr>
          <w:rFonts w:ascii="Times New Roman" w:hAnsi="Times New Roman" w:cs="Times New Roman"/>
          <w:noProof/>
          <w:sz w:val="24"/>
          <w:szCs w:val="24"/>
          <w:lang w:val="sq-AL"/>
        </w:rPr>
        <w:t>e</w:t>
      </w:r>
      <w:r w:rsidR="000A4C3D" w:rsidRPr="00641640">
        <w:rPr>
          <w:rFonts w:ascii="Times New Roman" w:hAnsi="Times New Roman" w:cs="Times New Roman"/>
          <w:noProof/>
          <w:sz w:val="24"/>
          <w:szCs w:val="24"/>
          <w:lang w:val="sq-AL"/>
        </w:rPr>
        <w:t>ndruesh</w:t>
      </w:r>
      <w:r w:rsidR="007C1ABD" w:rsidRPr="00641640">
        <w:rPr>
          <w:rFonts w:ascii="Times New Roman" w:hAnsi="Times New Roman" w:cs="Times New Roman"/>
          <w:noProof/>
          <w:sz w:val="24"/>
          <w:szCs w:val="24"/>
          <w:lang w:val="sq-AL"/>
        </w:rPr>
        <w:t>ë</w:t>
      </w:r>
      <w:r w:rsidR="000A4C3D" w:rsidRPr="00641640">
        <w:rPr>
          <w:rFonts w:ascii="Times New Roman" w:hAnsi="Times New Roman" w:cs="Times New Roman"/>
          <w:noProof/>
          <w:sz w:val="24"/>
          <w:szCs w:val="24"/>
          <w:lang w:val="sq-AL"/>
        </w:rPr>
        <w:t>m dhe të matsh</w:t>
      </w:r>
      <w:r w:rsidR="007C1ABD" w:rsidRPr="00641640">
        <w:rPr>
          <w:rFonts w:ascii="Times New Roman" w:hAnsi="Times New Roman" w:cs="Times New Roman"/>
          <w:noProof/>
          <w:sz w:val="24"/>
          <w:szCs w:val="24"/>
          <w:lang w:val="sq-AL"/>
        </w:rPr>
        <w:t>ë</w:t>
      </w:r>
      <w:r w:rsidR="00267C47" w:rsidRPr="00641640">
        <w:rPr>
          <w:rFonts w:ascii="Times New Roman" w:hAnsi="Times New Roman" w:cs="Times New Roman"/>
          <w:noProof/>
          <w:sz w:val="24"/>
          <w:szCs w:val="24"/>
          <w:lang w:val="sq-AL"/>
        </w:rPr>
        <w:t>m</w:t>
      </w:r>
      <w:r w:rsidR="000A4C3D" w:rsidRPr="00641640">
        <w:rPr>
          <w:rFonts w:ascii="Times New Roman" w:hAnsi="Times New Roman" w:cs="Times New Roman"/>
          <w:noProof/>
          <w:sz w:val="24"/>
          <w:szCs w:val="24"/>
          <w:lang w:val="sq-AL"/>
        </w:rPr>
        <w:t xml:space="preserve"> në sistemin e qeverisjes digjitale</w:t>
      </w:r>
      <w:r w:rsidR="00870DCD" w:rsidRPr="00641640">
        <w:rPr>
          <w:rFonts w:ascii="Times New Roman" w:hAnsi="Times New Roman" w:cs="Times New Roman"/>
          <w:noProof/>
          <w:sz w:val="24"/>
          <w:szCs w:val="24"/>
          <w:lang w:val="sq-AL"/>
        </w:rPr>
        <w:t>, duke kontribuar në rritjen e efikasitetit dhe përvojës së përdoruesve</w:t>
      </w:r>
      <w:r w:rsidRPr="00641640">
        <w:rPr>
          <w:rFonts w:ascii="Times New Roman" w:hAnsi="Times New Roman" w:cs="Times New Roman"/>
          <w:noProof/>
          <w:sz w:val="24"/>
          <w:szCs w:val="24"/>
          <w:lang w:val="sq-AL"/>
        </w:rPr>
        <w:t>.</w:t>
      </w:r>
    </w:p>
    <w:p w14:paraId="26CE0817" w14:textId="2974B7F6" w:rsidR="00FD2165" w:rsidRPr="00641640" w:rsidRDefault="00ED28E9"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Me</w:t>
      </w:r>
      <w:r w:rsidR="006802E2"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q</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llim </w:t>
      </w:r>
      <w:r w:rsidR="00FD2165" w:rsidRPr="00641640">
        <w:rPr>
          <w:rFonts w:ascii="Times New Roman" w:hAnsi="Times New Roman" w:cs="Times New Roman"/>
          <w:noProof/>
          <w:sz w:val="24"/>
          <w:szCs w:val="24"/>
          <w:lang w:val="sq-AL"/>
        </w:rPr>
        <w:t>ri-inxhinierimin e sh</w:t>
      </w:r>
      <w:r w:rsidR="00870DCD"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rbimeve, suksesi i deritanish</w:t>
      </w:r>
      <w:r w:rsidR="00870DCD"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m i</w:t>
      </w:r>
      <w:r w:rsidRPr="00641640">
        <w:rPr>
          <w:rFonts w:ascii="Times New Roman" w:hAnsi="Times New Roman" w:cs="Times New Roman"/>
          <w:noProof/>
          <w:sz w:val="24"/>
          <w:szCs w:val="24"/>
          <w:lang w:val="sq-AL"/>
        </w:rPr>
        <w:t xml:space="preserve"> Grupit</w:t>
      </w:r>
      <w:r w:rsidR="00FD2165" w:rsidRPr="00641640">
        <w:rPr>
          <w:rFonts w:ascii="Times New Roman" w:hAnsi="Times New Roman" w:cs="Times New Roman"/>
          <w:noProof/>
          <w:sz w:val="24"/>
          <w:szCs w:val="24"/>
          <w:lang w:val="sq-AL"/>
        </w:rPr>
        <w:t xml:space="preserve"> ekzistues</w:t>
      </w:r>
      <w:r w:rsidRPr="00641640">
        <w:rPr>
          <w:rFonts w:ascii="Times New Roman" w:hAnsi="Times New Roman" w:cs="Times New Roman"/>
          <w:noProof/>
          <w:sz w:val="24"/>
          <w:szCs w:val="24"/>
          <w:lang w:val="sq-AL"/>
        </w:rPr>
        <w:t xml:space="preserve"> Nd</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rinstitucional t</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Pun</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 duhet t</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00FD2165" w:rsidRPr="00641640">
        <w:rPr>
          <w:rFonts w:ascii="Times New Roman" w:hAnsi="Times New Roman" w:cs="Times New Roman"/>
          <w:noProof/>
          <w:sz w:val="24"/>
          <w:szCs w:val="24"/>
          <w:lang w:val="sq-AL"/>
        </w:rPr>
        <w:t>konsolidohet n</w:t>
      </w:r>
      <w:r w:rsidR="00870DCD"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një mekanizëm të përhershëm</w:t>
      </w:r>
      <w:r w:rsidR="00FD2165" w:rsidRPr="00641640">
        <w:rPr>
          <w:rFonts w:ascii="Times New Roman" w:hAnsi="Times New Roman" w:cs="Times New Roman"/>
          <w:noProof/>
          <w:sz w:val="24"/>
          <w:szCs w:val="24"/>
          <w:lang w:val="sq-AL"/>
        </w:rPr>
        <w:t xml:space="preserve"> dhe t</w:t>
      </w:r>
      <w:r w:rsidR="00870DCD"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 xml:space="preserve"> dedikuar p</w:t>
      </w:r>
      <w:r w:rsidR="00870DCD"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 xml:space="preserve">r </w:t>
      </w:r>
      <w:r w:rsidRPr="00641640">
        <w:rPr>
          <w:rFonts w:ascii="Times New Roman" w:hAnsi="Times New Roman" w:cs="Times New Roman"/>
          <w:noProof/>
          <w:sz w:val="24"/>
          <w:szCs w:val="24"/>
          <w:lang w:val="sq-AL"/>
        </w:rPr>
        <w:t xml:space="preserve">reduktimin e barrës administrative përmes analizave të detajuara </w:t>
      </w:r>
      <w:r w:rsidRPr="00641640">
        <w:rPr>
          <w:rFonts w:ascii="Times New Roman" w:hAnsi="Times New Roman" w:cs="Times New Roman"/>
          <w:i/>
          <w:noProof/>
          <w:sz w:val="24"/>
          <w:szCs w:val="24"/>
          <w:lang w:val="sq-AL"/>
        </w:rPr>
        <w:t>ex-ante</w:t>
      </w:r>
      <w:r w:rsidRPr="00641640">
        <w:rPr>
          <w:rFonts w:ascii="Times New Roman" w:hAnsi="Times New Roman" w:cs="Times New Roman"/>
          <w:noProof/>
          <w:sz w:val="24"/>
          <w:szCs w:val="24"/>
          <w:lang w:val="sq-AL"/>
        </w:rPr>
        <w:t xml:space="preserve"> të ligjeve dhe </w:t>
      </w:r>
      <w:r w:rsidRPr="00641640">
        <w:rPr>
          <w:rFonts w:ascii="Times New Roman" w:hAnsi="Times New Roman" w:cs="Times New Roman"/>
          <w:noProof/>
          <w:sz w:val="24"/>
          <w:szCs w:val="24"/>
          <w:lang w:val="sq-AL"/>
        </w:rPr>
        <w:lastRenderedPageBreak/>
        <w:t xml:space="preserve">rregulloreve dytësore dhe analizave </w:t>
      </w:r>
      <w:r w:rsidRPr="00641640">
        <w:rPr>
          <w:rFonts w:ascii="Times New Roman" w:hAnsi="Times New Roman" w:cs="Times New Roman"/>
          <w:i/>
          <w:noProof/>
          <w:sz w:val="24"/>
          <w:szCs w:val="24"/>
          <w:lang w:val="sq-AL"/>
        </w:rPr>
        <w:t>ex-post</w:t>
      </w:r>
      <w:r w:rsidRPr="00641640">
        <w:rPr>
          <w:rFonts w:ascii="Times New Roman" w:hAnsi="Times New Roman" w:cs="Times New Roman"/>
          <w:noProof/>
          <w:sz w:val="24"/>
          <w:szCs w:val="24"/>
          <w:lang w:val="sq-AL"/>
        </w:rPr>
        <w:t xml:space="preserve"> për të identifikuar dhe eliminuar pengesat aktuale</w:t>
      </w:r>
      <w:r w:rsidR="00FD2165" w:rsidRPr="00641640">
        <w:rPr>
          <w:rFonts w:ascii="Times New Roman" w:hAnsi="Times New Roman" w:cs="Times New Roman"/>
          <w:noProof/>
          <w:sz w:val="24"/>
          <w:szCs w:val="24"/>
          <w:lang w:val="sq-AL"/>
        </w:rPr>
        <w:t xml:space="preserve"> q</w:t>
      </w:r>
      <w:r w:rsidR="00870DCD"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 xml:space="preserve"> v</w:t>
      </w:r>
      <w:r w:rsidR="00870DCD"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rehen</w:t>
      </w:r>
      <w:r w:rsidRPr="00641640">
        <w:rPr>
          <w:rFonts w:ascii="Times New Roman" w:hAnsi="Times New Roman" w:cs="Times New Roman"/>
          <w:noProof/>
          <w:sz w:val="24"/>
          <w:szCs w:val="24"/>
          <w:lang w:val="sq-AL"/>
        </w:rPr>
        <w:t xml:space="preserve"> në praktikë.</w:t>
      </w:r>
    </w:p>
    <w:p w14:paraId="6EF24E15" w14:textId="14183C80" w:rsidR="00FD2165" w:rsidRPr="00641640" w:rsidRDefault="00870DCD"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Si n</w:t>
      </w:r>
      <w:r w:rsidR="00FD2165" w:rsidRPr="00641640">
        <w:rPr>
          <w:rFonts w:ascii="Times New Roman" w:hAnsi="Times New Roman" w:cs="Times New Roman"/>
          <w:noProof/>
          <w:sz w:val="24"/>
          <w:szCs w:val="24"/>
          <w:lang w:val="sq-AL"/>
        </w:rPr>
        <w:t>j</w:t>
      </w:r>
      <w:r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 xml:space="preserve"> tjet</w:t>
      </w:r>
      <w:r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 xml:space="preserve">r hap drejt </w:t>
      </w:r>
      <w:r w:rsidRPr="00641640">
        <w:rPr>
          <w:rFonts w:ascii="Times New Roman" w:hAnsi="Times New Roman" w:cs="Times New Roman"/>
          <w:noProof/>
          <w:sz w:val="24"/>
          <w:szCs w:val="24"/>
          <w:lang w:val="sq-AL"/>
        </w:rPr>
        <w:t xml:space="preserve">konsolidimit </w:t>
      </w:r>
      <w:r w:rsidR="00FD2165" w:rsidRPr="00641640">
        <w:rPr>
          <w:rFonts w:ascii="Times New Roman" w:hAnsi="Times New Roman" w:cs="Times New Roman"/>
          <w:noProof/>
          <w:sz w:val="24"/>
          <w:szCs w:val="24"/>
          <w:lang w:val="sq-AL"/>
        </w:rPr>
        <w:t>t</w:t>
      </w:r>
      <w:r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 xml:space="preserve"> një administrate gjithëpërfshirëse dhe të aksesueshme</w:t>
      </w:r>
      <w:r w:rsidR="00C135BE" w:rsidRPr="00641640">
        <w:rPr>
          <w:rFonts w:ascii="Times New Roman" w:hAnsi="Times New Roman" w:cs="Times New Roman"/>
          <w:noProof/>
          <w:sz w:val="24"/>
          <w:szCs w:val="24"/>
          <w:lang w:val="sq-AL"/>
        </w:rPr>
        <w:t>,</w:t>
      </w:r>
      <w:r w:rsidR="007035F2" w:rsidRPr="00641640">
        <w:rPr>
          <w:rFonts w:ascii="Times New Roman" w:hAnsi="Times New Roman" w:cs="Times New Roman"/>
          <w:noProof/>
          <w:sz w:val="24"/>
          <w:szCs w:val="24"/>
          <w:lang w:val="sq-AL"/>
        </w:rPr>
        <w:t xml:space="preserve"> </w:t>
      </w:r>
      <w:r w:rsidR="00FD2165" w:rsidRPr="00641640">
        <w:rPr>
          <w:rFonts w:ascii="Times New Roman" w:hAnsi="Times New Roman" w:cs="Times New Roman"/>
          <w:noProof/>
          <w:sz w:val="24"/>
          <w:szCs w:val="24"/>
          <w:lang w:val="sq-AL"/>
        </w:rPr>
        <w:t xml:space="preserve">aksesi në ndërtesat publike </w:t>
      </w:r>
      <w:r w:rsidRPr="00641640">
        <w:rPr>
          <w:rFonts w:ascii="Times New Roman" w:hAnsi="Times New Roman" w:cs="Times New Roman"/>
          <w:noProof/>
          <w:sz w:val="24"/>
          <w:szCs w:val="24"/>
          <w:lang w:val="sq-AL"/>
        </w:rPr>
        <w:t>duhet t</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garantohet p</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t</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gjith</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qytetar</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t </w:t>
      </w:r>
      <w:r w:rsidR="00FD2165" w:rsidRPr="00641640">
        <w:rPr>
          <w:rFonts w:ascii="Times New Roman" w:hAnsi="Times New Roman" w:cs="Times New Roman"/>
          <w:noProof/>
          <w:sz w:val="24"/>
          <w:szCs w:val="24"/>
          <w:lang w:val="sq-AL"/>
        </w:rPr>
        <w:t>p</w:t>
      </w:r>
      <w:r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rmes politikave t</w:t>
      </w:r>
      <w:r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 xml:space="preserve"> dedikuara </w:t>
      </w:r>
      <w:r w:rsidRPr="00641640">
        <w:rPr>
          <w:rFonts w:ascii="Times New Roman" w:hAnsi="Times New Roman" w:cs="Times New Roman"/>
          <w:noProof/>
          <w:sz w:val="24"/>
          <w:szCs w:val="24"/>
          <w:lang w:val="sq-AL"/>
        </w:rPr>
        <w:t>p</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 </w:t>
      </w:r>
      <w:r w:rsidR="00FD2165" w:rsidRPr="00641640">
        <w:rPr>
          <w:rFonts w:ascii="Times New Roman" w:hAnsi="Times New Roman" w:cs="Times New Roman"/>
          <w:noProof/>
          <w:sz w:val="24"/>
          <w:szCs w:val="24"/>
          <w:lang w:val="sq-AL"/>
        </w:rPr>
        <w:t>qasje të barabartë n</w:t>
      </w:r>
      <w:r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 xml:space="preserve"> sh</w:t>
      </w:r>
      <w:r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rbimet publike dhe mbështetje adekuate për grupet e pafavorizuara</w:t>
      </w:r>
      <w:r w:rsidRPr="00641640">
        <w:rPr>
          <w:rFonts w:ascii="Times New Roman" w:hAnsi="Times New Roman" w:cs="Times New Roman"/>
          <w:noProof/>
          <w:sz w:val="24"/>
          <w:szCs w:val="24"/>
          <w:lang w:val="sq-AL"/>
        </w:rPr>
        <w:t xml:space="preserve"> si n</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marrjen e sh</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rbimeve digjitale, ashtu edhe </w:t>
      </w:r>
      <w:r w:rsidR="00FD2165" w:rsidRPr="00641640">
        <w:rPr>
          <w:rFonts w:ascii="Times New Roman" w:hAnsi="Times New Roman" w:cs="Times New Roman"/>
          <w:noProof/>
          <w:sz w:val="24"/>
          <w:szCs w:val="24"/>
          <w:lang w:val="sq-AL"/>
        </w:rPr>
        <w:t>për ndërveprimet e nevojshme fizike p</w:t>
      </w:r>
      <w:r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 xml:space="preserve">r marrjen e tyre. </w:t>
      </w:r>
    </w:p>
    <w:p w14:paraId="4670E038" w14:textId="50F95CF4" w:rsidR="00F4095F" w:rsidRPr="00641640" w:rsidRDefault="007035F2"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Puna</w:t>
      </w:r>
      <w:r w:rsidR="00FD2165" w:rsidRPr="00641640">
        <w:rPr>
          <w:rFonts w:ascii="Times New Roman" w:hAnsi="Times New Roman" w:cs="Times New Roman"/>
          <w:noProof/>
          <w:sz w:val="24"/>
          <w:szCs w:val="24"/>
          <w:lang w:val="sq-AL"/>
        </w:rPr>
        <w:t xml:space="preserve"> për adoptimin e portofolit </w:t>
      </w:r>
      <w:r w:rsidR="00FD2165" w:rsidRPr="00EB58FA">
        <w:rPr>
          <w:rFonts w:ascii="Times New Roman" w:hAnsi="Times New Roman" w:cs="Times New Roman"/>
          <w:noProof/>
          <w:sz w:val="24"/>
          <w:szCs w:val="24"/>
          <w:lang w:val="sq-AL"/>
        </w:rPr>
        <w:t>elektronik (</w:t>
      </w:r>
      <w:r w:rsidR="00FD2165" w:rsidRPr="00EB58FA">
        <w:rPr>
          <w:rFonts w:ascii="Times New Roman" w:hAnsi="Times New Roman" w:cs="Times New Roman"/>
          <w:i/>
          <w:noProof/>
          <w:sz w:val="24"/>
          <w:szCs w:val="24"/>
          <w:lang w:val="sq-AL"/>
        </w:rPr>
        <w:t>e-</w:t>
      </w:r>
      <w:r w:rsidR="00C6773F" w:rsidRPr="00EB58FA">
        <w:rPr>
          <w:rFonts w:ascii="Times New Roman" w:hAnsi="Times New Roman" w:cs="Times New Roman"/>
          <w:i/>
          <w:noProof/>
          <w:sz w:val="24"/>
          <w:szCs w:val="24"/>
          <w:lang w:val="sq-AL"/>
        </w:rPr>
        <w:t>w</w:t>
      </w:r>
      <w:r w:rsidR="00D31B5B" w:rsidRPr="00EB58FA">
        <w:rPr>
          <w:rFonts w:ascii="Times New Roman" w:hAnsi="Times New Roman" w:cs="Times New Roman"/>
          <w:i/>
          <w:noProof/>
          <w:sz w:val="24"/>
          <w:szCs w:val="24"/>
          <w:lang w:val="sq-AL"/>
        </w:rPr>
        <w:t>allet</w:t>
      </w:r>
      <w:r w:rsidR="00FD2165" w:rsidRPr="00EB58FA">
        <w:rPr>
          <w:rFonts w:ascii="Times New Roman" w:hAnsi="Times New Roman" w:cs="Times New Roman"/>
          <w:noProof/>
          <w:sz w:val="24"/>
          <w:szCs w:val="24"/>
          <w:lang w:val="sq-AL"/>
        </w:rPr>
        <w:t>)</w:t>
      </w:r>
      <w:r w:rsidR="00FD2165" w:rsidRPr="00641640">
        <w:rPr>
          <w:rFonts w:ascii="Times New Roman" w:hAnsi="Times New Roman" w:cs="Times New Roman"/>
          <w:noProof/>
          <w:sz w:val="24"/>
          <w:szCs w:val="24"/>
          <w:lang w:val="sq-AL"/>
        </w:rPr>
        <w:t xml:space="preserve"> dhe mjeteve të tjera inovative mbetet nj</w:t>
      </w:r>
      <w:r w:rsidR="00870DCD"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 xml:space="preserve"> tjet</w:t>
      </w:r>
      <w:r w:rsidR="00870DCD"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r angazhim prioritar q</w:t>
      </w:r>
      <w:r w:rsidR="00870DCD"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 xml:space="preserve"> premton të lehtësojë qasjen e qytetarëve në shërbime të personalizuara dhe të sigurta, duke fuqizuar më tej harmonizimin e vendit me standardet digjitale europiane. Paralelisht, mbetet nj</w:t>
      </w:r>
      <w:r w:rsidR="00870DCD"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 xml:space="preserve"> sfid</w:t>
      </w:r>
      <w:r w:rsidR="00870DCD"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 xml:space="preserve"> p</w:t>
      </w:r>
      <w:r w:rsidR="00870DCD"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 xml:space="preserve">r adresim </w:t>
      </w:r>
      <w:r w:rsidR="00F4095F" w:rsidRPr="00641640">
        <w:rPr>
          <w:rFonts w:ascii="Times New Roman" w:hAnsi="Times New Roman" w:cs="Times New Roman"/>
          <w:noProof/>
          <w:sz w:val="24"/>
          <w:szCs w:val="24"/>
          <w:lang w:val="sq-AL"/>
        </w:rPr>
        <w:t xml:space="preserve">edhe </w:t>
      </w:r>
      <w:r w:rsidR="00FD2165" w:rsidRPr="00641640">
        <w:rPr>
          <w:rFonts w:ascii="Times New Roman" w:hAnsi="Times New Roman" w:cs="Times New Roman"/>
          <w:noProof/>
          <w:sz w:val="24"/>
          <w:szCs w:val="24"/>
          <w:lang w:val="sq-AL"/>
        </w:rPr>
        <w:t xml:space="preserve">garantimi </w:t>
      </w:r>
      <w:r w:rsidR="00F4095F" w:rsidRPr="00641640">
        <w:rPr>
          <w:rFonts w:ascii="Times New Roman" w:hAnsi="Times New Roman" w:cs="Times New Roman"/>
          <w:noProof/>
          <w:sz w:val="24"/>
          <w:szCs w:val="24"/>
          <w:lang w:val="sq-AL"/>
        </w:rPr>
        <w:t>i</w:t>
      </w:r>
      <w:r w:rsidR="00FD2165" w:rsidRPr="00641640">
        <w:rPr>
          <w:rFonts w:ascii="Times New Roman" w:hAnsi="Times New Roman" w:cs="Times New Roman"/>
          <w:noProof/>
          <w:sz w:val="24"/>
          <w:szCs w:val="24"/>
          <w:lang w:val="sq-AL"/>
        </w:rPr>
        <w:t xml:space="preserve"> </w:t>
      </w:r>
      <w:r w:rsidR="00F4095F" w:rsidRPr="00641640">
        <w:rPr>
          <w:rFonts w:ascii="Times New Roman" w:hAnsi="Times New Roman" w:cs="Times New Roman"/>
          <w:noProof/>
          <w:sz w:val="24"/>
          <w:szCs w:val="24"/>
          <w:lang w:val="sq-AL"/>
        </w:rPr>
        <w:t>ri</w:t>
      </w:r>
      <w:r w:rsidR="00FD2165" w:rsidRPr="00641640">
        <w:rPr>
          <w:rFonts w:ascii="Times New Roman" w:hAnsi="Times New Roman" w:cs="Times New Roman"/>
          <w:noProof/>
          <w:sz w:val="24"/>
          <w:szCs w:val="24"/>
          <w:lang w:val="sq-AL"/>
        </w:rPr>
        <w:t>p</w:t>
      </w:r>
      <w:r w:rsidR="00870DCD"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rdorimit t</w:t>
      </w:r>
      <w:r w:rsidR="00870DCD"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 xml:space="preserve"> zgjidhjeve digjitale nga institucionet publike </w:t>
      </w:r>
      <w:r w:rsidR="00F4095F" w:rsidRPr="00641640">
        <w:rPr>
          <w:rFonts w:ascii="Times New Roman" w:hAnsi="Times New Roman" w:cs="Times New Roman"/>
          <w:noProof/>
          <w:sz w:val="24"/>
          <w:szCs w:val="24"/>
          <w:lang w:val="sq-AL"/>
        </w:rPr>
        <w:t>q</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 xml:space="preserve"> aktualisht jan</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 xml:space="preserve"> jasht</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 xml:space="preserve"> fush</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s s</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 xml:space="preserve"> kompetencave t</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 xml:space="preserve"> AKSHI-t, me synim mund</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simin e rip</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rdorimit t</w:t>
      </w:r>
      <w:r w:rsidR="00870DCD" w:rsidRPr="00641640">
        <w:rPr>
          <w:rFonts w:ascii="Times New Roman" w:hAnsi="Times New Roman" w:cs="Times New Roman"/>
          <w:noProof/>
          <w:sz w:val="24"/>
          <w:szCs w:val="24"/>
          <w:lang w:val="sq-AL"/>
        </w:rPr>
        <w:t>ë</w:t>
      </w:r>
      <w:r w:rsidR="00F4095F" w:rsidRPr="00641640">
        <w:rPr>
          <w:rFonts w:ascii="Times New Roman" w:hAnsi="Times New Roman" w:cs="Times New Roman"/>
          <w:noProof/>
          <w:sz w:val="24"/>
          <w:szCs w:val="24"/>
          <w:lang w:val="sq-AL"/>
        </w:rPr>
        <w:t xml:space="preserve"> tyre n</w:t>
      </w:r>
      <w:r w:rsidR="00FD2165" w:rsidRPr="00641640">
        <w:rPr>
          <w:rFonts w:ascii="Times New Roman" w:hAnsi="Times New Roman" w:cs="Times New Roman"/>
          <w:noProof/>
          <w:sz w:val="24"/>
          <w:szCs w:val="24"/>
          <w:lang w:val="sq-AL"/>
        </w:rPr>
        <w:t>ë mënyrë sa më efikase dhe të mir</w:t>
      </w:r>
      <w:r w:rsidR="00870DCD" w:rsidRPr="00641640">
        <w:rPr>
          <w:rFonts w:ascii="Times New Roman" w:hAnsi="Times New Roman" w:cs="Times New Roman"/>
          <w:noProof/>
          <w:sz w:val="24"/>
          <w:szCs w:val="24"/>
          <w:lang w:val="sq-AL"/>
        </w:rPr>
        <w:t>ë</w:t>
      </w:r>
      <w:r w:rsidR="00FD2165" w:rsidRPr="00641640">
        <w:rPr>
          <w:rFonts w:ascii="Times New Roman" w:hAnsi="Times New Roman" w:cs="Times New Roman"/>
          <w:noProof/>
          <w:sz w:val="24"/>
          <w:szCs w:val="24"/>
          <w:lang w:val="sq-AL"/>
        </w:rPr>
        <w:t>koordinuar</w:t>
      </w:r>
      <w:r w:rsidR="00F4095F" w:rsidRPr="00641640">
        <w:rPr>
          <w:rFonts w:ascii="Times New Roman" w:hAnsi="Times New Roman" w:cs="Times New Roman"/>
          <w:noProof/>
          <w:sz w:val="24"/>
          <w:szCs w:val="24"/>
          <w:lang w:val="sq-AL"/>
        </w:rPr>
        <w:t>.</w:t>
      </w:r>
      <w:r w:rsidR="00FD2165" w:rsidRPr="00641640">
        <w:rPr>
          <w:rFonts w:ascii="Times New Roman" w:hAnsi="Times New Roman" w:cs="Times New Roman"/>
          <w:noProof/>
          <w:sz w:val="24"/>
          <w:szCs w:val="24"/>
          <w:lang w:val="sq-AL"/>
        </w:rPr>
        <w:t xml:space="preserve"> </w:t>
      </w:r>
    </w:p>
    <w:p w14:paraId="3C80B2E0" w14:textId="422D2A88" w:rsidR="005A6D02" w:rsidRPr="00641640" w:rsidRDefault="00F4095F"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Gjithashtu, për të garantuar një përdorim të plotë dhe efektiv të shërbimeve digjitale, duhet të ndërmerren hapa për fuqizimin e aftësive digjitale të qytetarëve dhe punonjësve të administratës publike, duke siguruar rritjen e ndërgjegjësimit p</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 </w:t>
      </w:r>
      <w:r w:rsidR="007035F2" w:rsidRPr="00641640">
        <w:rPr>
          <w:rFonts w:ascii="Times New Roman" w:hAnsi="Times New Roman" w:cs="Times New Roman"/>
          <w:noProof/>
          <w:sz w:val="24"/>
          <w:szCs w:val="24"/>
          <w:lang w:val="sq-AL"/>
        </w:rPr>
        <w:t>higjen</w:t>
      </w:r>
      <w:r w:rsidR="007C1ABD" w:rsidRPr="00641640">
        <w:rPr>
          <w:rFonts w:ascii="Times New Roman" w:hAnsi="Times New Roman" w:cs="Times New Roman"/>
          <w:noProof/>
          <w:sz w:val="24"/>
          <w:szCs w:val="24"/>
          <w:lang w:val="sq-AL"/>
        </w:rPr>
        <w:t>ë</w:t>
      </w:r>
      <w:r w:rsidR="007035F2" w:rsidRPr="00641640">
        <w:rPr>
          <w:rFonts w:ascii="Times New Roman" w:hAnsi="Times New Roman" w:cs="Times New Roman"/>
          <w:noProof/>
          <w:sz w:val="24"/>
          <w:szCs w:val="24"/>
          <w:lang w:val="sq-AL"/>
        </w:rPr>
        <w:t xml:space="preserve">n kibernetike, si dhe </w:t>
      </w:r>
      <w:r w:rsidRPr="00641640">
        <w:rPr>
          <w:rFonts w:ascii="Times New Roman" w:hAnsi="Times New Roman" w:cs="Times New Roman"/>
          <w:noProof/>
          <w:sz w:val="24"/>
          <w:szCs w:val="24"/>
          <w:lang w:val="sq-AL"/>
        </w:rPr>
        <w:t>avantazhet dhe rreziqet e p</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rdorimit t</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teknologjis</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Nj</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mas</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e r</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nd</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sishme dhe komplementare n</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t</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drejtim paraqitet forcimi i masave për sigurinë digjitale, duke vendosur standarde më të larta në sigurinë kibernetike dhe duke garantuar privatësinë e qytetarëve në të gjitha ndërveprimet e tyre digjital</w:t>
      </w:r>
      <w:r w:rsidR="001B1570" w:rsidRPr="00641640">
        <w:rPr>
          <w:rFonts w:ascii="Times New Roman" w:hAnsi="Times New Roman" w:cs="Times New Roman"/>
          <w:noProof/>
          <w:sz w:val="24"/>
          <w:szCs w:val="24"/>
          <w:lang w:val="sq-AL"/>
        </w:rPr>
        <w:t>e.</w:t>
      </w:r>
      <w:bookmarkStart w:id="23" w:name="_Toc189510621"/>
    </w:p>
    <w:p w14:paraId="69556597" w14:textId="77777777" w:rsidR="00F04D7B" w:rsidRPr="00641640" w:rsidRDefault="00F04D7B" w:rsidP="003A395D">
      <w:pPr>
        <w:spacing w:line="276" w:lineRule="auto"/>
        <w:jc w:val="both"/>
        <w:rPr>
          <w:rFonts w:ascii="Times New Roman" w:hAnsi="Times New Roman" w:cs="Times New Roman"/>
          <w:noProof/>
          <w:sz w:val="24"/>
          <w:szCs w:val="24"/>
          <w:lang w:val="sq-AL"/>
        </w:rPr>
      </w:pPr>
    </w:p>
    <w:p w14:paraId="6B2EA23F" w14:textId="463CFF3C" w:rsidR="00FF3A56" w:rsidRPr="00641640" w:rsidRDefault="005A6D02" w:rsidP="003A395D">
      <w:pPr>
        <w:spacing w:line="276" w:lineRule="auto"/>
        <w:jc w:val="both"/>
        <w:rPr>
          <w:rFonts w:ascii="Times New Roman" w:hAnsi="Times New Roman" w:cs="Times New Roman"/>
          <w:b/>
          <w:bCs/>
          <w:noProof/>
          <w:color w:val="C45911" w:themeColor="accent2" w:themeShade="BF"/>
          <w:sz w:val="24"/>
          <w:szCs w:val="24"/>
          <w:lang w:val="sq-AL"/>
        </w:rPr>
      </w:pPr>
      <w:r w:rsidRPr="00641640">
        <w:rPr>
          <w:rFonts w:ascii="Times New Roman" w:hAnsi="Times New Roman" w:cs="Times New Roman"/>
          <w:b/>
          <w:bCs/>
          <w:noProof/>
          <w:color w:val="C45911" w:themeColor="accent2" w:themeShade="BF"/>
          <w:sz w:val="24"/>
          <w:szCs w:val="24"/>
          <w:lang w:val="sq-AL"/>
        </w:rPr>
        <w:t xml:space="preserve">2.4 </w:t>
      </w:r>
      <w:r w:rsidR="00653240" w:rsidRPr="00641640">
        <w:rPr>
          <w:rFonts w:ascii="Times New Roman" w:hAnsi="Times New Roman" w:cs="Times New Roman"/>
          <w:b/>
          <w:bCs/>
          <w:noProof/>
          <w:color w:val="C45911" w:themeColor="accent2" w:themeShade="BF"/>
          <w:sz w:val="24"/>
          <w:szCs w:val="24"/>
          <w:lang w:val="sq-AL"/>
        </w:rPr>
        <w:t>Arritjet dhe sfidat</w:t>
      </w:r>
      <w:r w:rsidR="00C33CC1" w:rsidRPr="00641640">
        <w:rPr>
          <w:rFonts w:ascii="Times New Roman" w:hAnsi="Times New Roman" w:cs="Times New Roman"/>
          <w:b/>
          <w:bCs/>
          <w:noProof/>
          <w:color w:val="C45911" w:themeColor="accent2" w:themeShade="BF"/>
          <w:sz w:val="24"/>
          <w:szCs w:val="24"/>
          <w:lang w:val="sq-AL"/>
        </w:rPr>
        <w:t xml:space="preserve"> në o</w:t>
      </w:r>
      <w:r w:rsidR="00FD49EE" w:rsidRPr="00641640">
        <w:rPr>
          <w:rFonts w:ascii="Times New Roman" w:hAnsi="Times New Roman" w:cs="Times New Roman"/>
          <w:b/>
          <w:bCs/>
          <w:noProof/>
          <w:color w:val="C45911" w:themeColor="accent2" w:themeShade="BF"/>
          <w:sz w:val="24"/>
          <w:szCs w:val="24"/>
          <w:lang w:val="sq-AL"/>
        </w:rPr>
        <w:t>rganizimi</w:t>
      </w:r>
      <w:r w:rsidR="00C33CC1" w:rsidRPr="00641640">
        <w:rPr>
          <w:rFonts w:ascii="Times New Roman" w:hAnsi="Times New Roman" w:cs="Times New Roman"/>
          <w:b/>
          <w:bCs/>
          <w:noProof/>
          <w:color w:val="C45911" w:themeColor="accent2" w:themeShade="BF"/>
          <w:sz w:val="24"/>
          <w:szCs w:val="24"/>
          <w:lang w:val="sq-AL"/>
        </w:rPr>
        <w:t>n</w:t>
      </w:r>
      <w:r w:rsidR="00FD49EE" w:rsidRPr="00641640">
        <w:rPr>
          <w:rFonts w:ascii="Times New Roman" w:hAnsi="Times New Roman" w:cs="Times New Roman"/>
          <w:b/>
          <w:bCs/>
          <w:noProof/>
          <w:color w:val="C45911" w:themeColor="accent2" w:themeShade="BF"/>
          <w:sz w:val="24"/>
          <w:szCs w:val="24"/>
          <w:lang w:val="sq-AL"/>
        </w:rPr>
        <w:t xml:space="preserve">, </w:t>
      </w:r>
      <w:r w:rsidR="001C53B6" w:rsidRPr="00641640">
        <w:rPr>
          <w:rFonts w:ascii="Times New Roman" w:hAnsi="Times New Roman" w:cs="Times New Roman"/>
          <w:b/>
          <w:bCs/>
          <w:noProof/>
          <w:color w:val="C45911" w:themeColor="accent2" w:themeShade="BF"/>
          <w:sz w:val="24"/>
          <w:szCs w:val="24"/>
          <w:lang w:val="sq-AL"/>
        </w:rPr>
        <w:t>llogaridhënien</w:t>
      </w:r>
      <w:r w:rsidR="00FD49EE" w:rsidRPr="00641640">
        <w:rPr>
          <w:rFonts w:ascii="Times New Roman" w:hAnsi="Times New Roman" w:cs="Times New Roman"/>
          <w:b/>
          <w:bCs/>
          <w:noProof/>
          <w:color w:val="C45911" w:themeColor="accent2" w:themeShade="BF"/>
          <w:sz w:val="24"/>
          <w:szCs w:val="24"/>
          <w:lang w:val="sq-AL"/>
        </w:rPr>
        <w:t xml:space="preserve"> dhe mbik</w:t>
      </w:r>
      <w:r w:rsidR="00BC4368" w:rsidRPr="00641640">
        <w:rPr>
          <w:rFonts w:ascii="Times New Roman" w:hAnsi="Times New Roman" w:cs="Times New Roman"/>
          <w:b/>
          <w:bCs/>
          <w:noProof/>
          <w:color w:val="C45911" w:themeColor="accent2" w:themeShade="BF"/>
          <w:sz w:val="24"/>
          <w:szCs w:val="24"/>
          <w:lang w:val="sq-AL"/>
        </w:rPr>
        <w:t>ë</w:t>
      </w:r>
      <w:r w:rsidR="00FD49EE" w:rsidRPr="00641640">
        <w:rPr>
          <w:rFonts w:ascii="Times New Roman" w:hAnsi="Times New Roman" w:cs="Times New Roman"/>
          <w:b/>
          <w:bCs/>
          <w:noProof/>
          <w:color w:val="C45911" w:themeColor="accent2" w:themeShade="BF"/>
          <w:sz w:val="24"/>
          <w:szCs w:val="24"/>
          <w:lang w:val="sq-AL"/>
        </w:rPr>
        <w:t>qyrj</w:t>
      </w:r>
      <w:r w:rsidR="00C33CC1" w:rsidRPr="00641640">
        <w:rPr>
          <w:rFonts w:ascii="Times New Roman" w:hAnsi="Times New Roman" w:cs="Times New Roman"/>
          <w:b/>
          <w:bCs/>
          <w:noProof/>
          <w:color w:val="C45911" w:themeColor="accent2" w:themeShade="BF"/>
          <w:sz w:val="24"/>
          <w:szCs w:val="24"/>
          <w:lang w:val="sq-AL"/>
        </w:rPr>
        <w:t>en</w:t>
      </w:r>
      <w:r w:rsidR="00FD49EE" w:rsidRPr="00641640">
        <w:rPr>
          <w:rFonts w:ascii="Times New Roman" w:hAnsi="Times New Roman" w:cs="Times New Roman"/>
          <w:b/>
          <w:bCs/>
          <w:noProof/>
          <w:color w:val="C45911" w:themeColor="accent2" w:themeShade="BF"/>
          <w:sz w:val="24"/>
          <w:szCs w:val="24"/>
          <w:lang w:val="sq-AL"/>
        </w:rPr>
        <w:t xml:space="preserve"> e administratës</w:t>
      </w:r>
      <w:bookmarkEnd w:id="23"/>
    </w:p>
    <w:p w14:paraId="7B690EC2" w14:textId="15D577CA" w:rsidR="00D404B0" w:rsidRPr="00641640" w:rsidRDefault="00BC4368"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Organizimi dhe funksionimi i administrat</w:t>
      </w:r>
      <w:bookmarkStart w:id="24" w:name="_Hlk158192161"/>
      <w:r w:rsidRPr="00641640">
        <w:rPr>
          <w:rFonts w:ascii="Times New Roman" w:hAnsi="Times New Roman" w:cs="Times New Roman"/>
          <w:noProof/>
          <w:sz w:val="24"/>
          <w:szCs w:val="24"/>
          <w:lang w:val="sq-AL"/>
        </w:rPr>
        <w:t>ë</w:t>
      </w:r>
      <w:bookmarkEnd w:id="24"/>
      <w:r w:rsidRPr="00641640">
        <w:rPr>
          <w:rFonts w:ascii="Times New Roman" w:hAnsi="Times New Roman" w:cs="Times New Roman"/>
          <w:noProof/>
          <w:sz w:val="24"/>
          <w:szCs w:val="24"/>
          <w:lang w:val="sq-AL"/>
        </w:rPr>
        <w:t xml:space="preserve">s publike mbështetet dhe rregullohet nga ligji nr. 90/2012 </w:t>
      </w:r>
      <w:r w:rsidR="00F63A9B" w:rsidRPr="00641640">
        <w:rPr>
          <w:rFonts w:ascii="Times New Roman" w:hAnsi="Times New Roman" w:cs="Times New Roman"/>
          <w:noProof/>
          <w:sz w:val="24"/>
          <w:szCs w:val="24"/>
          <w:lang w:val="sq-AL"/>
        </w:rPr>
        <w:t>“</w:t>
      </w:r>
      <w:r w:rsidR="00F63A9B" w:rsidRPr="007150B1">
        <w:rPr>
          <w:rFonts w:ascii="Times New Roman" w:hAnsi="Times New Roman" w:cs="Times New Roman"/>
          <w:i/>
          <w:iCs/>
          <w:noProof/>
          <w:sz w:val="24"/>
          <w:szCs w:val="24"/>
          <w:lang w:val="sq-AL"/>
        </w:rPr>
        <w:t>P</w:t>
      </w:r>
      <w:r w:rsidR="00870DCD" w:rsidRPr="007150B1">
        <w:rPr>
          <w:rFonts w:ascii="Times New Roman" w:hAnsi="Times New Roman" w:cs="Times New Roman"/>
          <w:i/>
          <w:iCs/>
          <w:noProof/>
          <w:sz w:val="24"/>
          <w:szCs w:val="24"/>
          <w:lang w:val="sq-AL"/>
        </w:rPr>
        <w:t>ë</w:t>
      </w:r>
      <w:r w:rsidR="00F63A9B" w:rsidRPr="007150B1">
        <w:rPr>
          <w:rFonts w:ascii="Times New Roman" w:hAnsi="Times New Roman" w:cs="Times New Roman"/>
          <w:i/>
          <w:iCs/>
          <w:noProof/>
          <w:sz w:val="24"/>
          <w:szCs w:val="24"/>
          <w:lang w:val="sq-AL"/>
        </w:rPr>
        <w:t>r organizimin dhe funksionimin e administrat</w:t>
      </w:r>
      <w:r w:rsidR="00870DCD" w:rsidRPr="007150B1">
        <w:rPr>
          <w:rFonts w:ascii="Times New Roman" w:hAnsi="Times New Roman" w:cs="Times New Roman"/>
          <w:i/>
          <w:iCs/>
          <w:noProof/>
          <w:sz w:val="24"/>
          <w:szCs w:val="24"/>
          <w:lang w:val="sq-AL"/>
        </w:rPr>
        <w:t>ë</w:t>
      </w:r>
      <w:r w:rsidR="00F63A9B" w:rsidRPr="007150B1">
        <w:rPr>
          <w:rFonts w:ascii="Times New Roman" w:hAnsi="Times New Roman" w:cs="Times New Roman"/>
          <w:i/>
          <w:iCs/>
          <w:noProof/>
          <w:sz w:val="24"/>
          <w:szCs w:val="24"/>
          <w:lang w:val="sq-AL"/>
        </w:rPr>
        <w:t>s shtet</w:t>
      </w:r>
      <w:r w:rsidR="00870DCD" w:rsidRPr="007150B1">
        <w:rPr>
          <w:rFonts w:ascii="Times New Roman" w:hAnsi="Times New Roman" w:cs="Times New Roman"/>
          <w:i/>
          <w:iCs/>
          <w:noProof/>
          <w:sz w:val="24"/>
          <w:szCs w:val="24"/>
          <w:lang w:val="sq-AL"/>
        </w:rPr>
        <w:t>ë</w:t>
      </w:r>
      <w:r w:rsidR="00F63A9B" w:rsidRPr="007150B1">
        <w:rPr>
          <w:rFonts w:ascii="Times New Roman" w:hAnsi="Times New Roman" w:cs="Times New Roman"/>
          <w:i/>
          <w:iCs/>
          <w:noProof/>
          <w:sz w:val="24"/>
          <w:szCs w:val="24"/>
          <w:lang w:val="sq-AL"/>
        </w:rPr>
        <w:t>rore</w:t>
      </w:r>
      <w:r w:rsidR="00F63A9B"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i cili përcakton tipologjinë e institucioneve dhe marrëdhëniet e funksionimit mes tyre.</w:t>
      </w:r>
      <w:r w:rsidR="00EB445F" w:rsidRPr="00641640">
        <w:rPr>
          <w:rFonts w:ascii="Times New Roman" w:hAnsi="Times New Roman" w:cs="Times New Roman"/>
          <w:noProof/>
          <w:sz w:val="24"/>
          <w:szCs w:val="24"/>
          <w:lang w:val="sq-AL"/>
        </w:rPr>
        <w:t xml:space="preserve"> Ligji ka parashikuar mekanizmin për garantimin e efikasitetit të struktu</w:t>
      </w:r>
      <w:r w:rsidR="000B3C95" w:rsidRPr="00641640">
        <w:rPr>
          <w:rFonts w:ascii="Times New Roman" w:hAnsi="Times New Roman" w:cs="Times New Roman"/>
          <w:noProof/>
          <w:sz w:val="24"/>
          <w:szCs w:val="24"/>
          <w:lang w:val="sq-AL"/>
        </w:rPr>
        <w:t>rave organizative, nëpërmjet cent</w:t>
      </w:r>
      <w:r w:rsidR="00EB445F" w:rsidRPr="00641640">
        <w:rPr>
          <w:rFonts w:ascii="Times New Roman" w:hAnsi="Times New Roman" w:cs="Times New Roman"/>
          <w:noProof/>
          <w:sz w:val="24"/>
          <w:szCs w:val="24"/>
          <w:lang w:val="sq-AL"/>
        </w:rPr>
        <w:t xml:space="preserve">ralizimit të </w:t>
      </w:r>
      <w:r w:rsidR="00673445" w:rsidRPr="00641640">
        <w:rPr>
          <w:rFonts w:ascii="Times New Roman" w:hAnsi="Times New Roman" w:cs="Times New Roman"/>
          <w:noProof/>
          <w:sz w:val="24"/>
          <w:szCs w:val="24"/>
          <w:lang w:val="sq-AL"/>
        </w:rPr>
        <w:t xml:space="preserve">përcaktimit të </w:t>
      </w:r>
      <w:r w:rsidR="005661D4" w:rsidRPr="00641640">
        <w:rPr>
          <w:rFonts w:ascii="Times New Roman" w:hAnsi="Times New Roman" w:cs="Times New Roman"/>
          <w:noProof/>
          <w:sz w:val="24"/>
          <w:szCs w:val="24"/>
          <w:lang w:val="sq-AL"/>
        </w:rPr>
        <w:t>standar</w:t>
      </w:r>
      <w:r w:rsidR="00673445" w:rsidRPr="00641640">
        <w:rPr>
          <w:rFonts w:ascii="Times New Roman" w:hAnsi="Times New Roman" w:cs="Times New Roman"/>
          <w:noProof/>
          <w:sz w:val="24"/>
          <w:szCs w:val="24"/>
          <w:lang w:val="sq-AL"/>
        </w:rPr>
        <w:t>d</w:t>
      </w:r>
      <w:r w:rsidR="005661D4" w:rsidRPr="00641640">
        <w:rPr>
          <w:rFonts w:ascii="Times New Roman" w:hAnsi="Times New Roman" w:cs="Times New Roman"/>
          <w:noProof/>
          <w:sz w:val="24"/>
          <w:szCs w:val="24"/>
          <w:lang w:val="sq-AL"/>
        </w:rPr>
        <w:t xml:space="preserve">eve </w:t>
      </w:r>
      <w:r w:rsidR="00C77EA9" w:rsidRPr="00641640">
        <w:rPr>
          <w:rFonts w:ascii="Times New Roman" w:hAnsi="Times New Roman" w:cs="Times New Roman"/>
          <w:noProof/>
          <w:sz w:val="24"/>
          <w:szCs w:val="24"/>
          <w:lang w:val="sq-AL"/>
        </w:rPr>
        <w:t>dhe të përgatitjes s</w:t>
      </w:r>
      <w:r w:rsidR="00EB445F" w:rsidRPr="00641640">
        <w:rPr>
          <w:rFonts w:ascii="Times New Roman" w:hAnsi="Times New Roman" w:cs="Times New Roman"/>
          <w:noProof/>
          <w:sz w:val="24"/>
          <w:szCs w:val="24"/>
          <w:lang w:val="sq-AL"/>
        </w:rPr>
        <w:t>ë mënyrës së organizimit të institucioneve të administratës shtetër</w:t>
      </w:r>
      <w:r w:rsidR="000B3C95" w:rsidRPr="00641640">
        <w:rPr>
          <w:rFonts w:ascii="Times New Roman" w:hAnsi="Times New Roman" w:cs="Times New Roman"/>
          <w:noProof/>
          <w:sz w:val="24"/>
          <w:szCs w:val="24"/>
          <w:lang w:val="sq-AL"/>
        </w:rPr>
        <w:t>ore në një institucion t</w:t>
      </w:r>
      <w:r w:rsidR="00870DCD" w:rsidRPr="00641640">
        <w:rPr>
          <w:rFonts w:ascii="Times New Roman" w:hAnsi="Times New Roman" w:cs="Times New Roman"/>
          <w:noProof/>
          <w:sz w:val="24"/>
          <w:szCs w:val="24"/>
          <w:lang w:val="sq-AL"/>
        </w:rPr>
        <w:t>ë</w:t>
      </w:r>
      <w:r w:rsidR="000B3C95" w:rsidRPr="00641640">
        <w:rPr>
          <w:rFonts w:ascii="Times New Roman" w:hAnsi="Times New Roman" w:cs="Times New Roman"/>
          <w:noProof/>
          <w:sz w:val="24"/>
          <w:szCs w:val="24"/>
          <w:lang w:val="sq-AL"/>
        </w:rPr>
        <w:t xml:space="preserve"> vet</w:t>
      </w:r>
      <w:r w:rsidR="00870DCD" w:rsidRPr="00641640">
        <w:rPr>
          <w:rFonts w:ascii="Times New Roman" w:hAnsi="Times New Roman" w:cs="Times New Roman"/>
          <w:noProof/>
          <w:sz w:val="24"/>
          <w:szCs w:val="24"/>
          <w:lang w:val="sq-AL"/>
        </w:rPr>
        <w:t>ë</w:t>
      </w:r>
      <w:r w:rsidR="000B3C95" w:rsidRPr="00641640">
        <w:rPr>
          <w:rFonts w:ascii="Times New Roman" w:hAnsi="Times New Roman" w:cs="Times New Roman"/>
          <w:noProof/>
          <w:sz w:val="24"/>
          <w:szCs w:val="24"/>
          <w:lang w:val="sq-AL"/>
        </w:rPr>
        <w:t>m</w:t>
      </w:r>
      <w:r w:rsidR="00EB445F" w:rsidRPr="00641640">
        <w:rPr>
          <w:rFonts w:ascii="Times New Roman" w:hAnsi="Times New Roman" w:cs="Times New Roman"/>
          <w:noProof/>
          <w:sz w:val="24"/>
          <w:szCs w:val="24"/>
          <w:lang w:val="sq-AL"/>
        </w:rPr>
        <w:t xml:space="preserve">, </w:t>
      </w:r>
      <w:r w:rsidR="000B3C95" w:rsidRPr="00641640">
        <w:rPr>
          <w:rFonts w:ascii="Times New Roman" w:hAnsi="Times New Roman" w:cs="Times New Roman"/>
          <w:noProof/>
          <w:sz w:val="24"/>
          <w:szCs w:val="24"/>
          <w:lang w:val="sq-AL"/>
        </w:rPr>
        <w:t>p</w:t>
      </w:r>
      <w:r w:rsidR="00870DCD" w:rsidRPr="00641640">
        <w:rPr>
          <w:rFonts w:ascii="Times New Roman" w:hAnsi="Times New Roman" w:cs="Times New Roman"/>
          <w:noProof/>
          <w:sz w:val="24"/>
          <w:szCs w:val="24"/>
          <w:lang w:val="sq-AL"/>
        </w:rPr>
        <w:t>ë</w:t>
      </w:r>
      <w:r w:rsidR="000B3C95" w:rsidRPr="00641640">
        <w:rPr>
          <w:rFonts w:ascii="Times New Roman" w:hAnsi="Times New Roman" w:cs="Times New Roman"/>
          <w:noProof/>
          <w:sz w:val="24"/>
          <w:szCs w:val="24"/>
          <w:lang w:val="sq-AL"/>
        </w:rPr>
        <w:t>rkat</w:t>
      </w:r>
      <w:r w:rsidR="00870DCD" w:rsidRPr="00641640">
        <w:rPr>
          <w:rFonts w:ascii="Times New Roman" w:hAnsi="Times New Roman" w:cs="Times New Roman"/>
          <w:noProof/>
          <w:sz w:val="24"/>
          <w:szCs w:val="24"/>
          <w:lang w:val="sq-AL"/>
        </w:rPr>
        <w:t>ë</w:t>
      </w:r>
      <w:r w:rsidR="000B3C95" w:rsidRPr="00641640">
        <w:rPr>
          <w:rFonts w:ascii="Times New Roman" w:hAnsi="Times New Roman" w:cs="Times New Roman"/>
          <w:noProof/>
          <w:sz w:val="24"/>
          <w:szCs w:val="24"/>
          <w:lang w:val="sq-AL"/>
        </w:rPr>
        <w:t xml:space="preserve">sisht </w:t>
      </w:r>
      <w:r w:rsidR="00EB445F" w:rsidRPr="00641640">
        <w:rPr>
          <w:rFonts w:ascii="Times New Roman" w:hAnsi="Times New Roman" w:cs="Times New Roman"/>
          <w:noProof/>
          <w:sz w:val="24"/>
          <w:szCs w:val="24"/>
          <w:lang w:val="sq-AL"/>
        </w:rPr>
        <w:t>Departamenti</w:t>
      </w:r>
      <w:r w:rsidR="000B3C95" w:rsidRPr="00641640">
        <w:rPr>
          <w:rFonts w:ascii="Times New Roman" w:hAnsi="Times New Roman" w:cs="Times New Roman"/>
          <w:noProof/>
          <w:sz w:val="24"/>
          <w:szCs w:val="24"/>
          <w:lang w:val="sq-AL"/>
        </w:rPr>
        <w:t>n</w:t>
      </w:r>
      <w:r w:rsidR="00EB445F" w:rsidRPr="00641640">
        <w:rPr>
          <w:rFonts w:ascii="Times New Roman" w:hAnsi="Times New Roman" w:cs="Times New Roman"/>
          <w:noProof/>
          <w:sz w:val="24"/>
          <w:szCs w:val="24"/>
          <w:lang w:val="sq-AL"/>
        </w:rPr>
        <w:t xml:space="preserve"> </w:t>
      </w:r>
      <w:r w:rsidR="000B3C95" w:rsidRPr="00641640">
        <w:rPr>
          <w:rFonts w:ascii="Times New Roman" w:hAnsi="Times New Roman" w:cs="Times New Roman"/>
          <w:noProof/>
          <w:sz w:val="24"/>
          <w:szCs w:val="24"/>
          <w:lang w:val="sq-AL"/>
        </w:rPr>
        <w:t>e Administratës Publike. Ligji gjithashtu p</w:t>
      </w:r>
      <w:r w:rsidR="00870DCD" w:rsidRPr="00641640">
        <w:rPr>
          <w:rFonts w:ascii="Times New Roman" w:hAnsi="Times New Roman" w:cs="Times New Roman"/>
          <w:noProof/>
          <w:sz w:val="24"/>
          <w:szCs w:val="24"/>
          <w:lang w:val="sq-AL"/>
        </w:rPr>
        <w:t>ë</w:t>
      </w:r>
      <w:r w:rsidR="000B3C95" w:rsidRPr="00641640">
        <w:rPr>
          <w:rFonts w:ascii="Times New Roman" w:hAnsi="Times New Roman" w:cs="Times New Roman"/>
          <w:noProof/>
          <w:sz w:val="24"/>
          <w:szCs w:val="24"/>
          <w:lang w:val="sq-AL"/>
        </w:rPr>
        <w:t xml:space="preserve">rcakton Kryeministrin si </w:t>
      </w:r>
      <w:r w:rsidR="00AB6D00" w:rsidRPr="00641640">
        <w:rPr>
          <w:rFonts w:ascii="Times New Roman" w:hAnsi="Times New Roman" w:cs="Times New Roman"/>
          <w:noProof/>
          <w:sz w:val="24"/>
          <w:szCs w:val="24"/>
          <w:lang w:val="sq-AL"/>
        </w:rPr>
        <w:t>autoritetin</w:t>
      </w:r>
      <w:r w:rsidR="000B3C95" w:rsidRPr="00641640">
        <w:rPr>
          <w:rFonts w:ascii="Times New Roman" w:hAnsi="Times New Roman" w:cs="Times New Roman"/>
          <w:noProof/>
          <w:sz w:val="24"/>
          <w:szCs w:val="24"/>
          <w:lang w:val="sq-AL"/>
        </w:rPr>
        <w:t xml:space="preserve"> q</w:t>
      </w:r>
      <w:r w:rsidR="00870DCD" w:rsidRPr="00641640">
        <w:rPr>
          <w:rFonts w:ascii="Times New Roman" w:hAnsi="Times New Roman" w:cs="Times New Roman"/>
          <w:noProof/>
          <w:sz w:val="24"/>
          <w:szCs w:val="24"/>
          <w:lang w:val="sq-AL"/>
        </w:rPr>
        <w:t>ë</w:t>
      </w:r>
      <w:r w:rsidR="000B3C95" w:rsidRPr="00641640">
        <w:rPr>
          <w:rFonts w:ascii="Times New Roman" w:hAnsi="Times New Roman" w:cs="Times New Roman"/>
          <w:noProof/>
          <w:sz w:val="24"/>
          <w:szCs w:val="24"/>
          <w:lang w:val="sq-AL"/>
        </w:rPr>
        <w:t xml:space="preserve"> g</w:t>
      </w:r>
      <w:r w:rsidR="00870DCD" w:rsidRPr="00641640">
        <w:rPr>
          <w:rFonts w:ascii="Times New Roman" w:hAnsi="Times New Roman" w:cs="Times New Roman"/>
          <w:noProof/>
          <w:sz w:val="24"/>
          <w:szCs w:val="24"/>
          <w:lang w:val="sq-AL"/>
        </w:rPr>
        <w:t>ë</w:t>
      </w:r>
      <w:r w:rsidR="000B3C95" w:rsidRPr="00641640">
        <w:rPr>
          <w:rFonts w:ascii="Times New Roman" w:hAnsi="Times New Roman" w:cs="Times New Roman"/>
          <w:noProof/>
          <w:sz w:val="24"/>
          <w:szCs w:val="24"/>
          <w:lang w:val="sq-AL"/>
        </w:rPr>
        <w:t>zon p</w:t>
      </w:r>
      <w:r w:rsidR="00870DCD" w:rsidRPr="00641640">
        <w:rPr>
          <w:rFonts w:ascii="Times New Roman" w:hAnsi="Times New Roman" w:cs="Times New Roman"/>
          <w:noProof/>
          <w:sz w:val="24"/>
          <w:szCs w:val="24"/>
          <w:lang w:val="sq-AL"/>
        </w:rPr>
        <w:t>ë</w:t>
      </w:r>
      <w:r w:rsidR="000B3C95" w:rsidRPr="00641640">
        <w:rPr>
          <w:rFonts w:ascii="Times New Roman" w:hAnsi="Times New Roman" w:cs="Times New Roman"/>
          <w:noProof/>
          <w:sz w:val="24"/>
          <w:szCs w:val="24"/>
          <w:lang w:val="sq-AL"/>
        </w:rPr>
        <w:t>rgjegj</w:t>
      </w:r>
      <w:r w:rsidR="00870DCD" w:rsidRPr="00641640">
        <w:rPr>
          <w:rFonts w:ascii="Times New Roman" w:hAnsi="Times New Roman" w:cs="Times New Roman"/>
          <w:noProof/>
          <w:sz w:val="24"/>
          <w:szCs w:val="24"/>
          <w:lang w:val="sq-AL"/>
        </w:rPr>
        <w:t>ë</w:t>
      </w:r>
      <w:r w:rsidR="000B3C95" w:rsidRPr="00641640">
        <w:rPr>
          <w:rFonts w:ascii="Times New Roman" w:hAnsi="Times New Roman" w:cs="Times New Roman"/>
          <w:noProof/>
          <w:sz w:val="24"/>
          <w:szCs w:val="24"/>
          <w:lang w:val="sq-AL"/>
        </w:rPr>
        <w:t>sin</w:t>
      </w:r>
      <w:r w:rsidR="00870DCD" w:rsidRPr="00641640">
        <w:rPr>
          <w:rFonts w:ascii="Times New Roman" w:hAnsi="Times New Roman" w:cs="Times New Roman"/>
          <w:noProof/>
          <w:sz w:val="24"/>
          <w:szCs w:val="24"/>
          <w:lang w:val="sq-AL"/>
        </w:rPr>
        <w:t>ë</w:t>
      </w:r>
      <w:r w:rsidR="000B3C95" w:rsidRPr="00641640">
        <w:rPr>
          <w:rFonts w:ascii="Times New Roman" w:hAnsi="Times New Roman" w:cs="Times New Roman"/>
          <w:noProof/>
          <w:sz w:val="24"/>
          <w:szCs w:val="24"/>
          <w:lang w:val="sq-AL"/>
        </w:rPr>
        <w:t xml:space="preserve"> shtet</w:t>
      </w:r>
      <w:r w:rsidR="00870DCD" w:rsidRPr="00641640">
        <w:rPr>
          <w:rFonts w:ascii="Times New Roman" w:hAnsi="Times New Roman" w:cs="Times New Roman"/>
          <w:noProof/>
          <w:sz w:val="24"/>
          <w:szCs w:val="24"/>
          <w:lang w:val="sq-AL"/>
        </w:rPr>
        <w:t>ë</w:t>
      </w:r>
      <w:r w:rsidR="000B3C95" w:rsidRPr="00641640">
        <w:rPr>
          <w:rFonts w:ascii="Times New Roman" w:hAnsi="Times New Roman" w:cs="Times New Roman"/>
          <w:noProof/>
          <w:sz w:val="24"/>
          <w:szCs w:val="24"/>
          <w:lang w:val="sq-AL"/>
        </w:rPr>
        <w:t>rore</w:t>
      </w:r>
      <w:r w:rsidR="00EB445F" w:rsidRPr="00641640">
        <w:rPr>
          <w:rFonts w:ascii="Times New Roman" w:hAnsi="Times New Roman" w:cs="Times New Roman"/>
          <w:noProof/>
          <w:sz w:val="24"/>
          <w:szCs w:val="24"/>
          <w:lang w:val="sq-AL"/>
        </w:rPr>
        <w:t xml:space="preserve"> për miratimin e strukturave organizative.</w:t>
      </w:r>
      <w:r w:rsidR="00AB6D00" w:rsidRPr="00641640">
        <w:rPr>
          <w:rFonts w:ascii="Times New Roman" w:hAnsi="Times New Roman" w:cs="Times New Roman"/>
          <w:noProof/>
          <w:sz w:val="24"/>
          <w:szCs w:val="24"/>
          <w:lang w:val="sq-AL"/>
        </w:rPr>
        <w:t xml:space="preserve"> </w:t>
      </w:r>
      <w:r w:rsidR="00EB445F" w:rsidRPr="00641640">
        <w:rPr>
          <w:rFonts w:ascii="Times New Roman" w:hAnsi="Times New Roman" w:cs="Times New Roman"/>
          <w:noProof/>
          <w:sz w:val="24"/>
          <w:szCs w:val="24"/>
          <w:lang w:val="sq-AL"/>
        </w:rPr>
        <w:t>Ky mekanizëm syn</w:t>
      </w:r>
      <w:r w:rsidR="00292FFC" w:rsidRPr="00641640">
        <w:rPr>
          <w:rFonts w:ascii="Times New Roman" w:hAnsi="Times New Roman" w:cs="Times New Roman"/>
          <w:noProof/>
          <w:sz w:val="24"/>
          <w:szCs w:val="24"/>
          <w:lang w:val="sq-AL"/>
        </w:rPr>
        <w:t xml:space="preserve">on </w:t>
      </w:r>
      <w:r w:rsidR="00EB445F" w:rsidRPr="00641640">
        <w:rPr>
          <w:rFonts w:ascii="Times New Roman" w:hAnsi="Times New Roman" w:cs="Times New Roman"/>
          <w:noProof/>
          <w:sz w:val="24"/>
          <w:szCs w:val="24"/>
          <w:lang w:val="sq-AL"/>
        </w:rPr>
        <w:t>të unif</w:t>
      </w:r>
      <w:r w:rsidR="00292FFC" w:rsidRPr="00641640">
        <w:rPr>
          <w:rFonts w:ascii="Times New Roman" w:hAnsi="Times New Roman" w:cs="Times New Roman"/>
          <w:noProof/>
          <w:sz w:val="24"/>
          <w:szCs w:val="24"/>
          <w:lang w:val="sq-AL"/>
        </w:rPr>
        <w:t xml:space="preserve">ikojë mënyrën e organizimit të </w:t>
      </w:r>
      <w:r w:rsidR="00DA03D1">
        <w:rPr>
          <w:rFonts w:ascii="Times New Roman" w:hAnsi="Times New Roman" w:cs="Times New Roman"/>
          <w:noProof/>
          <w:sz w:val="24"/>
          <w:szCs w:val="24"/>
          <w:lang w:val="sq-AL"/>
        </w:rPr>
        <w:t>m</w:t>
      </w:r>
      <w:r w:rsidR="00292FFC" w:rsidRPr="00641640">
        <w:rPr>
          <w:rFonts w:ascii="Times New Roman" w:hAnsi="Times New Roman" w:cs="Times New Roman"/>
          <w:noProof/>
          <w:sz w:val="24"/>
          <w:szCs w:val="24"/>
          <w:lang w:val="sq-AL"/>
        </w:rPr>
        <w:t xml:space="preserve">inistrive të linjës, </w:t>
      </w:r>
      <w:r w:rsidR="00EB445F" w:rsidRPr="00641640">
        <w:rPr>
          <w:rFonts w:ascii="Times New Roman" w:hAnsi="Times New Roman" w:cs="Times New Roman"/>
          <w:noProof/>
          <w:sz w:val="24"/>
          <w:szCs w:val="24"/>
          <w:lang w:val="sq-AL"/>
        </w:rPr>
        <w:t>të garantojë respektimin e rregullave të organizimit të brendshëm të institucion</w:t>
      </w:r>
      <w:r w:rsidR="00292FFC" w:rsidRPr="00641640">
        <w:rPr>
          <w:rFonts w:ascii="Times New Roman" w:hAnsi="Times New Roman" w:cs="Times New Roman"/>
          <w:noProof/>
          <w:sz w:val="24"/>
          <w:szCs w:val="24"/>
          <w:lang w:val="sq-AL"/>
        </w:rPr>
        <w:t xml:space="preserve">eve të administratës shtetërore, si dhe </w:t>
      </w:r>
      <w:r w:rsidR="00EB445F" w:rsidRPr="00641640">
        <w:rPr>
          <w:rFonts w:ascii="Times New Roman" w:hAnsi="Times New Roman" w:cs="Times New Roman"/>
          <w:noProof/>
          <w:sz w:val="24"/>
          <w:szCs w:val="24"/>
          <w:lang w:val="sq-AL"/>
        </w:rPr>
        <w:t xml:space="preserve">të shmangë </w:t>
      </w:r>
      <w:r w:rsidR="00292FFC" w:rsidRPr="00641640">
        <w:rPr>
          <w:rFonts w:ascii="Times New Roman" w:hAnsi="Times New Roman" w:cs="Times New Roman"/>
          <w:noProof/>
          <w:sz w:val="24"/>
          <w:szCs w:val="24"/>
          <w:lang w:val="sq-AL"/>
        </w:rPr>
        <w:t>p</w:t>
      </w:r>
      <w:r w:rsidR="00870DCD" w:rsidRPr="00641640">
        <w:rPr>
          <w:rFonts w:ascii="Times New Roman" w:hAnsi="Times New Roman" w:cs="Times New Roman"/>
          <w:noProof/>
          <w:sz w:val="24"/>
          <w:szCs w:val="24"/>
          <w:lang w:val="sq-AL"/>
        </w:rPr>
        <w:t>ë</w:t>
      </w:r>
      <w:r w:rsidR="00292FFC" w:rsidRPr="00641640">
        <w:rPr>
          <w:rFonts w:ascii="Times New Roman" w:hAnsi="Times New Roman" w:cs="Times New Roman"/>
          <w:noProof/>
          <w:sz w:val="24"/>
          <w:szCs w:val="24"/>
          <w:lang w:val="sq-AL"/>
        </w:rPr>
        <w:t>rs</w:t>
      </w:r>
      <w:r w:rsidR="00870DCD" w:rsidRPr="00641640">
        <w:rPr>
          <w:rFonts w:ascii="Times New Roman" w:hAnsi="Times New Roman" w:cs="Times New Roman"/>
          <w:noProof/>
          <w:sz w:val="24"/>
          <w:szCs w:val="24"/>
          <w:lang w:val="sq-AL"/>
        </w:rPr>
        <w:t>ë</w:t>
      </w:r>
      <w:r w:rsidR="00292FFC" w:rsidRPr="00641640">
        <w:rPr>
          <w:rFonts w:ascii="Times New Roman" w:hAnsi="Times New Roman" w:cs="Times New Roman"/>
          <w:noProof/>
          <w:sz w:val="24"/>
          <w:szCs w:val="24"/>
          <w:lang w:val="sq-AL"/>
        </w:rPr>
        <w:t>ritjen e funksioneve</w:t>
      </w:r>
      <w:r w:rsidR="00D404B0" w:rsidRPr="00641640">
        <w:rPr>
          <w:rFonts w:ascii="Times New Roman" w:hAnsi="Times New Roman" w:cs="Times New Roman"/>
          <w:noProof/>
          <w:sz w:val="24"/>
          <w:szCs w:val="24"/>
          <w:lang w:val="sq-AL"/>
        </w:rPr>
        <w:t xml:space="preserve">. </w:t>
      </w:r>
    </w:p>
    <w:p w14:paraId="77E77783" w14:textId="40AD58BC" w:rsidR="00D404B0" w:rsidRPr="00641640" w:rsidRDefault="00D404B0"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rgjat</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kësaj periudhe zbatimi nga miratimi i tij, ligji ka mund</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suar disiplinimin e mënyrës së organizimit dhe funksionimit të institucioneve shtet</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rore dhe janë bërë disa ndërhyrje të mëdha në disa sisteme ministrore (shëndetësia, arsimi, turizmi dhe mjedisi, bujqësia). </w:t>
      </w:r>
      <w:r w:rsidR="000B3C95" w:rsidRPr="00641640">
        <w:rPr>
          <w:rFonts w:ascii="Times New Roman" w:hAnsi="Times New Roman" w:cs="Times New Roman"/>
          <w:noProof/>
          <w:sz w:val="24"/>
          <w:szCs w:val="24"/>
          <w:lang w:val="sq-AL"/>
        </w:rPr>
        <w:t>Mekanizmi</w:t>
      </w:r>
      <w:r w:rsidRPr="00641640">
        <w:rPr>
          <w:rFonts w:ascii="Times New Roman" w:hAnsi="Times New Roman" w:cs="Times New Roman"/>
          <w:noProof/>
          <w:sz w:val="24"/>
          <w:szCs w:val="24"/>
          <w:lang w:val="sq-AL"/>
        </w:rPr>
        <w:t xml:space="preserve"> parashikon </w:t>
      </w:r>
      <w:r w:rsidR="000B3C95"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dhe procedurat </w:t>
      </w:r>
      <w:r w:rsidR="000B3C95" w:rsidRPr="00641640">
        <w:rPr>
          <w:rFonts w:ascii="Times New Roman" w:hAnsi="Times New Roman" w:cs="Times New Roman"/>
          <w:noProof/>
          <w:sz w:val="24"/>
          <w:szCs w:val="24"/>
          <w:lang w:val="sq-AL"/>
        </w:rPr>
        <w:t>q</w:t>
      </w:r>
      <w:r w:rsidR="00870DCD" w:rsidRPr="00641640">
        <w:rPr>
          <w:rFonts w:ascii="Times New Roman" w:hAnsi="Times New Roman" w:cs="Times New Roman"/>
          <w:noProof/>
          <w:sz w:val="24"/>
          <w:szCs w:val="24"/>
          <w:lang w:val="sq-AL"/>
        </w:rPr>
        <w:t>ë</w:t>
      </w:r>
      <w:r w:rsidR="000B3C95" w:rsidRPr="00641640">
        <w:rPr>
          <w:rFonts w:ascii="Times New Roman" w:hAnsi="Times New Roman" w:cs="Times New Roman"/>
          <w:noProof/>
          <w:sz w:val="24"/>
          <w:szCs w:val="24"/>
          <w:lang w:val="sq-AL"/>
        </w:rPr>
        <w:t xml:space="preserve"> zbatohen për </w:t>
      </w:r>
      <w:r w:rsidRPr="00641640">
        <w:rPr>
          <w:rFonts w:ascii="Times New Roman" w:hAnsi="Times New Roman" w:cs="Times New Roman"/>
          <w:noProof/>
          <w:sz w:val="24"/>
          <w:szCs w:val="24"/>
          <w:lang w:val="sq-AL"/>
        </w:rPr>
        <w:t>monitorimin dhe mbikëqyrjen</w:t>
      </w:r>
      <w:r w:rsidR="000B3C95" w:rsidRPr="00641640">
        <w:rPr>
          <w:rFonts w:ascii="Times New Roman" w:hAnsi="Times New Roman" w:cs="Times New Roman"/>
          <w:noProof/>
          <w:sz w:val="24"/>
          <w:szCs w:val="24"/>
          <w:lang w:val="sq-AL"/>
        </w:rPr>
        <w:t xml:space="preserve"> e institucioneve</w:t>
      </w:r>
      <w:r w:rsidRPr="00641640">
        <w:rPr>
          <w:rFonts w:ascii="Times New Roman" w:hAnsi="Times New Roman" w:cs="Times New Roman"/>
          <w:noProof/>
          <w:sz w:val="24"/>
          <w:szCs w:val="24"/>
          <w:lang w:val="sq-AL"/>
        </w:rPr>
        <w:t xml:space="preserve">, kryesisht </w:t>
      </w:r>
      <w:r w:rsidR="000B3C95" w:rsidRPr="00641640">
        <w:rPr>
          <w:rFonts w:ascii="Times New Roman" w:hAnsi="Times New Roman" w:cs="Times New Roman"/>
          <w:noProof/>
          <w:sz w:val="24"/>
          <w:szCs w:val="24"/>
          <w:lang w:val="sq-AL"/>
        </w:rPr>
        <w:t>p</w:t>
      </w:r>
      <w:r w:rsidR="00870DCD" w:rsidRPr="00641640">
        <w:rPr>
          <w:rFonts w:ascii="Times New Roman" w:hAnsi="Times New Roman" w:cs="Times New Roman"/>
          <w:noProof/>
          <w:sz w:val="24"/>
          <w:szCs w:val="24"/>
          <w:lang w:val="sq-AL"/>
        </w:rPr>
        <w:t>ë</w:t>
      </w:r>
      <w:r w:rsidR="000B3C95" w:rsidRPr="00641640">
        <w:rPr>
          <w:rFonts w:ascii="Times New Roman" w:hAnsi="Times New Roman" w:cs="Times New Roman"/>
          <w:noProof/>
          <w:sz w:val="24"/>
          <w:szCs w:val="24"/>
          <w:lang w:val="sq-AL"/>
        </w:rPr>
        <w:t xml:space="preserve">rmes miratimit të programeve </w:t>
      </w:r>
      <w:r w:rsidRPr="00641640">
        <w:rPr>
          <w:rFonts w:ascii="Times New Roman" w:hAnsi="Times New Roman" w:cs="Times New Roman"/>
          <w:noProof/>
          <w:sz w:val="24"/>
          <w:szCs w:val="24"/>
          <w:lang w:val="sq-AL"/>
        </w:rPr>
        <w:t>dhe raporteve vjetore për institucionet e varësisë nga ministritë përgjegjëse.</w:t>
      </w:r>
    </w:p>
    <w:p w14:paraId="568BCEB9" w14:textId="29FC33DD" w:rsidR="00BC4368" w:rsidRPr="00641640" w:rsidRDefault="00540FE1"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lastRenderedPageBreak/>
        <w:t>Z</w:t>
      </w:r>
      <w:r w:rsidR="00BC4368" w:rsidRPr="00641640">
        <w:rPr>
          <w:rFonts w:ascii="Times New Roman" w:hAnsi="Times New Roman" w:cs="Times New Roman"/>
          <w:noProof/>
          <w:sz w:val="24"/>
          <w:szCs w:val="24"/>
          <w:lang w:val="sq-AL"/>
        </w:rPr>
        <w:t xml:space="preserve">batimi </w:t>
      </w:r>
      <w:r w:rsidRPr="00641640">
        <w:rPr>
          <w:rFonts w:ascii="Times New Roman" w:hAnsi="Times New Roman" w:cs="Times New Roman"/>
          <w:noProof/>
          <w:sz w:val="24"/>
          <w:szCs w:val="24"/>
          <w:lang w:val="sq-AL"/>
        </w:rPr>
        <w:t>rigoroz sa i takon</w:t>
      </w:r>
      <w:r w:rsidR="00BC4368" w:rsidRPr="00641640">
        <w:rPr>
          <w:rFonts w:ascii="Times New Roman" w:hAnsi="Times New Roman" w:cs="Times New Roman"/>
          <w:noProof/>
          <w:sz w:val="24"/>
          <w:szCs w:val="24"/>
          <w:lang w:val="sq-AL"/>
        </w:rPr>
        <w:t xml:space="preserve"> mënyrës së organizimit dhe funksionimit të institucioneve dhe disa ndërhyrje të </w:t>
      </w:r>
      <w:r w:rsidRPr="00641640">
        <w:rPr>
          <w:rFonts w:ascii="Times New Roman" w:hAnsi="Times New Roman" w:cs="Times New Roman"/>
          <w:noProof/>
          <w:sz w:val="24"/>
          <w:szCs w:val="24"/>
          <w:lang w:val="sq-AL"/>
        </w:rPr>
        <w:t xml:space="preserve">thella </w:t>
      </w:r>
      <w:r w:rsidR="00BC4368" w:rsidRPr="00641640">
        <w:rPr>
          <w:rFonts w:ascii="Times New Roman" w:hAnsi="Times New Roman" w:cs="Times New Roman"/>
          <w:noProof/>
          <w:sz w:val="24"/>
          <w:szCs w:val="24"/>
          <w:lang w:val="sq-AL"/>
        </w:rPr>
        <w:t xml:space="preserve">në disa sisteme ministrore </w:t>
      </w:r>
      <w:r w:rsidR="00E60594" w:rsidRPr="00641640">
        <w:rPr>
          <w:rFonts w:ascii="Times New Roman" w:hAnsi="Times New Roman" w:cs="Times New Roman"/>
          <w:noProof/>
          <w:sz w:val="24"/>
          <w:szCs w:val="24"/>
          <w:lang w:val="sq-AL"/>
        </w:rPr>
        <w:t>t</w:t>
      </w:r>
      <w:r w:rsidR="007F00FB" w:rsidRPr="00641640">
        <w:rPr>
          <w:rFonts w:ascii="Times New Roman" w:hAnsi="Times New Roman" w:cs="Times New Roman"/>
          <w:noProof/>
          <w:sz w:val="24"/>
          <w:szCs w:val="24"/>
          <w:lang w:val="sq-AL"/>
        </w:rPr>
        <w:t>ë</w:t>
      </w:r>
      <w:r w:rsidR="00E60594" w:rsidRPr="00641640">
        <w:rPr>
          <w:rFonts w:ascii="Times New Roman" w:hAnsi="Times New Roman" w:cs="Times New Roman"/>
          <w:noProof/>
          <w:sz w:val="24"/>
          <w:szCs w:val="24"/>
          <w:lang w:val="sq-AL"/>
        </w:rPr>
        <w:t xml:space="preserve"> </w:t>
      </w:r>
      <w:r w:rsidR="00BC4368" w:rsidRPr="00641640">
        <w:rPr>
          <w:rFonts w:ascii="Times New Roman" w:hAnsi="Times New Roman" w:cs="Times New Roman"/>
          <w:noProof/>
          <w:sz w:val="24"/>
          <w:szCs w:val="24"/>
          <w:lang w:val="sq-AL"/>
        </w:rPr>
        <w:t>shëndetësi</w:t>
      </w:r>
      <w:r w:rsidR="00E60594" w:rsidRPr="00641640">
        <w:rPr>
          <w:rFonts w:ascii="Times New Roman" w:hAnsi="Times New Roman" w:cs="Times New Roman"/>
          <w:noProof/>
          <w:sz w:val="24"/>
          <w:szCs w:val="24"/>
          <w:lang w:val="sq-AL"/>
        </w:rPr>
        <w:t>s</w:t>
      </w:r>
      <w:r w:rsidR="007F00FB" w:rsidRPr="00641640">
        <w:rPr>
          <w:rFonts w:ascii="Times New Roman" w:hAnsi="Times New Roman" w:cs="Times New Roman"/>
          <w:noProof/>
          <w:sz w:val="24"/>
          <w:szCs w:val="24"/>
          <w:lang w:val="sq-AL"/>
        </w:rPr>
        <w:t>ë</w:t>
      </w:r>
      <w:r w:rsidR="00BC4368" w:rsidRPr="00641640">
        <w:rPr>
          <w:rFonts w:ascii="Times New Roman" w:hAnsi="Times New Roman" w:cs="Times New Roman"/>
          <w:noProof/>
          <w:sz w:val="24"/>
          <w:szCs w:val="24"/>
          <w:lang w:val="sq-AL"/>
        </w:rPr>
        <w:t>, arsimi</w:t>
      </w:r>
      <w:r w:rsidR="00E60594" w:rsidRPr="00641640">
        <w:rPr>
          <w:rFonts w:ascii="Times New Roman" w:hAnsi="Times New Roman" w:cs="Times New Roman"/>
          <w:noProof/>
          <w:sz w:val="24"/>
          <w:szCs w:val="24"/>
          <w:lang w:val="sq-AL"/>
        </w:rPr>
        <w:t>t</w:t>
      </w:r>
      <w:r w:rsidR="00BC4368" w:rsidRPr="00641640">
        <w:rPr>
          <w:rFonts w:ascii="Times New Roman" w:hAnsi="Times New Roman" w:cs="Times New Roman"/>
          <w:noProof/>
          <w:sz w:val="24"/>
          <w:szCs w:val="24"/>
          <w:lang w:val="sq-AL"/>
        </w:rPr>
        <w:t>, turizmi</w:t>
      </w:r>
      <w:r w:rsidR="00E60594" w:rsidRPr="00641640">
        <w:rPr>
          <w:rFonts w:ascii="Times New Roman" w:hAnsi="Times New Roman" w:cs="Times New Roman"/>
          <w:noProof/>
          <w:sz w:val="24"/>
          <w:szCs w:val="24"/>
          <w:lang w:val="sq-AL"/>
        </w:rPr>
        <w:t>t</w:t>
      </w:r>
      <w:r w:rsidR="00BC4368" w:rsidRPr="00641640">
        <w:rPr>
          <w:rFonts w:ascii="Times New Roman" w:hAnsi="Times New Roman" w:cs="Times New Roman"/>
          <w:noProof/>
          <w:sz w:val="24"/>
          <w:szCs w:val="24"/>
          <w:lang w:val="sq-AL"/>
        </w:rPr>
        <w:t xml:space="preserve"> </w:t>
      </w:r>
      <w:r w:rsidR="006D6206">
        <w:rPr>
          <w:rFonts w:ascii="Times New Roman" w:hAnsi="Times New Roman" w:cs="Times New Roman"/>
          <w:noProof/>
          <w:sz w:val="24"/>
          <w:szCs w:val="24"/>
          <w:lang w:val="sq-AL"/>
        </w:rPr>
        <w:t>dh</w:t>
      </w:r>
      <w:r w:rsidR="00BC4368" w:rsidRPr="00641640">
        <w:rPr>
          <w:rFonts w:ascii="Times New Roman" w:hAnsi="Times New Roman" w:cs="Times New Roman"/>
          <w:noProof/>
          <w:sz w:val="24"/>
          <w:szCs w:val="24"/>
          <w:lang w:val="sq-AL"/>
        </w:rPr>
        <w:t>e mjedisi</w:t>
      </w:r>
      <w:r w:rsidR="00E60594" w:rsidRPr="00641640">
        <w:rPr>
          <w:rFonts w:ascii="Times New Roman" w:hAnsi="Times New Roman" w:cs="Times New Roman"/>
          <w:noProof/>
          <w:sz w:val="24"/>
          <w:szCs w:val="24"/>
          <w:lang w:val="sq-AL"/>
        </w:rPr>
        <w:t>t</w:t>
      </w:r>
      <w:r w:rsidR="00BC4368" w:rsidRPr="00641640">
        <w:rPr>
          <w:rFonts w:ascii="Times New Roman" w:hAnsi="Times New Roman" w:cs="Times New Roman"/>
          <w:noProof/>
          <w:sz w:val="24"/>
          <w:szCs w:val="24"/>
          <w:lang w:val="sq-AL"/>
        </w:rPr>
        <w:t>,</w:t>
      </w:r>
      <w:r w:rsidR="00E60594" w:rsidRPr="00641640">
        <w:rPr>
          <w:rFonts w:ascii="Times New Roman" w:hAnsi="Times New Roman" w:cs="Times New Roman"/>
          <w:noProof/>
          <w:sz w:val="24"/>
          <w:szCs w:val="24"/>
          <w:lang w:val="sq-AL"/>
        </w:rPr>
        <w:t xml:space="preserve"> </w:t>
      </w:r>
      <w:r w:rsidR="000D584F">
        <w:rPr>
          <w:rFonts w:ascii="Times New Roman" w:hAnsi="Times New Roman" w:cs="Times New Roman"/>
          <w:noProof/>
          <w:sz w:val="24"/>
          <w:szCs w:val="24"/>
          <w:lang w:val="sq-AL"/>
        </w:rPr>
        <w:t xml:space="preserve">si </w:t>
      </w:r>
      <w:r w:rsidR="00E60594" w:rsidRPr="00641640">
        <w:rPr>
          <w:rFonts w:ascii="Times New Roman" w:hAnsi="Times New Roman" w:cs="Times New Roman"/>
          <w:noProof/>
          <w:sz w:val="24"/>
          <w:szCs w:val="24"/>
          <w:lang w:val="sq-AL"/>
        </w:rPr>
        <w:t>dhe</w:t>
      </w:r>
      <w:r w:rsidR="00BC4368" w:rsidRPr="00641640">
        <w:rPr>
          <w:rFonts w:ascii="Times New Roman" w:hAnsi="Times New Roman" w:cs="Times New Roman"/>
          <w:noProof/>
          <w:sz w:val="24"/>
          <w:szCs w:val="24"/>
          <w:lang w:val="sq-AL"/>
        </w:rPr>
        <w:t xml:space="preserve"> bujq</w:t>
      </w:r>
      <w:r w:rsidR="007F00FB" w:rsidRPr="00641640">
        <w:rPr>
          <w:rFonts w:ascii="Times New Roman" w:hAnsi="Times New Roman" w:cs="Times New Roman"/>
          <w:noProof/>
          <w:sz w:val="24"/>
          <w:szCs w:val="24"/>
          <w:lang w:val="sq-AL"/>
        </w:rPr>
        <w:t>ë</w:t>
      </w:r>
      <w:r w:rsidR="00E60594" w:rsidRPr="00641640">
        <w:rPr>
          <w:rFonts w:ascii="Times New Roman" w:hAnsi="Times New Roman" w:cs="Times New Roman"/>
          <w:noProof/>
          <w:sz w:val="24"/>
          <w:szCs w:val="24"/>
          <w:lang w:val="sq-AL"/>
        </w:rPr>
        <w:t>sis</w:t>
      </w:r>
      <w:r w:rsidR="007F00FB" w:rsidRPr="00641640">
        <w:rPr>
          <w:rFonts w:ascii="Times New Roman" w:hAnsi="Times New Roman" w:cs="Times New Roman"/>
          <w:noProof/>
          <w:sz w:val="24"/>
          <w:szCs w:val="24"/>
          <w:lang w:val="sq-AL"/>
        </w:rPr>
        <w:t>ë</w:t>
      </w:r>
      <w:r w:rsidR="000D584F">
        <w:rPr>
          <w:rFonts w:ascii="Times New Roman" w:hAnsi="Times New Roman" w:cs="Times New Roman"/>
          <w:noProof/>
          <w:sz w:val="24"/>
          <w:szCs w:val="24"/>
          <w:lang w:val="sq-AL"/>
        </w:rPr>
        <w:t>,</w:t>
      </w:r>
      <w:r w:rsidR="00E60594" w:rsidRPr="00641640">
        <w:rPr>
          <w:rFonts w:ascii="Times New Roman" w:hAnsi="Times New Roman" w:cs="Times New Roman"/>
          <w:noProof/>
          <w:sz w:val="24"/>
          <w:szCs w:val="24"/>
          <w:lang w:val="sq-AL"/>
        </w:rPr>
        <w:t xml:space="preserve"> p</w:t>
      </w:r>
      <w:r w:rsidR="00BC4368" w:rsidRPr="00641640">
        <w:rPr>
          <w:rFonts w:ascii="Times New Roman" w:hAnsi="Times New Roman" w:cs="Times New Roman"/>
          <w:noProof/>
          <w:sz w:val="24"/>
          <w:szCs w:val="24"/>
          <w:lang w:val="sq-AL"/>
        </w:rPr>
        <w:t>arashiko</w:t>
      </w:r>
      <w:r w:rsidR="00E60594" w:rsidRPr="00641640">
        <w:rPr>
          <w:rFonts w:ascii="Times New Roman" w:hAnsi="Times New Roman" w:cs="Times New Roman"/>
          <w:noProof/>
          <w:sz w:val="24"/>
          <w:szCs w:val="24"/>
          <w:lang w:val="sq-AL"/>
        </w:rPr>
        <w:t>jn</w:t>
      </w:r>
      <w:r w:rsidR="007F00FB" w:rsidRPr="00641640">
        <w:rPr>
          <w:rFonts w:ascii="Times New Roman" w:hAnsi="Times New Roman" w:cs="Times New Roman"/>
          <w:noProof/>
          <w:sz w:val="24"/>
          <w:szCs w:val="24"/>
          <w:lang w:val="sq-AL"/>
        </w:rPr>
        <w:t>ë</w:t>
      </w:r>
      <w:r w:rsidR="00BC4368" w:rsidRPr="00641640">
        <w:rPr>
          <w:rFonts w:ascii="Times New Roman" w:hAnsi="Times New Roman" w:cs="Times New Roman"/>
          <w:noProof/>
          <w:sz w:val="24"/>
          <w:szCs w:val="24"/>
          <w:lang w:val="sq-AL"/>
        </w:rPr>
        <w:t xml:space="preserve"> procedura </w:t>
      </w:r>
      <w:r w:rsidR="00E67BA8" w:rsidRPr="00641640">
        <w:rPr>
          <w:rFonts w:ascii="Times New Roman" w:hAnsi="Times New Roman" w:cs="Times New Roman"/>
          <w:noProof/>
          <w:sz w:val="24"/>
          <w:szCs w:val="24"/>
          <w:lang w:val="sq-AL"/>
        </w:rPr>
        <w:t>p</w:t>
      </w:r>
      <w:r w:rsidR="00E479F0" w:rsidRPr="00641640">
        <w:rPr>
          <w:rFonts w:ascii="Times New Roman" w:hAnsi="Times New Roman" w:cs="Times New Roman"/>
          <w:noProof/>
          <w:sz w:val="24"/>
          <w:szCs w:val="24"/>
          <w:lang w:val="sq-AL"/>
        </w:rPr>
        <w:t>ë</w:t>
      </w:r>
      <w:r w:rsidR="00E67BA8" w:rsidRPr="00641640">
        <w:rPr>
          <w:rFonts w:ascii="Times New Roman" w:hAnsi="Times New Roman" w:cs="Times New Roman"/>
          <w:noProof/>
          <w:sz w:val="24"/>
          <w:szCs w:val="24"/>
          <w:lang w:val="sq-AL"/>
        </w:rPr>
        <w:t xml:space="preserve">r </w:t>
      </w:r>
      <w:r w:rsidR="00BC4368" w:rsidRPr="00641640">
        <w:rPr>
          <w:rFonts w:ascii="Times New Roman" w:hAnsi="Times New Roman" w:cs="Times New Roman"/>
          <w:noProof/>
          <w:sz w:val="24"/>
          <w:szCs w:val="24"/>
          <w:lang w:val="sq-AL"/>
        </w:rPr>
        <w:t xml:space="preserve">mbikëqyrjen kryesisht </w:t>
      </w:r>
      <w:r w:rsidR="00E64924" w:rsidRPr="00641640">
        <w:rPr>
          <w:rFonts w:ascii="Times New Roman" w:hAnsi="Times New Roman" w:cs="Times New Roman"/>
          <w:noProof/>
          <w:sz w:val="24"/>
          <w:szCs w:val="24"/>
          <w:lang w:val="sq-AL"/>
        </w:rPr>
        <w:t>përmes</w:t>
      </w:r>
      <w:r w:rsidR="00BC4368" w:rsidRPr="00641640">
        <w:rPr>
          <w:rFonts w:ascii="Times New Roman" w:hAnsi="Times New Roman" w:cs="Times New Roman"/>
          <w:noProof/>
          <w:sz w:val="24"/>
          <w:szCs w:val="24"/>
          <w:lang w:val="sq-AL"/>
        </w:rPr>
        <w:t xml:space="preserve"> </w:t>
      </w:r>
      <w:r w:rsidR="00E60594" w:rsidRPr="00641640">
        <w:rPr>
          <w:rFonts w:ascii="Times New Roman" w:hAnsi="Times New Roman" w:cs="Times New Roman"/>
          <w:noProof/>
          <w:sz w:val="24"/>
          <w:szCs w:val="24"/>
          <w:lang w:val="sq-AL"/>
        </w:rPr>
        <w:t>detyrimit p</w:t>
      </w:r>
      <w:r w:rsidR="007F00FB" w:rsidRPr="00641640">
        <w:rPr>
          <w:rFonts w:ascii="Times New Roman" w:hAnsi="Times New Roman" w:cs="Times New Roman"/>
          <w:noProof/>
          <w:sz w:val="24"/>
          <w:szCs w:val="24"/>
          <w:lang w:val="sq-AL"/>
        </w:rPr>
        <w:t>ë</w:t>
      </w:r>
      <w:r w:rsidR="00E60594" w:rsidRPr="00641640">
        <w:rPr>
          <w:rFonts w:ascii="Times New Roman" w:hAnsi="Times New Roman" w:cs="Times New Roman"/>
          <w:noProof/>
          <w:sz w:val="24"/>
          <w:szCs w:val="24"/>
          <w:lang w:val="sq-AL"/>
        </w:rPr>
        <w:t xml:space="preserve">r </w:t>
      </w:r>
      <w:r w:rsidR="00BC4368" w:rsidRPr="00641640">
        <w:rPr>
          <w:rFonts w:ascii="Times New Roman" w:hAnsi="Times New Roman" w:cs="Times New Roman"/>
          <w:noProof/>
          <w:sz w:val="24"/>
          <w:szCs w:val="24"/>
          <w:lang w:val="sq-AL"/>
        </w:rPr>
        <w:t>miratime</w:t>
      </w:r>
      <w:r w:rsidR="00E60594" w:rsidRPr="00641640">
        <w:rPr>
          <w:rFonts w:ascii="Times New Roman" w:hAnsi="Times New Roman" w:cs="Times New Roman"/>
          <w:noProof/>
          <w:sz w:val="24"/>
          <w:szCs w:val="24"/>
          <w:lang w:val="sq-AL"/>
        </w:rPr>
        <w:t xml:space="preserve"> paraprake nga to</w:t>
      </w:r>
      <w:r w:rsidR="00BC4368" w:rsidRPr="00641640">
        <w:rPr>
          <w:rFonts w:ascii="Times New Roman" w:hAnsi="Times New Roman" w:cs="Times New Roman"/>
          <w:noProof/>
          <w:sz w:val="24"/>
          <w:szCs w:val="24"/>
          <w:lang w:val="sq-AL"/>
        </w:rPr>
        <w:t xml:space="preserve"> të programeve dhe raporteve vjetore </w:t>
      </w:r>
      <w:r w:rsidR="00E60594" w:rsidRPr="00641640">
        <w:rPr>
          <w:rFonts w:ascii="Times New Roman" w:hAnsi="Times New Roman" w:cs="Times New Roman"/>
          <w:noProof/>
          <w:sz w:val="24"/>
          <w:szCs w:val="24"/>
          <w:lang w:val="sq-AL"/>
        </w:rPr>
        <w:t>t</w:t>
      </w:r>
      <w:r w:rsidR="007F00FB" w:rsidRPr="00641640">
        <w:rPr>
          <w:rFonts w:ascii="Times New Roman" w:hAnsi="Times New Roman" w:cs="Times New Roman"/>
          <w:noProof/>
          <w:sz w:val="24"/>
          <w:szCs w:val="24"/>
          <w:lang w:val="sq-AL"/>
        </w:rPr>
        <w:t>ë</w:t>
      </w:r>
      <w:r w:rsidR="00BC4368" w:rsidRPr="00641640">
        <w:rPr>
          <w:rFonts w:ascii="Times New Roman" w:hAnsi="Times New Roman" w:cs="Times New Roman"/>
          <w:noProof/>
          <w:sz w:val="24"/>
          <w:szCs w:val="24"/>
          <w:lang w:val="sq-AL"/>
        </w:rPr>
        <w:t xml:space="preserve"> institucione</w:t>
      </w:r>
      <w:r w:rsidR="00E60594" w:rsidRPr="00641640">
        <w:rPr>
          <w:rFonts w:ascii="Times New Roman" w:hAnsi="Times New Roman" w:cs="Times New Roman"/>
          <w:noProof/>
          <w:sz w:val="24"/>
          <w:szCs w:val="24"/>
          <w:lang w:val="sq-AL"/>
        </w:rPr>
        <w:t>ve</w:t>
      </w:r>
      <w:r w:rsidR="00BC4368" w:rsidRPr="00641640">
        <w:rPr>
          <w:rFonts w:ascii="Times New Roman" w:hAnsi="Times New Roman" w:cs="Times New Roman"/>
          <w:noProof/>
          <w:sz w:val="24"/>
          <w:szCs w:val="24"/>
          <w:lang w:val="sq-AL"/>
        </w:rPr>
        <w:t xml:space="preserve"> </w:t>
      </w:r>
      <w:r w:rsidR="00E60594" w:rsidRPr="00641640">
        <w:rPr>
          <w:rFonts w:ascii="Times New Roman" w:hAnsi="Times New Roman" w:cs="Times New Roman"/>
          <w:noProof/>
          <w:sz w:val="24"/>
          <w:szCs w:val="24"/>
          <w:lang w:val="sq-AL"/>
        </w:rPr>
        <w:t>t</w:t>
      </w:r>
      <w:r w:rsidR="007F00FB" w:rsidRPr="00641640">
        <w:rPr>
          <w:rFonts w:ascii="Times New Roman" w:hAnsi="Times New Roman" w:cs="Times New Roman"/>
          <w:noProof/>
          <w:sz w:val="24"/>
          <w:szCs w:val="24"/>
          <w:lang w:val="sq-AL"/>
        </w:rPr>
        <w:t>ë</w:t>
      </w:r>
      <w:r w:rsidR="00BC4368" w:rsidRPr="00641640">
        <w:rPr>
          <w:rFonts w:ascii="Times New Roman" w:hAnsi="Times New Roman" w:cs="Times New Roman"/>
          <w:noProof/>
          <w:sz w:val="24"/>
          <w:szCs w:val="24"/>
          <w:lang w:val="sq-AL"/>
        </w:rPr>
        <w:t xml:space="preserve"> </w:t>
      </w:r>
      <w:r w:rsidR="00E60594" w:rsidRPr="00641640">
        <w:rPr>
          <w:rFonts w:ascii="Times New Roman" w:hAnsi="Times New Roman" w:cs="Times New Roman"/>
          <w:noProof/>
          <w:sz w:val="24"/>
          <w:szCs w:val="24"/>
          <w:lang w:val="sq-AL"/>
        </w:rPr>
        <w:t>tyre t</w:t>
      </w:r>
      <w:r w:rsidR="007F00FB" w:rsidRPr="00641640">
        <w:rPr>
          <w:rFonts w:ascii="Times New Roman" w:hAnsi="Times New Roman" w:cs="Times New Roman"/>
          <w:noProof/>
          <w:sz w:val="24"/>
          <w:szCs w:val="24"/>
          <w:lang w:val="sq-AL"/>
        </w:rPr>
        <w:t>ë</w:t>
      </w:r>
      <w:r w:rsidR="00E60594" w:rsidRPr="00641640">
        <w:rPr>
          <w:rFonts w:ascii="Times New Roman" w:hAnsi="Times New Roman" w:cs="Times New Roman"/>
          <w:noProof/>
          <w:sz w:val="24"/>
          <w:szCs w:val="24"/>
          <w:lang w:val="sq-AL"/>
        </w:rPr>
        <w:t xml:space="preserve"> </w:t>
      </w:r>
      <w:r w:rsidR="00BC4368" w:rsidRPr="00641640">
        <w:rPr>
          <w:rFonts w:ascii="Times New Roman" w:hAnsi="Times New Roman" w:cs="Times New Roman"/>
          <w:noProof/>
          <w:sz w:val="24"/>
          <w:szCs w:val="24"/>
          <w:lang w:val="sq-AL"/>
        </w:rPr>
        <w:t>varësisë.</w:t>
      </w:r>
    </w:p>
    <w:p w14:paraId="007C66B0" w14:textId="0CDBE94B" w:rsidR="00FF758A" w:rsidRPr="00641640" w:rsidRDefault="001E7EC1" w:rsidP="003A395D">
      <w:pPr>
        <w:spacing w:line="276" w:lineRule="auto"/>
        <w:jc w:val="both"/>
        <w:rPr>
          <w:rFonts w:ascii="Times New Roman" w:eastAsia="Calibri" w:hAnsi="Times New Roman" w:cs="Times New Roman"/>
          <w:noProof/>
          <w:sz w:val="24"/>
          <w:szCs w:val="24"/>
          <w:lang w:val="sq-AL"/>
        </w:rPr>
      </w:pPr>
      <w:r w:rsidRPr="00641640">
        <w:rPr>
          <w:rFonts w:ascii="Times New Roman" w:eastAsia="Calibri" w:hAnsi="Times New Roman" w:cs="Times New Roman"/>
          <w:noProof/>
          <w:sz w:val="24"/>
          <w:szCs w:val="24"/>
          <w:lang w:val="sq-AL"/>
        </w:rPr>
        <w:t>Mekanizmat e prezantuara nga miratimi i l</w:t>
      </w:r>
      <w:r w:rsidR="009D6C2C" w:rsidRPr="00641640">
        <w:rPr>
          <w:rFonts w:ascii="Times New Roman" w:eastAsia="Calibri" w:hAnsi="Times New Roman" w:cs="Times New Roman"/>
          <w:noProof/>
          <w:sz w:val="24"/>
          <w:szCs w:val="24"/>
          <w:lang w:val="sq-AL"/>
        </w:rPr>
        <w:t>igji</w:t>
      </w:r>
      <w:r w:rsidRPr="00641640">
        <w:rPr>
          <w:rFonts w:ascii="Times New Roman" w:eastAsia="Calibri" w:hAnsi="Times New Roman" w:cs="Times New Roman"/>
          <w:noProof/>
          <w:sz w:val="24"/>
          <w:szCs w:val="24"/>
          <w:lang w:val="sq-AL"/>
        </w:rPr>
        <w:t>t</w:t>
      </w:r>
      <w:r w:rsidR="009D6C2C" w:rsidRPr="00641640">
        <w:rPr>
          <w:rFonts w:ascii="Times New Roman" w:eastAsia="Calibri" w:hAnsi="Times New Roman" w:cs="Times New Roman"/>
          <w:noProof/>
          <w:sz w:val="24"/>
          <w:szCs w:val="24"/>
          <w:lang w:val="sq-AL"/>
        </w:rPr>
        <w:t xml:space="preserve"> nr. 107/2021 “</w:t>
      </w:r>
      <w:r w:rsidR="009D6C2C" w:rsidRPr="00436251">
        <w:rPr>
          <w:rFonts w:ascii="Times New Roman" w:eastAsia="Calibri" w:hAnsi="Times New Roman" w:cs="Times New Roman"/>
          <w:i/>
          <w:iCs/>
          <w:noProof/>
          <w:sz w:val="24"/>
          <w:szCs w:val="24"/>
          <w:lang w:val="sq-AL"/>
        </w:rPr>
        <w:t>Për Bashkëqeverisjen</w:t>
      </w:r>
      <w:r w:rsidR="009D6C2C" w:rsidRPr="00641640">
        <w:rPr>
          <w:rFonts w:ascii="Times New Roman" w:eastAsia="Calibri" w:hAnsi="Times New Roman" w:cs="Times New Roman"/>
          <w:noProof/>
          <w:sz w:val="24"/>
          <w:szCs w:val="24"/>
          <w:lang w:val="sq-AL"/>
        </w:rPr>
        <w:t xml:space="preserve">” </w:t>
      </w:r>
      <w:r w:rsidRPr="00641640">
        <w:rPr>
          <w:rFonts w:ascii="Times New Roman" w:eastAsia="Calibri" w:hAnsi="Times New Roman" w:cs="Times New Roman"/>
          <w:noProof/>
          <w:sz w:val="24"/>
          <w:szCs w:val="24"/>
          <w:lang w:val="sq-AL"/>
        </w:rPr>
        <w:t>soll</w:t>
      </w:r>
      <w:r w:rsidR="00414343" w:rsidRPr="00641640">
        <w:rPr>
          <w:rFonts w:ascii="Times New Roman" w:eastAsia="Calibri" w:hAnsi="Times New Roman" w:cs="Times New Roman"/>
          <w:noProof/>
          <w:sz w:val="24"/>
          <w:szCs w:val="24"/>
          <w:lang w:val="sq-AL"/>
        </w:rPr>
        <w:t>ë</w:t>
      </w:r>
      <w:r w:rsidRPr="00641640">
        <w:rPr>
          <w:rFonts w:ascii="Times New Roman" w:eastAsia="Calibri" w:hAnsi="Times New Roman" w:cs="Times New Roman"/>
          <w:noProof/>
          <w:sz w:val="24"/>
          <w:szCs w:val="24"/>
          <w:lang w:val="sq-AL"/>
        </w:rPr>
        <w:t>n nj</w:t>
      </w:r>
      <w:r w:rsidR="00414343" w:rsidRPr="00641640">
        <w:rPr>
          <w:rFonts w:ascii="Times New Roman" w:eastAsia="Calibri" w:hAnsi="Times New Roman" w:cs="Times New Roman"/>
          <w:noProof/>
          <w:sz w:val="24"/>
          <w:szCs w:val="24"/>
          <w:lang w:val="sq-AL"/>
        </w:rPr>
        <w:t>ë</w:t>
      </w:r>
      <w:r w:rsidRPr="00641640">
        <w:rPr>
          <w:rFonts w:ascii="Times New Roman" w:eastAsia="Calibri" w:hAnsi="Times New Roman" w:cs="Times New Roman"/>
          <w:noProof/>
          <w:sz w:val="24"/>
          <w:szCs w:val="24"/>
          <w:lang w:val="sq-AL"/>
        </w:rPr>
        <w:t xml:space="preserve"> num</w:t>
      </w:r>
      <w:r w:rsidR="00414343" w:rsidRPr="00641640">
        <w:rPr>
          <w:rFonts w:ascii="Times New Roman" w:eastAsia="Calibri" w:hAnsi="Times New Roman" w:cs="Times New Roman"/>
          <w:noProof/>
          <w:sz w:val="24"/>
          <w:szCs w:val="24"/>
          <w:lang w:val="sq-AL"/>
        </w:rPr>
        <w:t>ë</w:t>
      </w:r>
      <w:r w:rsidRPr="00641640">
        <w:rPr>
          <w:rFonts w:ascii="Times New Roman" w:eastAsia="Calibri" w:hAnsi="Times New Roman" w:cs="Times New Roman"/>
          <w:noProof/>
          <w:sz w:val="24"/>
          <w:szCs w:val="24"/>
          <w:lang w:val="sq-AL"/>
        </w:rPr>
        <w:t>r risish</w:t>
      </w:r>
      <w:r w:rsidR="009D6C2C" w:rsidRPr="00641640">
        <w:rPr>
          <w:rFonts w:ascii="Times New Roman" w:eastAsia="Calibri" w:hAnsi="Times New Roman" w:cs="Times New Roman"/>
          <w:noProof/>
          <w:sz w:val="24"/>
          <w:szCs w:val="24"/>
          <w:lang w:val="sq-AL"/>
        </w:rPr>
        <w:t xml:space="preserve"> për bashkëqeverisjen me qytetarët nëpërmjet gjithëpërfshirjes së tyre në politikëbërje, garantimin e pjesëmarrjes së tyre në procedurat administrative vendimmarrëse,</w:t>
      </w:r>
      <w:r w:rsidRPr="00641640">
        <w:rPr>
          <w:rFonts w:ascii="Times New Roman" w:eastAsia="Calibri" w:hAnsi="Times New Roman" w:cs="Times New Roman"/>
          <w:noProof/>
          <w:sz w:val="24"/>
          <w:szCs w:val="24"/>
          <w:lang w:val="sq-AL"/>
        </w:rPr>
        <w:t xml:space="preserve"> si dhe</w:t>
      </w:r>
      <w:r w:rsidR="009D6C2C" w:rsidRPr="00641640">
        <w:rPr>
          <w:rFonts w:ascii="Times New Roman" w:eastAsia="Calibri" w:hAnsi="Times New Roman" w:cs="Times New Roman"/>
          <w:noProof/>
          <w:sz w:val="24"/>
          <w:szCs w:val="24"/>
          <w:lang w:val="sq-AL"/>
        </w:rPr>
        <w:t xml:space="preserve"> rritjen e llogaridhënies së administratës shtetërore përmes platformës </w:t>
      </w:r>
      <w:r w:rsidR="009D6C2C" w:rsidRPr="00641640">
        <w:rPr>
          <w:rFonts w:ascii="Times New Roman" w:eastAsia="Calibri" w:hAnsi="Times New Roman" w:cs="Times New Roman"/>
          <w:i/>
          <w:noProof/>
          <w:sz w:val="24"/>
          <w:szCs w:val="24"/>
          <w:lang w:val="sq-AL"/>
        </w:rPr>
        <w:t>“Me ty për Shqipërinë që duam”</w:t>
      </w:r>
      <w:r w:rsidR="00FF758A" w:rsidRPr="00641640">
        <w:rPr>
          <w:rFonts w:ascii="Times New Roman" w:eastAsia="Calibri" w:hAnsi="Times New Roman" w:cs="Times New Roman"/>
          <w:noProof/>
          <w:sz w:val="24"/>
          <w:szCs w:val="24"/>
          <w:lang w:val="sq-AL"/>
        </w:rPr>
        <w:t xml:space="preserve">, </w:t>
      </w:r>
      <w:r w:rsidR="00C65470" w:rsidRPr="00641640">
        <w:rPr>
          <w:rFonts w:ascii="Times New Roman" w:hAnsi="Times New Roman" w:cs="Times New Roman"/>
          <w:noProof/>
          <w:color w:val="000000"/>
          <w:sz w:val="24"/>
          <w:szCs w:val="24"/>
          <w:lang w:val="sq-AL"/>
        </w:rPr>
        <w:t>me qëllim rritjen e rolit të tyre në përmirësimin e cilësisë së ofrimit të shërbimeve publike, si dhe ndërmarrjen e nismave, të projekteve ose të programeve të përbashkëta që kanë si qëllim përfshirjen e qytetarëve në bashkëqeverisje</w:t>
      </w:r>
      <w:r w:rsidR="00207F72" w:rsidRPr="00641640">
        <w:rPr>
          <w:rFonts w:ascii="Times New Roman" w:hAnsi="Times New Roman" w:cs="Times New Roman"/>
          <w:noProof/>
          <w:color w:val="000000"/>
          <w:sz w:val="24"/>
          <w:szCs w:val="24"/>
          <w:lang w:val="sq-AL"/>
        </w:rPr>
        <w:t>.</w:t>
      </w:r>
      <w:r w:rsidR="00C65470" w:rsidRPr="00641640">
        <w:rPr>
          <w:rFonts w:ascii="Times New Roman" w:eastAsia="Calibri" w:hAnsi="Times New Roman" w:cs="Times New Roman"/>
          <w:noProof/>
          <w:sz w:val="24"/>
          <w:szCs w:val="24"/>
          <w:lang w:val="sq-AL"/>
        </w:rPr>
        <w:t xml:space="preserve"> Gjithashtu,</w:t>
      </w:r>
      <w:r w:rsidR="0042189C" w:rsidRPr="00641640">
        <w:rPr>
          <w:rFonts w:ascii="Times New Roman" w:eastAsia="Calibri" w:hAnsi="Times New Roman" w:cs="Times New Roman"/>
          <w:noProof/>
          <w:sz w:val="24"/>
          <w:szCs w:val="24"/>
          <w:lang w:val="sq-AL"/>
        </w:rPr>
        <w:t xml:space="preserve"> një</w:t>
      </w:r>
      <w:r w:rsidR="00C65470" w:rsidRPr="00641640">
        <w:rPr>
          <w:rFonts w:ascii="Times New Roman" w:eastAsia="Calibri" w:hAnsi="Times New Roman" w:cs="Times New Roman"/>
          <w:noProof/>
          <w:sz w:val="24"/>
          <w:szCs w:val="24"/>
          <w:lang w:val="sq-AL"/>
        </w:rPr>
        <w:t xml:space="preserve"> mekaniz</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m tjet</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r p</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r krijimin e metodave t</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 xml:space="preserve"> bashk</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 xml:space="preserve">qeverisjes rregullohet me </w:t>
      </w:r>
      <w:r w:rsidR="00FF600F">
        <w:rPr>
          <w:rFonts w:ascii="Times New Roman" w:eastAsia="Calibri" w:hAnsi="Times New Roman" w:cs="Times New Roman"/>
          <w:noProof/>
          <w:sz w:val="24"/>
          <w:szCs w:val="24"/>
          <w:lang w:val="sq-AL"/>
        </w:rPr>
        <w:t>V</w:t>
      </w:r>
      <w:r w:rsidR="00C65470" w:rsidRPr="00641640">
        <w:rPr>
          <w:rFonts w:ascii="Times New Roman" w:eastAsia="Calibri" w:hAnsi="Times New Roman" w:cs="Times New Roman"/>
          <w:noProof/>
          <w:sz w:val="24"/>
          <w:szCs w:val="24"/>
          <w:lang w:val="sq-AL"/>
        </w:rPr>
        <w:t>endimin nr. 787</w:t>
      </w:r>
      <w:r w:rsidR="002E1B0F" w:rsidRPr="00641640">
        <w:rPr>
          <w:rFonts w:ascii="Times New Roman" w:eastAsia="Calibri" w:hAnsi="Times New Roman" w:cs="Times New Roman"/>
          <w:noProof/>
          <w:sz w:val="24"/>
          <w:szCs w:val="24"/>
          <w:lang w:val="sq-AL"/>
        </w:rPr>
        <w:t xml:space="preserve">, datë </w:t>
      </w:r>
      <w:r w:rsidR="00F863ED" w:rsidRPr="00641640">
        <w:rPr>
          <w:rFonts w:ascii="Times New Roman" w:eastAsia="Calibri" w:hAnsi="Times New Roman" w:cs="Times New Roman"/>
          <w:noProof/>
          <w:sz w:val="24"/>
          <w:szCs w:val="24"/>
          <w:lang w:val="sq-AL"/>
        </w:rPr>
        <w:t>28.12.2023</w:t>
      </w:r>
      <w:r w:rsidR="002E1B0F" w:rsidRPr="00641640">
        <w:rPr>
          <w:rFonts w:ascii="Times New Roman" w:eastAsia="Calibri" w:hAnsi="Times New Roman" w:cs="Times New Roman"/>
          <w:noProof/>
          <w:sz w:val="24"/>
          <w:szCs w:val="24"/>
          <w:lang w:val="sq-AL"/>
        </w:rPr>
        <w:t>, të Këshillit të Minstrave,</w:t>
      </w:r>
      <w:r w:rsidR="00C65470" w:rsidRPr="00641640">
        <w:rPr>
          <w:rFonts w:ascii="Times New Roman" w:eastAsia="Calibri" w:hAnsi="Times New Roman" w:cs="Times New Roman"/>
          <w:noProof/>
          <w:sz w:val="24"/>
          <w:szCs w:val="24"/>
          <w:lang w:val="sq-AL"/>
        </w:rPr>
        <w:t xml:space="preserve"> </w:t>
      </w:r>
      <w:r w:rsidR="002E1B0F" w:rsidRPr="00641640">
        <w:rPr>
          <w:rFonts w:ascii="Times New Roman" w:eastAsia="Calibri" w:hAnsi="Times New Roman" w:cs="Times New Roman"/>
          <w:noProof/>
          <w:sz w:val="24"/>
          <w:szCs w:val="24"/>
          <w:lang w:val="sq-AL"/>
        </w:rPr>
        <w:t>“</w:t>
      </w:r>
      <w:r w:rsidR="00C65470" w:rsidRPr="00FF600F">
        <w:rPr>
          <w:rFonts w:ascii="Times New Roman" w:eastAsia="Calibri" w:hAnsi="Times New Roman" w:cs="Times New Roman"/>
          <w:i/>
          <w:iCs/>
          <w:noProof/>
          <w:sz w:val="24"/>
          <w:szCs w:val="24"/>
          <w:lang w:val="sq-AL"/>
        </w:rPr>
        <w:t>P</w:t>
      </w:r>
      <w:r w:rsidR="00C65470" w:rsidRPr="00FF600F">
        <w:rPr>
          <w:rFonts w:ascii="Times New Roman" w:hAnsi="Times New Roman" w:cs="Times New Roman"/>
          <w:i/>
          <w:iCs/>
          <w:noProof/>
          <w:color w:val="000000"/>
          <w:sz w:val="24"/>
          <w:szCs w:val="24"/>
          <w:lang w:val="sq-AL"/>
        </w:rPr>
        <w:t>ë</w:t>
      </w:r>
      <w:r w:rsidR="00C65470" w:rsidRPr="00FF600F">
        <w:rPr>
          <w:rFonts w:ascii="Times New Roman" w:eastAsia="Calibri" w:hAnsi="Times New Roman" w:cs="Times New Roman"/>
          <w:i/>
          <w:iCs/>
          <w:noProof/>
          <w:sz w:val="24"/>
          <w:szCs w:val="24"/>
          <w:lang w:val="sq-AL"/>
        </w:rPr>
        <w:t>r rregullat dhe procedurat e shqyrtimit t</w:t>
      </w:r>
      <w:r w:rsidR="00C65470" w:rsidRPr="00FF600F">
        <w:rPr>
          <w:rFonts w:ascii="Times New Roman" w:hAnsi="Times New Roman" w:cs="Times New Roman"/>
          <w:i/>
          <w:iCs/>
          <w:noProof/>
          <w:color w:val="000000"/>
          <w:sz w:val="24"/>
          <w:szCs w:val="24"/>
          <w:lang w:val="sq-AL"/>
        </w:rPr>
        <w:t>ë</w:t>
      </w:r>
      <w:r w:rsidR="00C65470" w:rsidRPr="00FF600F">
        <w:rPr>
          <w:rFonts w:ascii="Times New Roman" w:eastAsia="Calibri" w:hAnsi="Times New Roman" w:cs="Times New Roman"/>
          <w:i/>
          <w:iCs/>
          <w:noProof/>
          <w:sz w:val="24"/>
          <w:szCs w:val="24"/>
          <w:lang w:val="sq-AL"/>
        </w:rPr>
        <w:t xml:space="preserve"> nevoj</w:t>
      </w:r>
      <w:r w:rsidR="00C65470" w:rsidRPr="00FF600F">
        <w:rPr>
          <w:rFonts w:ascii="Times New Roman" w:hAnsi="Times New Roman" w:cs="Times New Roman"/>
          <w:i/>
          <w:iCs/>
          <w:noProof/>
          <w:color w:val="000000"/>
          <w:sz w:val="24"/>
          <w:szCs w:val="24"/>
          <w:lang w:val="sq-AL"/>
        </w:rPr>
        <w:t>ë</w:t>
      </w:r>
      <w:r w:rsidR="00C65470" w:rsidRPr="00FF600F">
        <w:rPr>
          <w:rFonts w:ascii="Times New Roman" w:eastAsia="Calibri" w:hAnsi="Times New Roman" w:cs="Times New Roman"/>
          <w:i/>
          <w:iCs/>
          <w:noProof/>
          <w:sz w:val="24"/>
          <w:szCs w:val="24"/>
          <w:lang w:val="sq-AL"/>
        </w:rPr>
        <w:t>s, hartimit, bashk</w:t>
      </w:r>
      <w:r w:rsidR="00C65470" w:rsidRPr="00FF600F">
        <w:rPr>
          <w:rFonts w:ascii="Times New Roman" w:hAnsi="Times New Roman" w:cs="Times New Roman"/>
          <w:i/>
          <w:iCs/>
          <w:noProof/>
          <w:color w:val="000000"/>
          <w:sz w:val="24"/>
          <w:szCs w:val="24"/>
          <w:lang w:val="sq-AL"/>
        </w:rPr>
        <w:t>ë</w:t>
      </w:r>
      <w:r w:rsidR="00C65470" w:rsidRPr="00FF600F">
        <w:rPr>
          <w:rFonts w:ascii="Times New Roman" w:eastAsia="Calibri" w:hAnsi="Times New Roman" w:cs="Times New Roman"/>
          <w:i/>
          <w:iCs/>
          <w:noProof/>
          <w:sz w:val="24"/>
          <w:szCs w:val="24"/>
          <w:lang w:val="sq-AL"/>
        </w:rPr>
        <w:t>punimit, miratimit dhe funksionimit t</w:t>
      </w:r>
      <w:r w:rsidR="00C65470" w:rsidRPr="00FF600F">
        <w:rPr>
          <w:rFonts w:ascii="Times New Roman" w:hAnsi="Times New Roman" w:cs="Times New Roman"/>
          <w:i/>
          <w:iCs/>
          <w:noProof/>
          <w:color w:val="000000"/>
          <w:sz w:val="24"/>
          <w:szCs w:val="24"/>
          <w:lang w:val="sq-AL"/>
        </w:rPr>
        <w:t>ë</w:t>
      </w:r>
      <w:r w:rsidR="00C65470" w:rsidRPr="00FF600F">
        <w:rPr>
          <w:rFonts w:ascii="Times New Roman" w:eastAsia="Calibri" w:hAnsi="Times New Roman" w:cs="Times New Roman"/>
          <w:i/>
          <w:iCs/>
          <w:noProof/>
          <w:sz w:val="24"/>
          <w:szCs w:val="24"/>
          <w:lang w:val="sq-AL"/>
        </w:rPr>
        <w:t xml:space="preserve"> metodave apo seksioneve t</w:t>
      </w:r>
      <w:r w:rsidR="00C65470" w:rsidRPr="00FF600F">
        <w:rPr>
          <w:rFonts w:ascii="Times New Roman" w:hAnsi="Times New Roman" w:cs="Times New Roman"/>
          <w:i/>
          <w:iCs/>
          <w:noProof/>
          <w:color w:val="000000"/>
          <w:sz w:val="24"/>
          <w:szCs w:val="24"/>
          <w:lang w:val="sq-AL"/>
        </w:rPr>
        <w:t>ë</w:t>
      </w:r>
      <w:r w:rsidR="00C65470" w:rsidRPr="00FF600F">
        <w:rPr>
          <w:rFonts w:ascii="Times New Roman" w:eastAsia="Calibri" w:hAnsi="Times New Roman" w:cs="Times New Roman"/>
          <w:i/>
          <w:iCs/>
          <w:noProof/>
          <w:sz w:val="24"/>
          <w:szCs w:val="24"/>
          <w:lang w:val="sq-AL"/>
        </w:rPr>
        <w:t xml:space="preserve"> reja t</w:t>
      </w:r>
      <w:r w:rsidR="00C65470" w:rsidRPr="00FF600F">
        <w:rPr>
          <w:rFonts w:ascii="Times New Roman" w:hAnsi="Times New Roman" w:cs="Times New Roman"/>
          <w:i/>
          <w:iCs/>
          <w:noProof/>
          <w:color w:val="000000"/>
          <w:sz w:val="24"/>
          <w:szCs w:val="24"/>
          <w:lang w:val="sq-AL"/>
        </w:rPr>
        <w:t>ë</w:t>
      </w:r>
      <w:r w:rsidR="00C65470" w:rsidRPr="00FF600F">
        <w:rPr>
          <w:rFonts w:ascii="Times New Roman" w:eastAsia="Calibri" w:hAnsi="Times New Roman" w:cs="Times New Roman"/>
          <w:i/>
          <w:iCs/>
          <w:noProof/>
          <w:sz w:val="24"/>
          <w:szCs w:val="24"/>
          <w:lang w:val="sq-AL"/>
        </w:rPr>
        <w:t xml:space="preserve"> platform</w:t>
      </w:r>
      <w:r w:rsidR="00C65470" w:rsidRPr="00FF600F">
        <w:rPr>
          <w:rFonts w:ascii="Times New Roman" w:hAnsi="Times New Roman" w:cs="Times New Roman"/>
          <w:i/>
          <w:iCs/>
          <w:noProof/>
          <w:color w:val="000000"/>
          <w:sz w:val="24"/>
          <w:szCs w:val="24"/>
          <w:lang w:val="sq-AL"/>
        </w:rPr>
        <w:t>ë</w:t>
      </w:r>
      <w:r w:rsidR="00C65470" w:rsidRPr="00FF600F">
        <w:rPr>
          <w:rFonts w:ascii="Times New Roman" w:eastAsia="Calibri" w:hAnsi="Times New Roman" w:cs="Times New Roman"/>
          <w:i/>
          <w:iCs/>
          <w:noProof/>
          <w:sz w:val="24"/>
          <w:szCs w:val="24"/>
          <w:lang w:val="sq-AL"/>
        </w:rPr>
        <w:t>s “Me ty p</w:t>
      </w:r>
      <w:r w:rsidR="00C65470" w:rsidRPr="00FF600F">
        <w:rPr>
          <w:rFonts w:ascii="Times New Roman" w:hAnsi="Times New Roman" w:cs="Times New Roman"/>
          <w:i/>
          <w:iCs/>
          <w:noProof/>
          <w:color w:val="000000"/>
          <w:sz w:val="24"/>
          <w:szCs w:val="24"/>
          <w:lang w:val="sq-AL"/>
        </w:rPr>
        <w:t>ë</w:t>
      </w:r>
      <w:r w:rsidR="00C65470" w:rsidRPr="00FF600F">
        <w:rPr>
          <w:rFonts w:ascii="Times New Roman" w:eastAsia="Calibri" w:hAnsi="Times New Roman" w:cs="Times New Roman"/>
          <w:i/>
          <w:iCs/>
          <w:noProof/>
          <w:sz w:val="24"/>
          <w:szCs w:val="24"/>
          <w:lang w:val="sq-AL"/>
        </w:rPr>
        <w:t>r Shqip</w:t>
      </w:r>
      <w:r w:rsidR="00C65470" w:rsidRPr="00FF600F">
        <w:rPr>
          <w:rFonts w:ascii="Times New Roman" w:hAnsi="Times New Roman" w:cs="Times New Roman"/>
          <w:i/>
          <w:iCs/>
          <w:noProof/>
          <w:color w:val="000000"/>
          <w:sz w:val="24"/>
          <w:szCs w:val="24"/>
          <w:lang w:val="sq-AL"/>
        </w:rPr>
        <w:t>ë</w:t>
      </w:r>
      <w:r w:rsidR="00C65470" w:rsidRPr="00FF600F">
        <w:rPr>
          <w:rFonts w:ascii="Times New Roman" w:eastAsia="Calibri" w:hAnsi="Times New Roman" w:cs="Times New Roman"/>
          <w:i/>
          <w:iCs/>
          <w:noProof/>
          <w:sz w:val="24"/>
          <w:szCs w:val="24"/>
          <w:lang w:val="sq-AL"/>
        </w:rPr>
        <w:t>rin</w:t>
      </w:r>
      <w:r w:rsidR="00C65470" w:rsidRPr="00FF600F">
        <w:rPr>
          <w:rFonts w:ascii="Times New Roman" w:hAnsi="Times New Roman" w:cs="Times New Roman"/>
          <w:i/>
          <w:iCs/>
          <w:noProof/>
          <w:color w:val="000000"/>
          <w:sz w:val="24"/>
          <w:szCs w:val="24"/>
          <w:lang w:val="sq-AL"/>
        </w:rPr>
        <w:t>ë</w:t>
      </w:r>
      <w:r w:rsidR="00C65470" w:rsidRPr="00FF600F">
        <w:rPr>
          <w:rFonts w:ascii="Times New Roman" w:eastAsia="Calibri" w:hAnsi="Times New Roman" w:cs="Times New Roman"/>
          <w:i/>
          <w:iCs/>
          <w:noProof/>
          <w:sz w:val="24"/>
          <w:szCs w:val="24"/>
          <w:lang w:val="sq-AL"/>
        </w:rPr>
        <w:t xml:space="preserve"> q</w:t>
      </w:r>
      <w:r w:rsidR="00C65470" w:rsidRPr="00FF600F">
        <w:rPr>
          <w:rFonts w:ascii="Times New Roman" w:hAnsi="Times New Roman" w:cs="Times New Roman"/>
          <w:i/>
          <w:iCs/>
          <w:noProof/>
          <w:color w:val="000000"/>
          <w:sz w:val="24"/>
          <w:szCs w:val="24"/>
          <w:lang w:val="sq-AL"/>
        </w:rPr>
        <w:t>ë</w:t>
      </w:r>
      <w:r w:rsidR="00C65470" w:rsidRPr="00FF600F">
        <w:rPr>
          <w:rFonts w:ascii="Times New Roman" w:eastAsia="Calibri" w:hAnsi="Times New Roman" w:cs="Times New Roman"/>
          <w:i/>
          <w:iCs/>
          <w:noProof/>
          <w:sz w:val="24"/>
          <w:szCs w:val="24"/>
          <w:lang w:val="sq-AL"/>
        </w:rPr>
        <w:t xml:space="preserve"> duam</w:t>
      </w:r>
      <w:r w:rsidR="00C65470" w:rsidRPr="00641640">
        <w:rPr>
          <w:rFonts w:ascii="Times New Roman" w:eastAsia="Calibri" w:hAnsi="Times New Roman" w:cs="Times New Roman"/>
          <w:noProof/>
          <w:sz w:val="24"/>
          <w:szCs w:val="24"/>
          <w:lang w:val="sq-AL"/>
        </w:rPr>
        <w:t>”, i cili p</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rcakton rregullat p</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r K</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shillimin Komb</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tar, nj</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 xml:space="preserve"> proces gjith</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p</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rfshir</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s n</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 xml:space="preserve"> kuad</w:t>
      </w:r>
      <w:r w:rsidR="002E1B0F" w:rsidRPr="00641640">
        <w:rPr>
          <w:rFonts w:ascii="Times New Roman" w:eastAsia="Calibri" w:hAnsi="Times New Roman" w:cs="Times New Roman"/>
          <w:noProof/>
          <w:sz w:val="24"/>
          <w:szCs w:val="24"/>
          <w:lang w:val="sq-AL"/>
        </w:rPr>
        <w:t>ë</w:t>
      </w:r>
      <w:r w:rsidR="00C65470" w:rsidRPr="00641640">
        <w:rPr>
          <w:rFonts w:ascii="Times New Roman" w:eastAsia="Calibri" w:hAnsi="Times New Roman" w:cs="Times New Roman"/>
          <w:noProof/>
          <w:sz w:val="24"/>
          <w:szCs w:val="24"/>
          <w:lang w:val="sq-AL"/>
        </w:rPr>
        <w:t>r t</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 xml:space="preserve"> parimeve t</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 xml:space="preserve"> bashk</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qeverisjes p</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r p</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rmbushjen e objektit t</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 xml:space="preserve"> mendimdh</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nies s</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 xml:space="preserve"> publikut n</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p</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rmjet mbledhjes s</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 xml:space="preserve"> opinionit t</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 xml:space="preserve"> qytetar</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ve mbi politikat, nismat, vendimarrjen e K</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shillit t</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 xml:space="preserve"> Ministrave, si dhe mbi çështjet q</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 xml:space="preserve"> lidhen me veprimtarin</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 xml:space="preserve"> e institucioneve t</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 xml:space="preserve"> administrat</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s shtet</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rore n</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 xml:space="preserve"> drejtim t</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 xml:space="preserve"> dh</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nies s</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 xml:space="preserve"> sh</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rbimeve cil</w:t>
      </w:r>
      <w:r w:rsidR="00C65470" w:rsidRPr="00641640">
        <w:rPr>
          <w:rFonts w:ascii="Times New Roman" w:hAnsi="Times New Roman" w:cs="Times New Roman"/>
          <w:noProof/>
          <w:color w:val="000000"/>
          <w:sz w:val="24"/>
          <w:szCs w:val="24"/>
          <w:lang w:val="sq-AL"/>
        </w:rPr>
        <w:t>ë</w:t>
      </w:r>
      <w:r w:rsidR="00C65470" w:rsidRPr="00641640">
        <w:rPr>
          <w:rFonts w:ascii="Times New Roman" w:eastAsia="Calibri" w:hAnsi="Times New Roman" w:cs="Times New Roman"/>
          <w:noProof/>
          <w:sz w:val="24"/>
          <w:szCs w:val="24"/>
          <w:lang w:val="sq-AL"/>
        </w:rPr>
        <w:t xml:space="preserve">sore ndaj publikut. </w:t>
      </w:r>
    </w:p>
    <w:p w14:paraId="5F732EA8" w14:textId="7EA0ED45" w:rsidR="00F50BF9" w:rsidRDefault="001E7EC1" w:rsidP="003A395D">
      <w:pPr>
        <w:spacing w:line="276" w:lineRule="auto"/>
        <w:jc w:val="both"/>
        <w:rPr>
          <w:rFonts w:ascii="Times New Roman" w:hAnsi="Times New Roman" w:cs="Times New Roman"/>
          <w:noProof/>
          <w:sz w:val="24"/>
          <w:szCs w:val="24"/>
          <w:lang w:val="sq-AL"/>
        </w:rPr>
      </w:pPr>
      <w:r w:rsidRPr="00641640">
        <w:rPr>
          <w:rFonts w:ascii="Times New Roman" w:eastAsia="Calibri" w:hAnsi="Times New Roman" w:cs="Times New Roman"/>
          <w:noProof/>
          <w:sz w:val="24"/>
          <w:szCs w:val="24"/>
          <w:lang w:val="sq-AL"/>
        </w:rPr>
        <w:t>Agjencia p</w:t>
      </w:r>
      <w:r w:rsidR="00414343" w:rsidRPr="00641640">
        <w:rPr>
          <w:rFonts w:ascii="Times New Roman" w:eastAsia="Calibri" w:hAnsi="Times New Roman" w:cs="Times New Roman"/>
          <w:noProof/>
          <w:sz w:val="24"/>
          <w:szCs w:val="24"/>
          <w:lang w:val="sq-AL"/>
        </w:rPr>
        <w:t>ë</w:t>
      </w:r>
      <w:r w:rsidRPr="00641640">
        <w:rPr>
          <w:rFonts w:ascii="Times New Roman" w:eastAsia="Calibri" w:hAnsi="Times New Roman" w:cs="Times New Roman"/>
          <w:noProof/>
          <w:sz w:val="24"/>
          <w:szCs w:val="24"/>
          <w:lang w:val="sq-AL"/>
        </w:rPr>
        <w:t>r Dialog dhe Bashk</w:t>
      </w:r>
      <w:r w:rsidR="00414343" w:rsidRPr="00641640">
        <w:rPr>
          <w:rFonts w:ascii="Times New Roman" w:eastAsia="Calibri" w:hAnsi="Times New Roman" w:cs="Times New Roman"/>
          <w:noProof/>
          <w:sz w:val="24"/>
          <w:szCs w:val="24"/>
          <w:lang w:val="sq-AL"/>
        </w:rPr>
        <w:t>ë</w:t>
      </w:r>
      <w:r w:rsidRPr="00641640">
        <w:rPr>
          <w:rFonts w:ascii="Times New Roman" w:eastAsia="Calibri" w:hAnsi="Times New Roman" w:cs="Times New Roman"/>
          <w:noProof/>
          <w:sz w:val="24"/>
          <w:szCs w:val="24"/>
          <w:lang w:val="sq-AL"/>
        </w:rPr>
        <w:t>qeverisje (ADB)</w:t>
      </w:r>
      <w:r w:rsidR="00BC4368" w:rsidRPr="00641640">
        <w:rPr>
          <w:rFonts w:ascii="Times New Roman" w:eastAsia="Calibri" w:hAnsi="Times New Roman" w:cs="Times New Roman"/>
          <w:noProof/>
          <w:sz w:val="24"/>
          <w:szCs w:val="24"/>
          <w:lang w:val="sq-AL"/>
        </w:rPr>
        <w:t xml:space="preserve"> ndjek dhe menaxhon ankesat e depozituara nga qytetarët</w:t>
      </w:r>
      <w:r w:rsidR="00846FDA" w:rsidRPr="00641640">
        <w:rPr>
          <w:rFonts w:ascii="Times New Roman" w:eastAsia="Calibri" w:hAnsi="Times New Roman" w:cs="Times New Roman"/>
          <w:noProof/>
          <w:sz w:val="24"/>
          <w:szCs w:val="24"/>
          <w:lang w:val="sq-AL"/>
        </w:rPr>
        <w:t xml:space="preserve"> dhe ankesa ose kërkesa nga subjektet </w:t>
      </w:r>
      <w:r w:rsidR="00E64924" w:rsidRPr="00641640">
        <w:rPr>
          <w:rFonts w:ascii="Times New Roman" w:eastAsia="Calibri" w:hAnsi="Times New Roman" w:cs="Times New Roman"/>
          <w:noProof/>
          <w:sz w:val="24"/>
          <w:szCs w:val="24"/>
          <w:lang w:val="sq-AL"/>
        </w:rPr>
        <w:t>përmes</w:t>
      </w:r>
      <w:r w:rsidR="00BC4368" w:rsidRPr="00641640">
        <w:rPr>
          <w:rFonts w:ascii="Times New Roman" w:eastAsia="Calibri" w:hAnsi="Times New Roman" w:cs="Times New Roman"/>
          <w:noProof/>
          <w:sz w:val="24"/>
          <w:szCs w:val="24"/>
          <w:lang w:val="sq-AL"/>
        </w:rPr>
        <w:t xml:space="preserve"> platformës</w:t>
      </w:r>
      <w:r w:rsidRPr="00641640">
        <w:rPr>
          <w:rFonts w:ascii="Times New Roman" w:eastAsia="Calibri" w:hAnsi="Times New Roman" w:cs="Times New Roman"/>
          <w:noProof/>
          <w:sz w:val="24"/>
          <w:szCs w:val="24"/>
          <w:lang w:val="sq-AL"/>
        </w:rPr>
        <w:t xml:space="preserve"> </w:t>
      </w:r>
      <w:hyperlink r:id="rId11" w:history="1">
        <w:r w:rsidR="00653C91" w:rsidRPr="00641640">
          <w:rPr>
            <w:rStyle w:val="Hyperlink"/>
            <w:rFonts w:ascii="Times New Roman" w:eastAsia="Calibri" w:hAnsi="Times New Roman" w:cs="Times New Roman"/>
            <w:noProof/>
            <w:sz w:val="24"/>
            <w:szCs w:val="24"/>
            <w:lang w:val="sq-AL"/>
          </w:rPr>
          <w:t>www.shqiperiaqeduam.al</w:t>
        </w:r>
      </w:hyperlink>
      <w:r w:rsidR="00653C91" w:rsidRPr="00641640">
        <w:rPr>
          <w:rFonts w:ascii="Times New Roman" w:eastAsia="Calibri" w:hAnsi="Times New Roman" w:cs="Times New Roman"/>
          <w:noProof/>
          <w:sz w:val="24"/>
          <w:szCs w:val="24"/>
          <w:lang w:val="sq-AL"/>
        </w:rPr>
        <w:t>.</w:t>
      </w:r>
      <w:r w:rsidRPr="00641640">
        <w:rPr>
          <w:rFonts w:ascii="Times New Roman" w:eastAsia="Calibri" w:hAnsi="Times New Roman" w:cs="Times New Roman"/>
          <w:noProof/>
          <w:sz w:val="24"/>
          <w:szCs w:val="24"/>
          <w:lang w:val="sq-AL"/>
        </w:rPr>
        <w:t xml:space="preserve"> Rubrika</w:t>
      </w:r>
      <w:r w:rsidRPr="00641640">
        <w:rPr>
          <w:rFonts w:ascii="Times New Roman" w:eastAsia="Calibri" w:hAnsi="Times New Roman" w:cs="Times New Roman"/>
          <w:i/>
          <w:noProof/>
          <w:sz w:val="24"/>
          <w:szCs w:val="24"/>
          <w:lang w:val="sq-AL"/>
        </w:rPr>
        <w:t xml:space="preserve"> “Denonco korrupsionin”</w:t>
      </w:r>
      <w:r w:rsidRPr="00641640">
        <w:rPr>
          <w:rFonts w:ascii="Times New Roman" w:eastAsia="Calibri" w:hAnsi="Times New Roman" w:cs="Times New Roman"/>
          <w:noProof/>
          <w:sz w:val="24"/>
          <w:szCs w:val="24"/>
          <w:lang w:val="sq-AL"/>
        </w:rPr>
        <w:t xml:space="preserve"> n</w:t>
      </w:r>
      <w:r w:rsidR="00414343" w:rsidRPr="00641640">
        <w:rPr>
          <w:rFonts w:ascii="Times New Roman" w:eastAsia="Calibri" w:hAnsi="Times New Roman" w:cs="Times New Roman"/>
          <w:noProof/>
          <w:sz w:val="24"/>
          <w:szCs w:val="24"/>
          <w:lang w:val="sq-AL"/>
        </w:rPr>
        <w:t>ë</w:t>
      </w:r>
      <w:r w:rsidRPr="00641640">
        <w:rPr>
          <w:rFonts w:ascii="Times New Roman" w:eastAsia="Calibri" w:hAnsi="Times New Roman" w:cs="Times New Roman"/>
          <w:noProof/>
          <w:sz w:val="24"/>
          <w:szCs w:val="24"/>
          <w:lang w:val="sq-AL"/>
        </w:rPr>
        <w:t xml:space="preserve"> platform</w:t>
      </w:r>
      <w:r w:rsidR="00414343" w:rsidRPr="00641640">
        <w:rPr>
          <w:rFonts w:ascii="Times New Roman" w:eastAsia="Calibri" w:hAnsi="Times New Roman" w:cs="Times New Roman"/>
          <w:noProof/>
          <w:sz w:val="24"/>
          <w:szCs w:val="24"/>
          <w:lang w:val="sq-AL"/>
        </w:rPr>
        <w:t>ë</w:t>
      </w:r>
      <w:r w:rsidRPr="00641640">
        <w:rPr>
          <w:rFonts w:ascii="Times New Roman" w:eastAsia="Calibri" w:hAnsi="Times New Roman" w:cs="Times New Roman"/>
          <w:noProof/>
          <w:sz w:val="24"/>
          <w:szCs w:val="24"/>
          <w:lang w:val="sq-AL"/>
        </w:rPr>
        <w:t xml:space="preserve"> </w:t>
      </w:r>
      <w:r w:rsidR="00E6108F" w:rsidRPr="00641640">
        <w:rPr>
          <w:rFonts w:ascii="Times New Roman" w:eastAsia="Calibri" w:hAnsi="Times New Roman" w:cs="Times New Roman"/>
          <w:noProof/>
          <w:sz w:val="24"/>
          <w:szCs w:val="24"/>
          <w:lang w:val="sq-AL"/>
        </w:rPr>
        <w:t>sh</w:t>
      </w:r>
      <w:r w:rsidR="00414343" w:rsidRPr="00641640">
        <w:rPr>
          <w:rFonts w:ascii="Times New Roman" w:eastAsia="Calibri" w:hAnsi="Times New Roman" w:cs="Times New Roman"/>
          <w:noProof/>
          <w:sz w:val="24"/>
          <w:szCs w:val="24"/>
          <w:lang w:val="sq-AL"/>
        </w:rPr>
        <w:t>ë</w:t>
      </w:r>
      <w:r w:rsidR="00E6108F" w:rsidRPr="00641640">
        <w:rPr>
          <w:rFonts w:ascii="Times New Roman" w:eastAsia="Calibri" w:hAnsi="Times New Roman" w:cs="Times New Roman"/>
          <w:noProof/>
          <w:sz w:val="24"/>
          <w:szCs w:val="24"/>
          <w:lang w:val="sq-AL"/>
        </w:rPr>
        <w:t>rben si nj</w:t>
      </w:r>
      <w:r w:rsidR="00414343" w:rsidRPr="00641640">
        <w:rPr>
          <w:rFonts w:ascii="Times New Roman" w:eastAsia="Calibri" w:hAnsi="Times New Roman" w:cs="Times New Roman"/>
          <w:noProof/>
          <w:sz w:val="24"/>
          <w:szCs w:val="24"/>
          <w:lang w:val="sq-AL"/>
        </w:rPr>
        <w:t>ë</w:t>
      </w:r>
      <w:r w:rsidR="00E6108F" w:rsidRPr="00641640">
        <w:rPr>
          <w:rFonts w:ascii="Times New Roman" w:eastAsia="Calibri" w:hAnsi="Times New Roman" w:cs="Times New Roman"/>
          <w:noProof/>
          <w:sz w:val="24"/>
          <w:szCs w:val="24"/>
          <w:lang w:val="sq-AL"/>
        </w:rPr>
        <w:t xml:space="preserve"> nga mekanizmat n</w:t>
      </w:r>
      <w:r w:rsidR="00414343" w:rsidRPr="00641640">
        <w:rPr>
          <w:rFonts w:ascii="Times New Roman" w:eastAsia="Calibri" w:hAnsi="Times New Roman" w:cs="Times New Roman"/>
          <w:noProof/>
          <w:sz w:val="24"/>
          <w:szCs w:val="24"/>
          <w:lang w:val="sq-AL"/>
        </w:rPr>
        <w:t>ë</w:t>
      </w:r>
      <w:r w:rsidR="00E6108F" w:rsidRPr="00641640">
        <w:rPr>
          <w:rFonts w:ascii="Times New Roman" w:eastAsia="Calibri" w:hAnsi="Times New Roman" w:cs="Times New Roman"/>
          <w:noProof/>
          <w:sz w:val="24"/>
          <w:szCs w:val="24"/>
          <w:lang w:val="sq-AL"/>
        </w:rPr>
        <w:t xml:space="preserve"> dispozicion t</w:t>
      </w:r>
      <w:r w:rsidR="00414343" w:rsidRPr="00641640">
        <w:rPr>
          <w:rFonts w:ascii="Times New Roman" w:eastAsia="Calibri" w:hAnsi="Times New Roman" w:cs="Times New Roman"/>
          <w:noProof/>
          <w:sz w:val="24"/>
          <w:szCs w:val="24"/>
          <w:lang w:val="sq-AL"/>
        </w:rPr>
        <w:t>ë</w:t>
      </w:r>
      <w:r w:rsidR="00E6108F" w:rsidRPr="00641640">
        <w:rPr>
          <w:rFonts w:ascii="Times New Roman" w:eastAsia="Calibri" w:hAnsi="Times New Roman" w:cs="Times New Roman"/>
          <w:noProof/>
          <w:sz w:val="24"/>
          <w:szCs w:val="24"/>
          <w:lang w:val="sq-AL"/>
        </w:rPr>
        <w:t xml:space="preserve"> qytetar</w:t>
      </w:r>
      <w:r w:rsidR="00414343" w:rsidRPr="00641640">
        <w:rPr>
          <w:rFonts w:ascii="Times New Roman" w:eastAsia="Calibri" w:hAnsi="Times New Roman" w:cs="Times New Roman"/>
          <w:noProof/>
          <w:sz w:val="24"/>
          <w:szCs w:val="24"/>
          <w:lang w:val="sq-AL"/>
        </w:rPr>
        <w:t>ë</w:t>
      </w:r>
      <w:r w:rsidR="00E6108F" w:rsidRPr="00641640">
        <w:rPr>
          <w:rFonts w:ascii="Times New Roman" w:eastAsia="Calibri" w:hAnsi="Times New Roman" w:cs="Times New Roman"/>
          <w:noProof/>
          <w:sz w:val="24"/>
          <w:szCs w:val="24"/>
          <w:lang w:val="sq-AL"/>
        </w:rPr>
        <w:t xml:space="preserve">ve dhe bizneseve </w:t>
      </w:r>
      <w:r w:rsidR="00BC4368" w:rsidRPr="00641640">
        <w:rPr>
          <w:rFonts w:ascii="Times New Roman" w:eastAsia="Calibri" w:hAnsi="Times New Roman" w:cs="Times New Roman"/>
          <w:noProof/>
          <w:sz w:val="24"/>
          <w:szCs w:val="24"/>
          <w:lang w:val="sq-AL"/>
        </w:rPr>
        <w:t xml:space="preserve">për të raportuar </w:t>
      </w:r>
      <w:r w:rsidR="00E6108F" w:rsidRPr="00641640">
        <w:rPr>
          <w:rFonts w:ascii="Times New Roman" w:eastAsia="Calibri" w:hAnsi="Times New Roman" w:cs="Times New Roman"/>
          <w:noProof/>
          <w:sz w:val="24"/>
          <w:szCs w:val="24"/>
          <w:lang w:val="sq-AL"/>
        </w:rPr>
        <w:t xml:space="preserve">praktikat korruptive </w:t>
      </w:r>
      <w:r w:rsidR="00BC4368" w:rsidRPr="00641640">
        <w:rPr>
          <w:rFonts w:ascii="Times New Roman" w:eastAsia="Calibri" w:hAnsi="Times New Roman" w:cs="Times New Roman"/>
          <w:noProof/>
          <w:sz w:val="24"/>
          <w:szCs w:val="24"/>
          <w:lang w:val="sq-AL"/>
        </w:rPr>
        <w:t>në administratën publik</w:t>
      </w:r>
      <w:r w:rsidR="00572331" w:rsidRPr="00641640">
        <w:rPr>
          <w:rFonts w:ascii="Times New Roman" w:eastAsia="Calibri" w:hAnsi="Times New Roman" w:cs="Times New Roman"/>
          <w:noProof/>
          <w:sz w:val="24"/>
          <w:szCs w:val="24"/>
          <w:lang w:val="sq-AL"/>
        </w:rPr>
        <w:t>e</w:t>
      </w:r>
      <w:r w:rsidR="004D2B7C" w:rsidRPr="00641640">
        <w:rPr>
          <w:rFonts w:ascii="Times New Roman" w:eastAsia="Calibri" w:hAnsi="Times New Roman" w:cs="Times New Roman"/>
          <w:noProof/>
          <w:sz w:val="24"/>
          <w:szCs w:val="24"/>
          <w:lang w:val="sq-AL"/>
        </w:rPr>
        <w:t xml:space="preserve"> </w:t>
      </w:r>
      <w:r w:rsidR="004D2B7C" w:rsidRPr="00641640">
        <w:rPr>
          <w:rFonts w:ascii="Times New Roman" w:hAnsi="Times New Roman" w:cs="Times New Roman"/>
          <w:noProof/>
          <w:color w:val="000000"/>
          <w:sz w:val="24"/>
          <w:szCs w:val="24"/>
          <w:lang w:val="sq-AL"/>
        </w:rPr>
        <w:t>apo kur konstatohet se në përmbajtje të çështjes ka elemente të një akti korruptiv të ndodhur ose në tentativë</w:t>
      </w:r>
      <w:r w:rsidR="004D2B7C" w:rsidRPr="00641640">
        <w:rPr>
          <w:rFonts w:ascii="Times New Roman" w:eastAsia="Calibri" w:hAnsi="Times New Roman" w:cs="Times New Roman"/>
          <w:noProof/>
          <w:sz w:val="24"/>
          <w:szCs w:val="24"/>
          <w:lang w:val="sq-AL"/>
        </w:rPr>
        <w:t>.</w:t>
      </w:r>
      <w:r w:rsidR="00E6108F" w:rsidRPr="00641640">
        <w:rPr>
          <w:rFonts w:ascii="Times New Roman" w:eastAsia="Calibri" w:hAnsi="Times New Roman" w:cs="Times New Roman"/>
          <w:noProof/>
          <w:sz w:val="24"/>
          <w:szCs w:val="24"/>
          <w:lang w:val="sq-AL"/>
        </w:rPr>
        <w:t xml:space="preserve"> Pas </w:t>
      </w:r>
      <w:r w:rsidR="00F50BF9" w:rsidRPr="00641640">
        <w:rPr>
          <w:rFonts w:ascii="Times New Roman" w:eastAsia="Calibri" w:hAnsi="Times New Roman" w:cs="Times New Roman"/>
          <w:noProof/>
          <w:sz w:val="24"/>
          <w:szCs w:val="24"/>
          <w:lang w:val="sq-AL"/>
        </w:rPr>
        <w:t xml:space="preserve">vlerësimit </w:t>
      </w:r>
      <w:r w:rsidR="00E6108F" w:rsidRPr="00641640">
        <w:rPr>
          <w:rFonts w:ascii="Times New Roman" w:eastAsia="Calibri" w:hAnsi="Times New Roman" w:cs="Times New Roman"/>
          <w:noProof/>
          <w:sz w:val="24"/>
          <w:szCs w:val="24"/>
          <w:lang w:val="sq-AL"/>
        </w:rPr>
        <w:t>paraprak t</w:t>
      </w:r>
      <w:r w:rsidR="00414343" w:rsidRPr="00641640">
        <w:rPr>
          <w:rFonts w:ascii="Times New Roman" w:eastAsia="Calibri" w:hAnsi="Times New Roman" w:cs="Times New Roman"/>
          <w:noProof/>
          <w:sz w:val="24"/>
          <w:szCs w:val="24"/>
          <w:lang w:val="sq-AL"/>
        </w:rPr>
        <w:t>ë</w:t>
      </w:r>
      <w:r w:rsidR="00E6108F" w:rsidRPr="00641640">
        <w:rPr>
          <w:rFonts w:ascii="Times New Roman" w:eastAsia="Calibri" w:hAnsi="Times New Roman" w:cs="Times New Roman"/>
          <w:noProof/>
          <w:sz w:val="24"/>
          <w:szCs w:val="24"/>
          <w:lang w:val="sq-AL"/>
        </w:rPr>
        <w:t xml:space="preserve"> bazueshm</w:t>
      </w:r>
      <w:r w:rsidR="00414343" w:rsidRPr="00641640">
        <w:rPr>
          <w:rFonts w:ascii="Times New Roman" w:eastAsia="Calibri" w:hAnsi="Times New Roman" w:cs="Times New Roman"/>
          <w:noProof/>
          <w:sz w:val="24"/>
          <w:szCs w:val="24"/>
          <w:lang w:val="sq-AL"/>
        </w:rPr>
        <w:t>ë</w:t>
      </w:r>
      <w:r w:rsidR="00E6108F" w:rsidRPr="00641640">
        <w:rPr>
          <w:rFonts w:ascii="Times New Roman" w:eastAsia="Calibri" w:hAnsi="Times New Roman" w:cs="Times New Roman"/>
          <w:noProof/>
          <w:sz w:val="24"/>
          <w:szCs w:val="24"/>
          <w:lang w:val="sq-AL"/>
        </w:rPr>
        <w:t>ris</w:t>
      </w:r>
      <w:r w:rsidR="00414343" w:rsidRPr="00641640">
        <w:rPr>
          <w:rFonts w:ascii="Times New Roman" w:eastAsia="Calibri" w:hAnsi="Times New Roman" w:cs="Times New Roman"/>
          <w:noProof/>
          <w:sz w:val="24"/>
          <w:szCs w:val="24"/>
          <w:lang w:val="sq-AL"/>
        </w:rPr>
        <w:t>ë</w:t>
      </w:r>
      <w:r w:rsidR="00E6108F" w:rsidRPr="00641640">
        <w:rPr>
          <w:rFonts w:ascii="Times New Roman" w:eastAsia="Calibri" w:hAnsi="Times New Roman" w:cs="Times New Roman"/>
          <w:noProof/>
          <w:sz w:val="24"/>
          <w:szCs w:val="24"/>
          <w:lang w:val="sq-AL"/>
        </w:rPr>
        <w:t xml:space="preserve"> n</w:t>
      </w:r>
      <w:r w:rsidR="00414343" w:rsidRPr="00641640">
        <w:rPr>
          <w:rFonts w:ascii="Times New Roman" w:eastAsia="Calibri" w:hAnsi="Times New Roman" w:cs="Times New Roman"/>
          <w:noProof/>
          <w:sz w:val="24"/>
          <w:szCs w:val="24"/>
          <w:lang w:val="sq-AL"/>
        </w:rPr>
        <w:t>ë</w:t>
      </w:r>
      <w:r w:rsidR="00E6108F" w:rsidRPr="00641640">
        <w:rPr>
          <w:rFonts w:ascii="Times New Roman" w:eastAsia="Calibri" w:hAnsi="Times New Roman" w:cs="Times New Roman"/>
          <w:noProof/>
          <w:sz w:val="24"/>
          <w:szCs w:val="24"/>
          <w:lang w:val="sq-AL"/>
        </w:rPr>
        <w:t xml:space="preserve"> prova, raportimet p</w:t>
      </w:r>
      <w:r w:rsidR="00414343" w:rsidRPr="00641640">
        <w:rPr>
          <w:rFonts w:ascii="Times New Roman" w:eastAsia="Calibri" w:hAnsi="Times New Roman" w:cs="Times New Roman"/>
          <w:noProof/>
          <w:sz w:val="24"/>
          <w:szCs w:val="24"/>
          <w:lang w:val="sq-AL"/>
        </w:rPr>
        <w:t>ë</w:t>
      </w:r>
      <w:r w:rsidR="00E6108F" w:rsidRPr="00641640">
        <w:rPr>
          <w:rFonts w:ascii="Times New Roman" w:eastAsia="Calibri" w:hAnsi="Times New Roman" w:cs="Times New Roman"/>
          <w:noProof/>
          <w:sz w:val="24"/>
          <w:szCs w:val="24"/>
          <w:lang w:val="sq-AL"/>
        </w:rPr>
        <w:t>rcillen pran</w:t>
      </w:r>
      <w:r w:rsidR="00414343" w:rsidRPr="00641640">
        <w:rPr>
          <w:rFonts w:ascii="Times New Roman" w:eastAsia="Calibri" w:hAnsi="Times New Roman" w:cs="Times New Roman"/>
          <w:noProof/>
          <w:sz w:val="24"/>
          <w:szCs w:val="24"/>
          <w:lang w:val="sq-AL"/>
        </w:rPr>
        <w:t>ë</w:t>
      </w:r>
      <w:r w:rsidR="00BC4368" w:rsidRPr="00641640">
        <w:rPr>
          <w:rFonts w:ascii="Times New Roman" w:eastAsia="Calibri" w:hAnsi="Times New Roman" w:cs="Times New Roman"/>
          <w:noProof/>
          <w:sz w:val="24"/>
          <w:szCs w:val="24"/>
          <w:lang w:val="sq-AL"/>
        </w:rPr>
        <w:t xml:space="preserve"> </w:t>
      </w:r>
      <w:r w:rsidR="00FE5420" w:rsidRPr="00641640">
        <w:rPr>
          <w:rFonts w:ascii="Times New Roman" w:eastAsia="Calibri" w:hAnsi="Times New Roman" w:cs="Times New Roman"/>
          <w:noProof/>
          <w:sz w:val="24"/>
          <w:szCs w:val="24"/>
          <w:lang w:val="sq-AL"/>
        </w:rPr>
        <w:t>Drejtoris</w:t>
      </w:r>
      <w:r w:rsidR="00870DCD" w:rsidRPr="00641640">
        <w:rPr>
          <w:rFonts w:ascii="Times New Roman" w:eastAsia="Calibri" w:hAnsi="Times New Roman" w:cs="Times New Roman"/>
          <w:noProof/>
          <w:sz w:val="24"/>
          <w:szCs w:val="24"/>
          <w:lang w:val="sq-AL"/>
        </w:rPr>
        <w:t>ë</w:t>
      </w:r>
      <w:r w:rsidR="00FE5420" w:rsidRPr="00641640">
        <w:rPr>
          <w:rFonts w:ascii="Times New Roman" w:eastAsia="Calibri" w:hAnsi="Times New Roman" w:cs="Times New Roman"/>
          <w:noProof/>
          <w:sz w:val="24"/>
          <w:szCs w:val="24"/>
          <w:lang w:val="sq-AL"/>
        </w:rPr>
        <w:t xml:space="preserve"> s</w:t>
      </w:r>
      <w:r w:rsidR="00870DCD" w:rsidRPr="00641640">
        <w:rPr>
          <w:rFonts w:ascii="Times New Roman" w:eastAsia="Calibri" w:hAnsi="Times New Roman" w:cs="Times New Roman"/>
          <w:noProof/>
          <w:sz w:val="24"/>
          <w:szCs w:val="24"/>
          <w:lang w:val="sq-AL"/>
        </w:rPr>
        <w:t>ë</w:t>
      </w:r>
      <w:r w:rsidR="00FE5420" w:rsidRPr="00641640">
        <w:rPr>
          <w:rFonts w:ascii="Times New Roman" w:eastAsia="Calibri" w:hAnsi="Times New Roman" w:cs="Times New Roman"/>
          <w:noProof/>
          <w:sz w:val="24"/>
          <w:szCs w:val="24"/>
          <w:lang w:val="sq-AL"/>
        </w:rPr>
        <w:t xml:space="preserve"> P</w:t>
      </w:r>
      <w:r w:rsidR="00870DCD" w:rsidRPr="00641640">
        <w:rPr>
          <w:rFonts w:ascii="Times New Roman" w:eastAsia="Calibri" w:hAnsi="Times New Roman" w:cs="Times New Roman"/>
          <w:noProof/>
          <w:sz w:val="24"/>
          <w:szCs w:val="24"/>
          <w:lang w:val="sq-AL"/>
        </w:rPr>
        <w:t>ë</w:t>
      </w:r>
      <w:r w:rsidR="00FE5420" w:rsidRPr="00641640">
        <w:rPr>
          <w:rFonts w:ascii="Times New Roman" w:eastAsia="Calibri" w:hAnsi="Times New Roman" w:cs="Times New Roman"/>
          <w:noProof/>
          <w:sz w:val="24"/>
          <w:szCs w:val="24"/>
          <w:lang w:val="sq-AL"/>
        </w:rPr>
        <w:t xml:space="preserve">rgjithshme </w:t>
      </w:r>
      <w:r w:rsidR="0083717A" w:rsidRPr="00641640">
        <w:rPr>
          <w:rFonts w:ascii="Times New Roman" w:eastAsia="Calibri" w:hAnsi="Times New Roman" w:cs="Times New Roman"/>
          <w:noProof/>
          <w:sz w:val="24"/>
          <w:szCs w:val="24"/>
          <w:lang w:val="sq-AL"/>
        </w:rPr>
        <w:t>t</w:t>
      </w:r>
      <w:r w:rsidR="00870DCD" w:rsidRPr="00641640">
        <w:rPr>
          <w:rFonts w:ascii="Times New Roman" w:eastAsia="Calibri" w:hAnsi="Times New Roman" w:cs="Times New Roman"/>
          <w:noProof/>
          <w:sz w:val="24"/>
          <w:szCs w:val="24"/>
          <w:lang w:val="sq-AL"/>
        </w:rPr>
        <w:t>ë</w:t>
      </w:r>
      <w:r w:rsidR="0083717A" w:rsidRPr="00641640">
        <w:rPr>
          <w:rFonts w:ascii="Times New Roman" w:eastAsia="Calibri" w:hAnsi="Times New Roman" w:cs="Times New Roman"/>
          <w:noProof/>
          <w:sz w:val="24"/>
          <w:szCs w:val="24"/>
          <w:lang w:val="sq-AL"/>
        </w:rPr>
        <w:t xml:space="preserve"> </w:t>
      </w:r>
      <w:r w:rsidR="00FE5420" w:rsidRPr="00641640">
        <w:rPr>
          <w:rFonts w:ascii="Times New Roman" w:eastAsia="Calibri" w:hAnsi="Times New Roman" w:cs="Times New Roman"/>
          <w:noProof/>
          <w:sz w:val="24"/>
          <w:szCs w:val="24"/>
          <w:lang w:val="sq-AL"/>
        </w:rPr>
        <w:t>Antikor</w:t>
      </w:r>
      <w:r w:rsidR="003E5CA5" w:rsidRPr="00641640">
        <w:rPr>
          <w:rFonts w:ascii="Times New Roman" w:eastAsia="Calibri" w:hAnsi="Times New Roman" w:cs="Times New Roman"/>
          <w:noProof/>
          <w:sz w:val="24"/>
          <w:szCs w:val="24"/>
          <w:lang w:val="sq-AL"/>
        </w:rPr>
        <w:t>r</w:t>
      </w:r>
      <w:r w:rsidR="0083717A" w:rsidRPr="00641640">
        <w:rPr>
          <w:rFonts w:ascii="Times New Roman" w:eastAsia="Calibri" w:hAnsi="Times New Roman" w:cs="Times New Roman"/>
          <w:noProof/>
          <w:sz w:val="24"/>
          <w:szCs w:val="24"/>
          <w:lang w:val="sq-AL"/>
        </w:rPr>
        <w:t>upsionit pran</w:t>
      </w:r>
      <w:r w:rsidR="00870DCD" w:rsidRPr="00641640">
        <w:rPr>
          <w:rFonts w:ascii="Times New Roman" w:eastAsia="Calibri" w:hAnsi="Times New Roman" w:cs="Times New Roman"/>
          <w:noProof/>
          <w:sz w:val="24"/>
          <w:szCs w:val="24"/>
          <w:lang w:val="sq-AL"/>
        </w:rPr>
        <w:t>ë</w:t>
      </w:r>
      <w:r w:rsidR="0083717A" w:rsidRPr="00641640">
        <w:rPr>
          <w:rFonts w:ascii="Times New Roman" w:eastAsia="Calibri" w:hAnsi="Times New Roman" w:cs="Times New Roman"/>
          <w:noProof/>
          <w:sz w:val="24"/>
          <w:szCs w:val="24"/>
          <w:lang w:val="sq-AL"/>
        </w:rPr>
        <w:t xml:space="preserve"> Koordinatorit Komb</w:t>
      </w:r>
      <w:r w:rsidR="00870DCD" w:rsidRPr="00641640">
        <w:rPr>
          <w:rFonts w:ascii="Times New Roman" w:eastAsia="Calibri" w:hAnsi="Times New Roman" w:cs="Times New Roman"/>
          <w:noProof/>
          <w:sz w:val="24"/>
          <w:szCs w:val="24"/>
          <w:lang w:val="sq-AL"/>
        </w:rPr>
        <w:t>ë</w:t>
      </w:r>
      <w:r w:rsidR="0083717A" w:rsidRPr="00641640">
        <w:rPr>
          <w:rFonts w:ascii="Times New Roman" w:eastAsia="Calibri" w:hAnsi="Times New Roman" w:cs="Times New Roman"/>
          <w:noProof/>
          <w:sz w:val="24"/>
          <w:szCs w:val="24"/>
          <w:lang w:val="sq-AL"/>
        </w:rPr>
        <w:t>tar Kund</w:t>
      </w:r>
      <w:r w:rsidR="00870DCD" w:rsidRPr="00641640">
        <w:rPr>
          <w:rFonts w:ascii="Times New Roman" w:eastAsia="Calibri" w:hAnsi="Times New Roman" w:cs="Times New Roman"/>
          <w:noProof/>
          <w:sz w:val="24"/>
          <w:szCs w:val="24"/>
          <w:lang w:val="sq-AL"/>
        </w:rPr>
        <w:t>ë</w:t>
      </w:r>
      <w:r w:rsidR="0083717A" w:rsidRPr="00641640">
        <w:rPr>
          <w:rFonts w:ascii="Times New Roman" w:eastAsia="Calibri" w:hAnsi="Times New Roman" w:cs="Times New Roman"/>
          <w:noProof/>
          <w:sz w:val="24"/>
          <w:szCs w:val="24"/>
          <w:lang w:val="sq-AL"/>
        </w:rPr>
        <w:t>r Korrupsionit</w:t>
      </w:r>
      <w:r w:rsidR="00BC4368" w:rsidRPr="00641640">
        <w:rPr>
          <w:rFonts w:ascii="Times New Roman" w:eastAsia="Calibri" w:hAnsi="Times New Roman" w:cs="Times New Roman"/>
          <w:noProof/>
          <w:sz w:val="24"/>
          <w:szCs w:val="24"/>
          <w:lang w:val="sq-AL"/>
        </w:rPr>
        <w:t>.</w:t>
      </w:r>
      <w:r w:rsidR="00572FAB" w:rsidRPr="00641640">
        <w:rPr>
          <w:rFonts w:ascii="Times New Roman" w:eastAsia="Calibri" w:hAnsi="Times New Roman" w:cs="Times New Roman"/>
          <w:noProof/>
          <w:sz w:val="24"/>
          <w:szCs w:val="24"/>
          <w:lang w:val="sq-AL"/>
        </w:rPr>
        <w:t xml:space="preserve"> </w:t>
      </w:r>
      <w:r w:rsidR="00AD53C2" w:rsidRPr="00641640">
        <w:rPr>
          <w:rFonts w:ascii="Times New Roman" w:hAnsi="Times New Roman" w:cs="Times New Roman"/>
          <w:noProof/>
          <w:sz w:val="24"/>
          <w:szCs w:val="24"/>
          <w:lang w:val="sq-AL"/>
        </w:rPr>
        <w:t>Në rast dyshimi të arsyeshëm, verifikimi të indicieve apo gjetjes së provave për ngjarjen korruptive, Koordinatori Kombëtar Kundër Korrupsionit ia referon çështjen prokurorisë kompetente në përputhje me legjislacionin procedural penal në fuqi. Për rastet kur denoncimi ka ardhur sipas përcaktimeve të mësipërme, në përfundim të shqyrtimit Koordinatori Kombëtar Kundër Korrupsionit informon Agjencinë për ecurinë e denoncimit, duke përcaktuar edhe nivelin e informacionit që mund të publikohet. Kjo e fundit njofton denoncuesit për ecurinë e denoncimit të tij.</w:t>
      </w:r>
    </w:p>
    <w:p w14:paraId="7EBB6567" w14:textId="762E0BA3" w:rsidR="00B222B9" w:rsidRDefault="00B222B9" w:rsidP="003A395D">
      <w:pPr>
        <w:spacing w:line="276" w:lineRule="auto"/>
        <w:jc w:val="both"/>
        <w:rPr>
          <w:rFonts w:ascii="Times New Roman" w:eastAsia="Calibri" w:hAnsi="Times New Roman" w:cs="Times New Roman"/>
          <w:noProof/>
          <w:sz w:val="24"/>
          <w:szCs w:val="24"/>
          <w:lang w:val="sq-AL"/>
        </w:rPr>
      </w:pPr>
    </w:p>
    <w:p w14:paraId="5F8169B8" w14:textId="02C19B47" w:rsidR="00B222B9" w:rsidRDefault="00B222B9" w:rsidP="003A395D">
      <w:pPr>
        <w:spacing w:line="276" w:lineRule="auto"/>
        <w:jc w:val="both"/>
        <w:rPr>
          <w:rFonts w:ascii="Times New Roman" w:eastAsia="Calibri" w:hAnsi="Times New Roman" w:cs="Times New Roman"/>
          <w:noProof/>
          <w:sz w:val="24"/>
          <w:szCs w:val="24"/>
          <w:lang w:val="sq-AL"/>
        </w:rPr>
      </w:pPr>
    </w:p>
    <w:p w14:paraId="586EA7B1" w14:textId="77777777" w:rsidR="00B222B9" w:rsidRPr="00641640" w:rsidRDefault="00B222B9" w:rsidP="003A395D">
      <w:pPr>
        <w:spacing w:line="276" w:lineRule="auto"/>
        <w:jc w:val="both"/>
        <w:rPr>
          <w:rFonts w:ascii="Times New Roman" w:eastAsia="Calibri" w:hAnsi="Times New Roman" w:cs="Times New Roman"/>
          <w:noProof/>
          <w:sz w:val="24"/>
          <w:szCs w:val="24"/>
          <w:lang w:val="sq-AL"/>
        </w:rPr>
      </w:pPr>
    </w:p>
    <w:p w14:paraId="4779B927" w14:textId="312507F1" w:rsidR="001F03A4" w:rsidRPr="00641640" w:rsidRDefault="00BC4368" w:rsidP="003A395D">
      <w:pPr>
        <w:spacing w:line="276" w:lineRule="auto"/>
        <w:jc w:val="both"/>
        <w:rPr>
          <w:rFonts w:ascii="Times New Roman" w:eastAsia="Calibri" w:hAnsi="Times New Roman" w:cs="Times New Roman"/>
          <w:noProof/>
          <w:sz w:val="24"/>
          <w:szCs w:val="24"/>
          <w:lang w:val="sq-AL"/>
        </w:rPr>
      </w:pPr>
      <w:r w:rsidRPr="00641640">
        <w:rPr>
          <w:rFonts w:ascii="Times New Roman" w:eastAsia="Calibri" w:hAnsi="Times New Roman" w:cs="Times New Roman"/>
          <w:noProof/>
          <w:sz w:val="24"/>
          <w:szCs w:val="24"/>
          <w:lang w:val="sq-AL"/>
        </w:rPr>
        <w:lastRenderedPageBreak/>
        <w:t xml:space="preserve">Grafiku i mëposhtëm pasqyron ankesat/kërkesat e depozituara në platformën </w:t>
      </w:r>
      <w:r w:rsidR="00436251">
        <w:rPr>
          <w:rFonts w:ascii="Times New Roman" w:eastAsia="Calibri" w:hAnsi="Times New Roman" w:cs="Times New Roman"/>
          <w:noProof/>
          <w:sz w:val="24"/>
          <w:szCs w:val="24"/>
          <w:lang w:val="sq-AL"/>
        </w:rPr>
        <w:t>“</w:t>
      </w:r>
      <w:r w:rsidRPr="00641640">
        <w:rPr>
          <w:rFonts w:ascii="Times New Roman" w:eastAsia="Calibri" w:hAnsi="Times New Roman" w:cs="Times New Roman"/>
          <w:noProof/>
          <w:sz w:val="24"/>
          <w:szCs w:val="24"/>
          <w:lang w:val="sq-AL"/>
        </w:rPr>
        <w:t>Shqipëriaqëduam.al</w:t>
      </w:r>
      <w:r w:rsidR="00436251">
        <w:rPr>
          <w:rFonts w:ascii="Times New Roman" w:eastAsia="Calibri" w:hAnsi="Times New Roman" w:cs="Times New Roman"/>
          <w:noProof/>
          <w:sz w:val="24"/>
          <w:szCs w:val="24"/>
          <w:lang w:val="sq-AL"/>
        </w:rPr>
        <w:t>”</w:t>
      </w:r>
      <w:r w:rsidRPr="00641640">
        <w:rPr>
          <w:rFonts w:ascii="Times New Roman" w:eastAsia="Calibri" w:hAnsi="Times New Roman" w:cs="Times New Roman"/>
          <w:noProof/>
          <w:sz w:val="24"/>
          <w:szCs w:val="24"/>
          <w:lang w:val="sq-AL"/>
        </w:rPr>
        <w:t xml:space="preserve"> dhe trajtimin e tyre:</w:t>
      </w:r>
    </w:p>
    <w:p w14:paraId="0F228957" w14:textId="0638220B" w:rsidR="005E5430" w:rsidRPr="00641640" w:rsidRDefault="005E5430" w:rsidP="000F7FD0">
      <w:pPr>
        <w:jc w:val="both"/>
        <w:rPr>
          <w:rFonts w:ascii="Times New Roman" w:eastAsia="Calibri" w:hAnsi="Times New Roman" w:cs="Times New Roman"/>
          <w:noProof/>
          <w:lang w:val="sq-AL"/>
        </w:rPr>
      </w:pPr>
      <w:r w:rsidRPr="00641640">
        <w:rPr>
          <w:rFonts w:ascii="Times New Roman" w:hAnsi="Times New Roman" w:cs="Times New Roman"/>
          <w:noProof/>
        </w:rPr>
        <w:drawing>
          <wp:inline distT="0" distB="0" distL="0" distR="0" wp14:anchorId="327EB306" wp14:editId="4CFB0858">
            <wp:extent cx="5897245" cy="1971923"/>
            <wp:effectExtent l="0" t="0" r="8255" b="9525"/>
            <wp:docPr id="480121649" name="Chart 1">
              <a:extLst xmlns:a="http://schemas.openxmlformats.org/drawingml/2006/main">
                <a:ext uri="{FF2B5EF4-FFF2-40B4-BE49-F238E27FC236}">
                  <a16:creationId xmlns:a16="http://schemas.microsoft.com/office/drawing/2014/main" id="{DF4E3121-2398-943A-FDC1-1C4E17DE26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00DFDC" w14:textId="4B1B878D" w:rsidR="00E16CD9" w:rsidRPr="00641640" w:rsidRDefault="00E16CD9"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Me reformimin tërësor të procesit të ofrimit të shërbimeve për publikun dhe kalimin në shërbime elektronike, është zhvilluar edhe një sistem monitorimi lidhur me cilësinë e ofrimit të shërbimit, afatet kohore të ofrimit dhe raportimin për praktika të parregullta, apo korruptive. Këto funksione i ka zbatuar Agjencia për Dialog dhe Bashkëqeverisje (ADB), e cila ka si mision edhe zhvillimin e praktikave të mira dhe përdorimin e tyre në të gjithë administratën shtetërore me qëllim gjithëpërfshirjen e çdo qytetari në politikëbërje. </w:t>
      </w:r>
      <w:r w:rsidR="005C4BF9" w:rsidRPr="00641640">
        <w:rPr>
          <w:rFonts w:ascii="Times New Roman" w:hAnsi="Times New Roman" w:cs="Times New Roman"/>
          <w:noProof/>
          <w:sz w:val="24"/>
          <w:szCs w:val="24"/>
          <w:lang w:val="sq-AL"/>
        </w:rPr>
        <w:t>Gjithashtu, n</w:t>
      </w:r>
      <w:r w:rsidR="005C4BF9" w:rsidRPr="00641640">
        <w:rPr>
          <w:rFonts w:ascii="Times New Roman" w:hAnsi="Times New Roman" w:cs="Times New Roman"/>
          <w:noProof/>
          <w:color w:val="000000"/>
          <w:sz w:val="24"/>
          <w:szCs w:val="24"/>
          <w:lang w:val="sq-AL"/>
        </w:rPr>
        <w:t>ë</w:t>
      </w:r>
      <w:r w:rsidR="005C4BF9" w:rsidRPr="00641640">
        <w:rPr>
          <w:rFonts w:ascii="Times New Roman" w:hAnsi="Times New Roman" w:cs="Times New Roman"/>
          <w:noProof/>
          <w:sz w:val="24"/>
          <w:szCs w:val="24"/>
          <w:lang w:val="sq-AL"/>
        </w:rPr>
        <w:t>p</w:t>
      </w:r>
      <w:r w:rsidR="005C4BF9" w:rsidRPr="00641640">
        <w:rPr>
          <w:rFonts w:ascii="Times New Roman" w:hAnsi="Times New Roman" w:cs="Times New Roman"/>
          <w:noProof/>
          <w:color w:val="000000"/>
          <w:sz w:val="24"/>
          <w:szCs w:val="24"/>
          <w:lang w:val="sq-AL"/>
        </w:rPr>
        <w:t>ë</w:t>
      </w:r>
      <w:r w:rsidR="005C4BF9" w:rsidRPr="00641640">
        <w:rPr>
          <w:rFonts w:ascii="Times New Roman" w:hAnsi="Times New Roman" w:cs="Times New Roman"/>
          <w:noProof/>
          <w:sz w:val="24"/>
          <w:szCs w:val="24"/>
          <w:lang w:val="sq-AL"/>
        </w:rPr>
        <w:t>rmjet rubrik</w:t>
      </w:r>
      <w:r w:rsidR="005C4BF9" w:rsidRPr="00641640">
        <w:rPr>
          <w:rFonts w:ascii="Times New Roman" w:hAnsi="Times New Roman" w:cs="Times New Roman"/>
          <w:noProof/>
          <w:color w:val="000000"/>
          <w:sz w:val="24"/>
          <w:szCs w:val="24"/>
          <w:lang w:val="sq-AL"/>
        </w:rPr>
        <w:t>ë</w:t>
      </w:r>
      <w:r w:rsidR="005C4BF9" w:rsidRPr="00641640">
        <w:rPr>
          <w:rFonts w:ascii="Times New Roman" w:hAnsi="Times New Roman" w:cs="Times New Roman"/>
          <w:noProof/>
          <w:sz w:val="24"/>
          <w:szCs w:val="24"/>
          <w:lang w:val="sq-AL"/>
        </w:rPr>
        <w:t xml:space="preserve">s </w:t>
      </w:r>
      <w:r w:rsidR="00755FA5" w:rsidRPr="00641640">
        <w:rPr>
          <w:rFonts w:ascii="Times New Roman" w:hAnsi="Times New Roman" w:cs="Times New Roman"/>
          <w:noProof/>
          <w:sz w:val="24"/>
          <w:szCs w:val="24"/>
          <w:lang w:val="sq-AL"/>
        </w:rPr>
        <w:t>“</w:t>
      </w:r>
      <w:r w:rsidR="005C4BF9" w:rsidRPr="00C22E7B">
        <w:rPr>
          <w:rFonts w:ascii="Times New Roman" w:hAnsi="Times New Roman" w:cs="Times New Roman"/>
          <w:i/>
          <w:iCs/>
          <w:noProof/>
          <w:sz w:val="24"/>
          <w:szCs w:val="24"/>
          <w:lang w:val="sq-AL"/>
        </w:rPr>
        <w:t>Nota Ime</w:t>
      </w:r>
      <w:r w:rsidR="00755FA5" w:rsidRPr="00641640">
        <w:rPr>
          <w:rFonts w:ascii="Times New Roman" w:hAnsi="Times New Roman" w:cs="Times New Roman"/>
          <w:noProof/>
          <w:sz w:val="24"/>
          <w:szCs w:val="24"/>
          <w:lang w:val="sq-AL"/>
        </w:rPr>
        <w:t>”</w:t>
      </w:r>
      <w:r w:rsidR="005C4BF9" w:rsidRPr="00641640">
        <w:rPr>
          <w:rFonts w:ascii="Times New Roman" w:hAnsi="Times New Roman" w:cs="Times New Roman"/>
          <w:noProof/>
          <w:color w:val="000000"/>
          <w:sz w:val="24"/>
          <w:szCs w:val="24"/>
          <w:lang w:val="sq-AL"/>
        </w:rPr>
        <w:t xml:space="preserve"> çdo qytetar dhe person fizik ose juridik vendos një vlerësim për institucionin, zyrën ose sportelin pas përfitimit të një shërbimi publik të ofruar prej tij sipas përcaktimeve të nenit 31</w:t>
      </w:r>
      <w:r w:rsidR="00755FA5" w:rsidRPr="00641640">
        <w:rPr>
          <w:rFonts w:ascii="Times New Roman" w:hAnsi="Times New Roman" w:cs="Times New Roman"/>
          <w:noProof/>
          <w:color w:val="000000"/>
          <w:sz w:val="24"/>
          <w:szCs w:val="24"/>
          <w:lang w:val="sq-AL"/>
        </w:rPr>
        <w:t>,</w:t>
      </w:r>
      <w:r w:rsidR="005C4BF9" w:rsidRPr="00641640">
        <w:rPr>
          <w:rFonts w:ascii="Times New Roman" w:hAnsi="Times New Roman" w:cs="Times New Roman"/>
          <w:noProof/>
          <w:color w:val="000000"/>
          <w:sz w:val="24"/>
          <w:szCs w:val="24"/>
          <w:lang w:val="sq-AL"/>
        </w:rPr>
        <w:t xml:space="preserve"> të ligji</w:t>
      </w:r>
      <w:r w:rsidR="00755FA5" w:rsidRPr="00641640">
        <w:rPr>
          <w:rFonts w:ascii="Times New Roman" w:hAnsi="Times New Roman" w:cs="Times New Roman"/>
          <w:noProof/>
          <w:color w:val="000000"/>
          <w:sz w:val="24"/>
          <w:szCs w:val="24"/>
          <w:lang w:val="sq-AL"/>
        </w:rPr>
        <w:t>t</w:t>
      </w:r>
      <w:r w:rsidR="005C4BF9" w:rsidRPr="00641640">
        <w:rPr>
          <w:rFonts w:ascii="Times New Roman" w:hAnsi="Times New Roman" w:cs="Times New Roman"/>
          <w:noProof/>
          <w:color w:val="000000"/>
          <w:sz w:val="24"/>
          <w:szCs w:val="24"/>
          <w:lang w:val="sq-AL"/>
        </w:rPr>
        <w:t>. Nga kjo notë e vendosur nga qytetarët përllogaritet nota mesatare mujore e pëlqyeshmërisë së institucionit për nivelin e ofrimit të shërbimit, e cila bëhet publike periodikisht në platformën “</w:t>
      </w:r>
      <w:r w:rsidR="005C4BF9" w:rsidRPr="00C22E7B">
        <w:rPr>
          <w:rFonts w:ascii="Times New Roman" w:hAnsi="Times New Roman" w:cs="Times New Roman"/>
          <w:i/>
          <w:iCs/>
          <w:noProof/>
          <w:color w:val="000000"/>
          <w:sz w:val="24"/>
          <w:szCs w:val="24"/>
          <w:lang w:val="sq-AL"/>
        </w:rPr>
        <w:t>Me ty për Shqipërinë që duam</w:t>
      </w:r>
      <w:r w:rsidR="003B00F7" w:rsidRPr="00641640">
        <w:rPr>
          <w:rFonts w:ascii="Times New Roman" w:hAnsi="Times New Roman" w:cs="Times New Roman"/>
          <w:noProof/>
          <w:color w:val="000000"/>
          <w:sz w:val="24"/>
          <w:szCs w:val="24"/>
          <w:lang w:val="sq-AL"/>
        </w:rPr>
        <w:t>”</w:t>
      </w:r>
      <w:r w:rsidR="005C4BF9" w:rsidRPr="00641640">
        <w:rPr>
          <w:rFonts w:ascii="Times New Roman" w:hAnsi="Times New Roman" w:cs="Times New Roman"/>
          <w:noProof/>
          <w:color w:val="000000"/>
          <w:sz w:val="24"/>
          <w:szCs w:val="24"/>
          <w:lang w:val="sq-AL"/>
        </w:rPr>
        <w:t>.</w:t>
      </w:r>
    </w:p>
    <w:p w14:paraId="20EBB64A" w14:textId="3C032BFA" w:rsidR="00E16CD9" w:rsidRPr="00641640" w:rsidRDefault="00E16CD9" w:rsidP="003A395D">
      <w:pPr>
        <w:spacing w:line="276" w:lineRule="auto"/>
        <w:jc w:val="both"/>
        <w:rPr>
          <w:rFonts w:ascii="Times New Roman" w:eastAsia="Calibri" w:hAnsi="Times New Roman" w:cs="Times New Roman"/>
          <w:noProof/>
          <w:sz w:val="24"/>
          <w:szCs w:val="24"/>
          <w:lang w:val="sq-AL"/>
        </w:rPr>
      </w:pPr>
      <w:r w:rsidRPr="00641640">
        <w:rPr>
          <w:rFonts w:ascii="Times New Roman" w:eastAsia="Calibri" w:hAnsi="Times New Roman" w:cs="Times New Roman"/>
          <w:noProof/>
          <w:sz w:val="24"/>
          <w:szCs w:val="24"/>
          <w:lang w:val="sq-AL"/>
        </w:rPr>
        <w:t xml:space="preserve">Në përputhje me </w:t>
      </w:r>
      <w:r w:rsidR="00AF1A97" w:rsidRPr="00641640">
        <w:rPr>
          <w:rFonts w:ascii="Times New Roman" w:eastAsia="Calibri" w:hAnsi="Times New Roman" w:cs="Times New Roman"/>
          <w:noProof/>
          <w:sz w:val="24"/>
          <w:szCs w:val="24"/>
          <w:lang w:val="sq-AL"/>
        </w:rPr>
        <w:t>l</w:t>
      </w:r>
      <w:r w:rsidRPr="00641640">
        <w:rPr>
          <w:rFonts w:ascii="Times New Roman" w:eastAsia="Calibri" w:hAnsi="Times New Roman" w:cs="Times New Roman"/>
          <w:noProof/>
          <w:sz w:val="24"/>
          <w:szCs w:val="24"/>
          <w:lang w:val="sq-AL"/>
        </w:rPr>
        <w:t xml:space="preserve">igjin </w:t>
      </w:r>
      <w:r w:rsidR="00AF1A97" w:rsidRPr="00641640">
        <w:rPr>
          <w:rFonts w:ascii="Times New Roman" w:eastAsia="Calibri" w:hAnsi="Times New Roman" w:cs="Times New Roman"/>
          <w:noProof/>
          <w:sz w:val="24"/>
          <w:szCs w:val="24"/>
          <w:lang w:val="sq-AL"/>
        </w:rPr>
        <w:t>n</w:t>
      </w:r>
      <w:r w:rsidRPr="00641640">
        <w:rPr>
          <w:rFonts w:ascii="Times New Roman" w:eastAsia="Calibri" w:hAnsi="Times New Roman" w:cs="Times New Roman"/>
          <w:noProof/>
          <w:sz w:val="24"/>
          <w:szCs w:val="24"/>
          <w:lang w:val="sq-AL"/>
        </w:rPr>
        <w:t>r. 107/2021 “</w:t>
      </w:r>
      <w:r w:rsidRPr="00C22E7B">
        <w:rPr>
          <w:rFonts w:ascii="Times New Roman" w:eastAsia="Calibri" w:hAnsi="Times New Roman" w:cs="Times New Roman"/>
          <w:i/>
          <w:iCs/>
          <w:noProof/>
          <w:sz w:val="24"/>
          <w:szCs w:val="24"/>
          <w:lang w:val="sq-AL"/>
        </w:rPr>
        <w:t>Për Bashkëqeverisjen</w:t>
      </w:r>
      <w:r w:rsidRPr="00641640">
        <w:rPr>
          <w:rFonts w:ascii="Times New Roman" w:eastAsia="Calibri" w:hAnsi="Times New Roman" w:cs="Times New Roman"/>
          <w:noProof/>
          <w:sz w:val="24"/>
          <w:szCs w:val="24"/>
          <w:lang w:val="sq-AL"/>
        </w:rPr>
        <w:t>”, ofrimi i shërbimeve nga të gjitha institucionet ofruese të shërbimeve, aplikimet e të cilave paraqiten përmes platformës e-Albania, realizohet vetëm në mënyrë elektronike, duke garantuar lëshimin e dokumentit zyrtar përfundimtar me nënshkrim ose vulë elektronike. Administrata publike përdor</w:t>
      </w:r>
      <w:r w:rsidR="00AC0944" w:rsidRPr="00641640">
        <w:rPr>
          <w:rFonts w:ascii="Times New Roman" w:eastAsia="Calibri" w:hAnsi="Times New Roman" w:cs="Times New Roman"/>
          <w:noProof/>
          <w:sz w:val="24"/>
          <w:szCs w:val="24"/>
          <w:lang w:val="sq-AL"/>
        </w:rPr>
        <w:t xml:space="preserve"> tashm</w:t>
      </w:r>
      <w:r w:rsidR="00F92D25" w:rsidRPr="00641640">
        <w:rPr>
          <w:rFonts w:ascii="Times New Roman" w:eastAsia="Calibri" w:hAnsi="Times New Roman" w:cs="Times New Roman"/>
          <w:noProof/>
          <w:sz w:val="24"/>
          <w:szCs w:val="24"/>
          <w:lang w:val="sq-AL"/>
        </w:rPr>
        <w:t>ë</w:t>
      </w:r>
      <w:r w:rsidRPr="00641640">
        <w:rPr>
          <w:rFonts w:ascii="Times New Roman" w:eastAsia="Calibri" w:hAnsi="Times New Roman" w:cs="Times New Roman"/>
          <w:noProof/>
          <w:sz w:val="24"/>
          <w:szCs w:val="24"/>
          <w:lang w:val="sq-AL"/>
        </w:rPr>
        <w:t xml:space="preserve"> suksessh</w:t>
      </w:r>
      <w:r w:rsidR="00414343" w:rsidRPr="00641640">
        <w:rPr>
          <w:rFonts w:ascii="Times New Roman" w:eastAsia="Calibri" w:hAnsi="Times New Roman" w:cs="Times New Roman"/>
          <w:noProof/>
          <w:sz w:val="24"/>
          <w:szCs w:val="24"/>
          <w:lang w:val="sq-AL"/>
        </w:rPr>
        <w:t>ë</w:t>
      </w:r>
      <w:r w:rsidRPr="00641640">
        <w:rPr>
          <w:rFonts w:ascii="Times New Roman" w:eastAsia="Calibri" w:hAnsi="Times New Roman" w:cs="Times New Roman"/>
          <w:noProof/>
          <w:sz w:val="24"/>
          <w:szCs w:val="24"/>
          <w:lang w:val="sq-AL"/>
        </w:rPr>
        <w:t xml:space="preserve">m </w:t>
      </w:r>
      <w:r w:rsidR="00AC0944" w:rsidRPr="00641640">
        <w:rPr>
          <w:rFonts w:ascii="Times New Roman" w:eastAsia="Calibri" w:hAnsi="Times New Roman" w:cs="Times New Roman"/>
          <w:noProof/>
          <w:sz w:val="24"/>
          <w:szCs w:val="24"/>
          <w:lang w:val="sq-AL"/>
        </w:rPr>
        <w:t xml:space="preserve">prej vitit 2020 </w:t>
      </w:r>
      <w:r w:rsidRPr="00641640">
        <w:rPr>
          <w:rFonts w:ascii="Times New Roman" w:eastAsia="Calibri" w:hAnsi="Times New Roman" w:cs="Times New Roman"/>
          <w:noProof/>
          <w:sz w:val="24"/>
          <w:szCs w:val="24"/>
          <w:lang w:val="sq-AL"/>
        </w:rPr>
        <w:t>Sistemin e Qarkullimit të Dokumenteve të Nënshkruara Elektronikisht (SQDNE), i cili është zgjeruar dhe përfshin më shumë funksionalitete që nga maji 2022, për të ofruar dokumente të nënshkruara elektronikisht p</w:t>
      </w:r>
      <w:r w:rsidR="00414343" w:rsidRPr="00641640">
        <w:rPr>
          <w:rFonts w:ascii="Times New Roman" w:eastAsia="Calibri" w:hAnsi="Times New Roman" w:cs="Times New Roman"/>
          <w:noProof/>
          <w:sz w:val="24"/>
          <w:szCs w:val="24"/>
          <w:lang w:val="sq-AL"/>
        </w:rPr>
        <w:t>ë</w:t>
      </w:r>
      <w:r w:rsidRPr="00641640">
        <w:rPr>
          <w:rFonts w:ascii="Times New Roman" w:eastAsia="Calibri" w:hAnsi="Times New Roman" w:cs="Times New Roman"/>
          <w:noProof/>
          <w:sz w:val="24"/>
          <w:szCs w:val="24"/>
          <w:lang w:val="sq-AL"/>
        </w:rPr>
        <w:t>r qytetarët, të cilat mund t</w:t>
      </w:r>
      <w:r w:rsidR="00414343" w:rsidRPr="00641640">
        <w:rPr>
          <w:rFonts w:ascii="Times New Roman" w:eastAsia="Calibri" w:hAnsi="Times New Roman" w:cs="Times New Roman"/>
          <w:noProof/>
          <w:sz w:val="24"/>
          <w:szCs w:val="24"/>
          <w:lang w:val="sq-AL"/>
        </w:rPr>
        <w:t>ë</w:t>
      </w:r>
      <w:r w:rsidRPr="00641640">
        <w:rPr>
          <w:rFonts w:ascii="Times New Roman" w:eastAsia="Calibri" w:hAnsi="Times New Roman" w:cs="Times New Roman"/>
          <w:noProof/>
          <w:sz w:val="24"/>
          <w:szCs w:val="24"/>
          <w:lang w:val="sq-AL"/>
        </w:rPr>
        <w:t xml:space="preserve"> shkarkohen nga llogaria e qytetarit në </w:t>
      </w:r>
      <w:r w:rsidRPr="00641640">
        <w:rPr>
          <w:rFonts w:ascii="Times New Roman" w:eastAsia="Calibri" w:hAnsi="Times New Roman" w:cs="Times New Roman"/>
          <w:i/>
          <w:noProof/>
          <w:sz w:val="24"/>
          <w:szCs w:val="24"/>
          <w:lang w:val="sq-AL"/>
        </w:rPr>
        <w:t>e-Albania</w:t>
      </w:r>
      <w:r w:rsidRPr="00641640">
        <w:rPr>
          <w:rFonts w:ascii="Times New Roman" w:eastAsia="Calibri" w:hAnsi="Times New Roman" w:cs="Times New Roman"/>
          <w:noProof/>
          <w:sz w:val="24"/>
          <w:szCs w:val="24"/>
          <w:lang w:val="sq-AL"/>
        </w:rPr>
        <w:t>.</w:t>
      </w:r>
      <w:r w:rsidRPr="00641640">
        <w:rPr>
          <w:rStyle w:val="FootnoteReference"/>
          <w:rFonts w:ascii="Times New Roman" w:eastAsia="Calibri" w:hAnsi="Times New Roman" w:cs="Times New Roman"/>
          <w:noProof/>
          <w:sz w:val="24"/>
          <w:szCs w:val="24"/>
          <w:lang w:val="sq-AL"/>
        </w:rPr>
        <w:footnoteReference w:id="56"/>
      </w:r>
      <w:r w:rsidRPr="00641640">
        <w:rPr>
          <w:rFonts w:ascii="Times New Roman" w:eastAsia="Calibri" w:hAnsi="Times New Roman" w:cs="Times New Roman"/>
          <w:noProof/>
          <w:sz w:val="24"/>
          <w:szCs w:val="24"/>
          <w:lang w:val="sq-AL"/>
        </w:rPr>
        <w:t xml:space="preserve"> Sistemi pakëson barrën e qytetarëve dhe bizneseve për të marrë dokumente dhe vërtetime nga institucionet e administratës publike, t</w:t>
      </w:r>
      <w:r w:rsidR="00414343" w:rsidRPr="00641640">
        <w:rPr>
          <w:rFonts w:ascii="Times New Roman" w:eastAsia="Calibri" w:hAnsi="Times New Roman" w:cs="Times New Roman"/>
          <w:noProof/>
          <w:sz w:val="24"/>
          <w:szCs w:val="24"/>
          <w:lang w:val="sq-AL"/>
        </w:rPr>
        <w:t>ë</w:t>
      </w:r>
      <w:r w:rsidRPr="00641640">
        <w:rPr>
          <w:rFonts w:ascii="Times New Roman" w:eastAsia="Calibri" w:hAnsi="Times New Roman" w:cs="Times New Roman"/>
          <w:noProof/>
          <w:sz w:val="24"/>
          <w:szCs w:val="24"/>
          <w:lang w:val="sq-AL"/>
        </w:rPr>
        <w:t xml:space="preserve"> cilat sigurojnë </w:t>
      </w:r>
      <w:r w:rsidR="003A172E" w:rsidRPr="00641640">
        <w:rPr>
          <w:rFonts w:ascii="Times New Roman" w:eastAsia="Calibri" w:hAnsi="Times New Roman" w:cs="Times New Roman"/>
          <w:noProof/>
          <w:sz w:val="24"/>
          <w:szCs w:val="24"/>
          <w:lang w:val="sq-AL"/>
        </w:rPr>
        <w:t>tashm</w:t>
      </w:r>
      <w:r w:rsidR="00414343" w:rsidRPr="00641640">
        <w:rPr>
          <w:rFonts w:ascii="Times New Roman" w:eastAsia="Calibri" w:hAnsi="Times New Roman" w:cs="Times New Roman"/>
          <w:noProof/>
          <w:sz w:val="24"/>
          <w:szCs w:val="24"/>
          <w:lang w:val="sq-AL"/>
        </w:rPr>
        <w:t>ë</w:t>
      </w:r>
      <w:r w:rsidR="003A172E" w:rsidRPr="00641640">
        <w:rPr>
          <w:rFonts w:ascii="Times New Roman" w:eastAsia="Calibri" w:hAnsi="Times New Roman" w:cs="Times New Roman"/>
          <w:noProof/>
          <w:sz w:val="24"/>
          <w:szCs w:val="24"/>
          <w:lang w:val="sq-AL"/>
        </w:rPr>
        <w:t xml:space="preserve"> </w:t>
      </w:r>
      <w:r w:rsidRPr="00641640">
        <w:rPr>
          <w:rFonts w:ascii="Times New Roman" w:eastAsia="Calibri" w:hAnsi="Times New Roman" w:cs="Times New Roman"/>
          <w:noProof/>
          <w:sz w:val="24"/>
          <w:szCs w:val="24"/>
          <w:lang w:val="sq-AL"/>
        </w:rPr>
        <w:t xml:space="preserve">plotësimin me dokumentacion të të gjithë dosjes së aplikimit. Gjithashtu, ky sistem mundëson mbikëqyrjen e përditshme të shërbimeve që ofrohen nga institucionet shtetërore dhe respektimit të afateve administrative. </w:t>
      </w:r>
    </w:p>
    <w:p w14:paraId="2F4A4809" w14:textId="4A5DEE3B" w:rsidR="00BC4368" w:rsidRPr="00641640" w:rsidRDefault="00E67BA8"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lastRenderedPageBreak/>
        <w:t>Kodi</w:t>
      </w:r>
      <w:r w:rsidR="00BC4368"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i</w:t>
      </w:r>
      <w:r w:rsidR="00BC4368" w:rsidRPr="00641640">
        <w:rPr>
          <w:rFonts w:ascii="Times New Roman" w:hAnsi="Times New Roman" w:cs="Times New Roman"/>
          <w:noProof/>
          <w:sz w:val="24"/>
          <w:szCs w:val="24"/>
          <w:lang w:val="sq-AL"/>
        </w:rPr>
        <w:t xml:space="preserve"> Procedura</w:t>
      </w:r>
      <w:r w:rsidRPr="00641640">
        <w:rPr>
          <w:rFonts w:ascii="Times New Roman" w:hAnsi="Times New Roman" w:cs="Times New Roman"/>
          <w:noProof/>
          <w:sz w:val="24"/>
          <w:szCs w:val="24"/>
          <w:lang w:val="sq-AL"/>
        </w:rPr>
        <w:t xml:space="preserve">ve </w:t>
      </w:r>
      <w:r w:rsidR="00BC4368" w:rsidRPr="00641640">
        <w:rPr>
          <w:rFonts w:ascii="Times New Roman" w:hAnsi="Times New Roman" w:cs="Times New Roman"/>
          <w:noProof/>
          <w:sz w:val="24"/>
          <w:szCs w:val="24"/>
          <w:lang w:val="sq-AL"/>
        </w:rPr>
        <w:t xml:space="preserve">Administrative </w:t>
      </w:r>
      <w:r w:rsidR="00550690" w:rsidRPr="00641640">
        <w:rPr>
          <w:rFonts w:ascii="Times New Roman" w:hAnsi="Times New Roman" w:cs="Times New Roman"/>
          <w:noProof/>
          <w:sz w:val="24"/>
          <w:szCs w:val="24"/>
          <w:lang w:val="sq-AL"/>
        </w:rPr>
        <w:t xml:space="preserve">(KPA), miratuar me ligjin </w:t>
      </w:r>
      <w:r w:rsidR="00D56888" w:rsidRPr="00641640">
        <w:rPr>
          <w:rFonts w:ascii="Times New Roman" w:hAnsi="Times New Roman" w:cs="Times New Roman"/>
          <w:noProof/>
          <w:sz w:val="24"/>
          <w:szCs w:val="24"/>
          <w:lang w:val="sq-AL"/>
        </w:rPr>
        <w:t>n</w:t>
      </w:r>
      <w:r w:rsidR="00550690" w:rsidRPr="00641640">
        <w:rPr>
          <w:rFonts w:ascii="Times New Roman" w:hAnsi="Times New Roman" w:cs="Times New Roman"/>
          <w:noProof/>
          <w:sz w:val="24"/>
          <w:szCs w:val="24"/>
          <w:lang w:val="sq-AL"/>
        </w:rPr>
        <w:t xml:space="preserve">r. 44/2015, ofron </w:t>
      </w:r>
      <w:r w:rsidR="00BC4368" w:rsidRPr="00641640">
        <w:rPr>
          <w:rFonts w:ascii="Times New Roman" w:hAnsi="Times New Roman" w:cs="Times New Roman"/>
          <w:noProof/>
          <w:sz w:val="24"/>
          <w:szCs w:val="24"/>
          <w:lang w:val="sq-AL"/>
        </w:rPr>
        <w:t xml:space="preserve">një </w:t>
      </w:r>
      <w:r w:rsidR="00D31B5B" w:rsidRPr="00641640">
        <w:rPr>
          <w:rFonts w:ascii="Times New Roman" w:hAnsi="Times New Roman" w:cs="Times New Roman"/>
          <w:noProof/>
          <w:sz w:val="24"/>
          <w:szCs w:val="24"/>
          <w:lang w:val="sq-AL"/>
        </w:rPr>
        <w:t xml:space="preserve">kornizë </w:t>
      </w:r>
      <w:r w:rsidR="00550690" w:rsidRPr="00641640">
        <w:rPr>
          <w:rFonts w:ascii="Times New Roman" w:hAnsi="Times New Roman" w:cs="Times New Roman"/>
          <w:noProof/>
          <w:sz w:val="24"/>
          <w:szCs w:val="24"/>
          <w:lang w:val="sq-AL"/>
        </w:rPr>
        <w:t>ligjor</w:t>
      </w:r>
      <w:r w:rsidR="00D31B5B" w:rsidRPr="00641640">
        <w:rPr>
          <w:rFonts w:ascii="Times New Roman" w:hAnsi="Times New Roman" w:cs="Times New Roman"/>
          <w:noProof/>
          <w:sz w:val="24"/>
          <w:szCs w:val="24"/>
          <w:lang w:val="sq-AL"/>
        </w:rPr>
        <w:t>e</w:t>
      </w:r>
      <w:r w:rsidR="00550690" w:rsidRPr="00641640">
        <w:rPr>
          <w:rFonts w:ascii="Times New Roman" w:hAnsi="Times New Roman" w:cs="Times New Roman"/>
          <w:noProof/>
          <w:sz w:val="24"/>
          <w:szCs w:val="24"/>
          <w:lang w:val="sq-AL"/>
        </w:rPr>
        <w:t xml:space="preserve"> </w:t>
      </w:r>
      <w:r w:rsidR="00BC4368" w:rsidRPr="00641640">
        <w:rPr>
          <w:rFonts w:ascii="Times New Roman" w:hAnsi="Times New Roman" w:cs="Times New Roman"/>
          <w:noProof/>
          <w:sz w:val="24"/>
          <w:szCs w:val="24"/>
          <w:lang w:val="sq-AL"/>
        </w:rPr>
        <w:t>modern</w:t>
      </w:r>
      <w:r w:rsidR="00D31B5B" w:rsidRPr="00641640">
        <w:rPr>
          <w:rFonts w:ascii="Times New Roman" w:hAnsi="Times New Roman" w:cs="Times New Roman"/>
          <w:noProof/>
          <w:sz w:val="24"/>
          <w:szCs w:val="24"/>
          <w:lang w:val="sq-AL"/>
        </w:rPr>
        <w:t>e</w:t>
      </w:r>
      <w:r w:rsidR="00BC4368" w:rsidRPr="00641640">
        <w:rPr>
          <w:rFonts w:ascii="Times New Roman" w:hAnsi="Times New Roman" w:cs="Times New Roman"/>
          <w:noProof/>
          <w:sz w:val="24"/>
          <w:szCs w:val="24"/>
          <w:lang w:val="sq-AL"/>
        </w:rPr>
        <w:t xml:space="preserve"> për funksionimin e administratës publike, </w:t>
      </w:r>
      <w:r w:rsidR="00550690" w:rsidRPr="00641640">
        <w:rPr>
          <w:rFonts w:ascii="Times New Roman" w:hAnsi="Times New Roman" w:cs="Times New Roman"/>
          <w:noProof/>
          <w:sz w:val="24"/>
          <w:szCs w:val="24"/>
          <w:lang w:val="sq-AL"/>
        </w:rPr>
        <w:t xml:space="preserve">si </w:t>
      </w:r>
      <w:r w:rsidR="00BC4368" w:rsidRPr="00641640">
        <w:rPr>
          <w:rFonts w:ascii="Times New Roman" w:hAnsi="Times New Roman" w:cs="Times New Roman"/>
          <w:noProof/>
          <w:sz w:val="24"/>
          <w:szCs w:val="24"/>
          <w:lang w:val="sq-AL"/>
        </w:rPr>
        <w:t xml:space="preserve">dhe për menaxhimin e ankesave dhe kërkesave </w:t>
      </w:r>
      <w:r w:rsidR="00550690" w:rsidRPr="00641640">
        <w:rPr>
          <w:rFonts w:ascii="Times New Roman" w:hAnsi="Times New Roman" w:cs="Times New Roman"/>
          <w:noProof/>
          <w:sz w:val="24"/>
          <w:szCs w:val="24"/>
          <w:lang w:val="sq-AL"/>
        </w:rPr>
        <w:t>q</w:t>
      </w:r>
      <w:r w:rsidR="00870DCD" w:rsidRPr="00641640">
        <w:rPr>
          <w:rFonts w:ascii="Times New Roman" w:hAnsi="Times New Roman" w:cs="Times New Roman"/>
          <w:noProof/>
          <w:sz w:val="24"/>
          <w:szCs w:val="24"/>
          <w:lang w:val="sq-AL"/>
        </w:rPr>
        <w:t>ë</w:t>
      </w:r>
      <w:r w:rsidR="00550690" w:rsidRPr="00641640">
        <w:rPr>
          <w:rFonts w:ascii="Times New Roman" w:hAnsi="Times New Roman" w:cs="Times New Roman"/>
          <w:noProof/>
          <w:sz w:val="24"/>
          <w:szCs w:val="24"/>
          <w:lang w:val="sq-AL"/>
        </w:rPr>
        <w:t xml:space="preserve"> paraqiten kundrejt institucioneve publike</w:t>
      </w:r>
      <w:r w:rsidR="00BC4368" w:rsidRPr="00641640">
        <w:rPr>
          <w:rFonts w:ascii="Times New Roman" w:hAnsi="Times New Roman" w:cs="Times New Roman"/>
          <w:noProof/>
          <w:sz w:val="24"/>
          <w:szCs w:val="24"/>
          <w:lang w:val="sq-AL"/>
        </w:rPr>
        <w:t xml:space="preserve">. Miratimi i Kodit solli si nevojë përshtatjen e legjislacionit të posaçëm me procedurat dhe afatet </w:t>
      </w:r>
      <w:r w:rsidR="00550690" w:rsidRPr="00641640">
        <w:rPr>
          <w:rFonts w:ascii="Times New Roman" w:hAnsi="Times New Roman" w:cs="Times New Roman"/>
          <w:noProof/>
          <w:sz w:val="24"/>
          <w:szCs w:val="24"/>
          <w:lang w:val="sq-AL"/>
        </w:rPr>
        <w:t xml:space="preserve">e reja </w:t>
      </w:r>
      <w:r w:rsidR="00BC4368" w:rsidRPr="00641640">
        <w:rPr>
          <w:rFonts w:ascii="Times New Roman" w:hAnsi="Times New Roman" w:cs="Times New Roman"/>
          <w:noProof/>
          <w:sz w:val="24"/>
          <w:szCs w:val="24"/>
          <w:lang w:val="sq-AL"/>
        </w:rPr>
        <w:t xml:space="preserve">kohore. </w:t>
      </w:r>
      <w:r w:rsidR="00550690" w:rsidRPr="00641640">
        <w:rPr>
          <w:rFonts w:ascii="Times New Roman" w:hAnsi="Times New Roman" w:cs="Times New Roman"/>
          <w:noProof/>
          <w:sz w:val="24"/>
          <w:szCs w:val="24"/>
          <w:lang w:val="sq-AL"/>
        </w:rPr>
        <w:t>P</w:t>
      </w:r>
      <w:r w:rsidR="00870DCD" w:rsidRPr="00641640">
        <w:rPr>
          <w:rFonts w:ascii="Times New Roman" w:hAnsi="Times New Roman" w:cs="Times New Roman"/>
          <w:noProof/>
          <w:sz w:val="24"/>
          <w:szCs w:val="24"/>
          <w:lang w:val="sq-AL"/>
        </w:rPr>
        <w:t>ë</w:t>
      </w:r>
      <w:r w:rsidR="00550690" w:rsidRPr="00641640">
        <w:rPr>
          <w:rFonts w:ascii="Times New Roman" w:hAnsi="Times New Roman" w:cs="Times New Roman"/>
          <w:noProof/>
          <w:sz w:val="24"/>
          <w:szCs w:val="24"/>
          <w:lang w:val="sq-AL"/>
        </w:rPr>
        <w:t>rg</w:t>
      </w:r>
      <w:r w:rsidR="00BC4368" w:rsidRPr="00641640">
        <w:rPr>
          <w:rFonts w:ascii="Times New Roman" w:hAnsi="Times New Roman" w:cs="Times New Roman"/>
          <w:noProof/>
          <w:sz w:val="24"/>
          <w:szCs w:val="24"/>
          <w:lang w:val="sq-AL"/>
        </w:rPr>
        <w:t xml:space="preserve">jatë periudhës së zbatimit të strategjisë u hartua një metodologji për vlerësimin e përputhshmërisë dhe u analizuan rreth 1500 akte ligjore dhe nënligjore. </w:t>
      </w:r>
      <w:r w:rsidR="00A36B19" w:rsidRPr="00641640">
        <w:rPr>
          <w:rFonts w:ascii="Times New Roman" w:hAnsi="Times New Roman" w:cs="Times New Roman"/>
          <w:noProof/>
          <w:sz w:val="24"/>
          <w:szCs w:val="24"/>
          <w:lang w:val="sq-AL"/>
        </w:rPr>
        <w:t xml:space="preserve">Teksa pjesa madhore </w:t>
      </w:r>
      <w:r w:rsidR="00BC4368" w:rsidRPr="00641640">
        <w:rPr>
          <w:rFonts w:ascii="Times New Roman" w:hAnsi="Times New Roman" w:cs="Times New Roman"/>
          <w:noProof/>
          <w:sz w:val="24"/>
          <w:szCs w:val="24"/>
          <w:lang w:val="sq-AL"/>
        </w:rPr>
        <w:t xml:space="preserve">e akteve </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sht</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 xml:space="preserve"> </w:t>
      </w:r>
      <w:r w:rsidR="00BC4368" w:rsidRPr="00641640">
        <w:rPr>
          <w:rFonts w:ascii="Times New Roman" w:hAnsi="Times New Roman" w:cs="Times New Roman"/>
          <w:noProof/>
          <w:sz w:val="24"/>
          <w:szCs w:val="24"/>
          <w:lang w:val="sq-AL"/>
        </w:rPr>
        <w:t xml:space="preserve">përshtatur me dispozitat e </w:t>
      </w:r>
      <w:r w:rsidR="00A36B19" w:rsidRPr="00641640">
        <w:rPr>
          <w:rFonts w:ascii="Times New Roman" w:hAnsi="Times New Roman" w:cs="Times New Roman"/>
          <w:noProof/>
          <w:sz w:val="24"/>
          <w:szCs w:val="24"/>
          <w:lang w:val="sq-AL"/>
        </w:rPr>
        <w:t>K</w:t>
      </w:r>
      <w:r w:rsidR="00BC4368" w:rsidRPr="00641640">
        <w:rPr>
          <w:rFonts w:ascii="Times New Roman" w:hAnsi="Times New Roman" w:cs="Times New Roman"/>
          <w:noProof/>
          <w:sz w:val="24"/>
          <w:szCs w:val="24"/>
          <w:lang w:val="sq-AL"/>
        </w:rPr>
        <w:t xml:space="preserve">odit, </w:t>
      </w:r>
      <w:r w:rsidR="00A36B19" w:rsidRPr="00641640">
        <w:rPr>
          <w:rFonts w:ascii="Times New Roman" w:hAnsi="Times New Roman" w:cs="Times New Roman"/>
          <w:noProof/>
          <w:sz w:val="24"/>
          <w:szCs w:val="24"/>
          <w:lang w:val="sq-AL"/>
        </w:rPr>
        <w:t>jan</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 xml:space="preserve"> identifikuar edhe 65 akte t</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 xml:space="preserve"> mbetura n</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 xml:space="preserve"> nevoj</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 xml:space="preserve"> p</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r harmonizim, p</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r t</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 xml:space="preserve"> cilat </w:t>
      </w:r>
      <w:r w:rsidR="00BC4368" w:rsidRPr="00641640">
        <w:rPr>
          <w:rFonts w:ascii="Times New Roman" w:hAnsi="Times New Roman" w:cs="Times New Roman"/>
          <w:noProof/>
          <w:sz w:val="24"/>
          <w:szCs w:val="24"/>
          <w:lang w:val="sq-AL"/>
        </w:rPr>
        <w:t>është hartuar një program</w:t>
      </w:r>
      <w:r w:rsidR="00572331" w:rsidRPr="00641640">
        <w:rPr>
          <w:rFonts w:ascii="Times New Roman" w:hAnsi="Times New Roman" w:cs="Times New Roman"/>
          <w:noProof/>
          <w:sz w:val="24"/>
          <w:szCs w:val="24"/>
          <w:lang w:val="sq-AL"/>
        </w:rPr>
        <w:t xml:space="preserve"> </w:t>
      </w:r>
      <w:r w:rsidR="00A36B19" w:rsidRPr="00641640">
        <w:rPr>
          <w:rFonts w:ascii="Times New Roman" w:hAnsi="Times New Roman" w:cs="Times New Roman"/>
          <w:noProof/>
          <w:sz w:val="24"/>
          <w:szCs w:val="24"/>
          <w:lang w:val="sq-AL"/>
        </w:rPr>
        <w:t>i detajuar me</w:t>
      </w:r>
      <w:r w:rsidR="00BC4368" w:rsidRPr="00641640">
        <w:rPr>
          <w:rFonts w:ascii="Times New Roman" w:hAnsi="Times New Roman" w:cs="Times New Roman"/>
          <w:noProof/>
          <w:sz w:val="24"/>
          <w:szCs w:val="24"/>
          <w:lang w:val="sq-AL"/>
        </w:rPr>
        <w:t xml:space="preserve"> afatet kohore për të siguruar përputhshmërinë e plotë </w:t>
      </w:r>
      <w:r w:rsidR="00572331" w:rsidRPr="00641640">
        <w:rPr>
          <w:rFonts w:ascii="Times New Roman" w:hAnsi="Times New Roman" w:cs="Times New Roman"/>
          <w:noProof/>
          <w:sz w:val="24"/>
          <w:szCs w:val="24"/>
          <w:lang w:val="sq-AL"/>
        </w:rPr>
        <w:t>t</w:t>
      </w:r>
      <w:r w:rsidR="007F00FB" w:rsidRPr="00641640">
        <w:rPr>
          <w:rFonts w:ascii="Times New Roman" w:hAnsi="Times New Roman" w:cs="Times New Roman"/>
          <w:noProof/>
          <w:sz w:val="24"/>
          <w:szCs w:val="24"/>
          <w:lang w:val="sq-AL"/>
        </w:rPr>
        <w:t>ë</w:t>
      </w:r>
      <w:r w:rsidR="00572331" w:rsidRPr="00641640">
        <w:rPr>
          <w:rFonts w:ascii="Times New Roman" w:hAnsi="Times New Roman" w:cs="Times New Roman"/>
          <w:noProof/>
          <w:sz w:val="24"/>
          <w:szCs w:val="24"/>
          <w:lang w:val="sq-AL"/>
        </w:rPr>
        <w:t xml:space="preserve"> tyre </w:t>
      </w:r>
      <w:r w:rsidR="00BC4368" w:rsidRPr="00641640">
        <w:rPr>
          <w:rFonts w:ascii="Times New Roman" w:hAnsi="Times New Roman" w:cs="Times New Roman"/>
          <w:noProof/>
          <w:sz w:val="24"/>
          <w:szCs w:val="24"/>
          <w:lang w:val="sq-AL"/>
        </w:rPr>
        <w:t xml:space="preserve">me KPA </w:t>
      </w:r>
      <w:r w:rsidR="00572331" w:rsidRPr="00641640">
        <w:rPr>
          <w:rFonts w:ascii="Times New Roman" w:hAnsi="Times New Roman" w:cs="Times New Roman"/>
          <w:noProof/>
          <w:sz w:val="24"/>
          <w:szCs w:val="24"/>
          <w:lang w:val="sq-AL"/>
        </w:rPr>
        <w:t>brenda</w:t>
      </w:r>
      <w:r w:rsidR="00BC4368" w:rsidRPr="00641640">
        <w:rPr>
          <w:rFonts w:ascii="Times New Roman" w:hAnsi="Times New Roman" w:cs="Times New Roman"/>
          <w:noProof/>
          <w:sz w:val="24"/>
          <w:szCs w:val="24"/>
          <w:lang w:val="sq-AL"/>
        </w:rPr>
        <w:t xml:space="preserve"> vitit 2025</w:t>
      </w:r>
      <w:r w:rsidR="00A36B19" w:rsidRPr="00641640">
        <w:rPr>
          <w:rFonts w:ascii="Times New Roman" w:hAnsi="Times New Roman" w:cs="Times New Roman"/>
          <w:noProof/>
          <w:sz w:val="24"/>
          <w:szCs w:val="24"/>
          <w:lang w:val="sq-AL"/>
        </w:rPr>
        <w:t>, n</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 xml:space="preserve"> zbatim t</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 xml:space="preserve"> angazhimit t</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 xml:space="preserve"> nd</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rmarr</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 xml:space="preserve"> n</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 xml:space="preserve"> Udh</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rr</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fyesin p</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r Reform</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n n</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 xml:space="preserve"> Administrat</w:t>
      </w:r>
      <w:r w:rsidR="00870DCD" w:rsidRPr="00641640">
        <w:rPr>
          <w:rFonts w:ascii="Times New Roman" w:hAnsi="Times New Roman" w:cs="Times New Roman"/>
          <w:noProof/>
          <w:sz w:val="24"/>
          <w:szCs w:val="24"/>
          <w:lang w:val="sq-AL"/>
        </w:rPr>
        <w:t>ë</w:t>
      </w:r>
      <w:r w:rsidR="00A36B19" w:rsidRPr="00641640">
        <w:rPr>
          <w:rFonts w:ascii="Times New Roman" w:hAnsi="Times New Roman" w:cs="Times New Roman"/>
          <w:noProof/>
          <w:sz w:val="24"/>
          <w:szCs w:val="24"/>
          <w:lang w:val="sq-AL"/>
        </w:rPr>
        <w:t>n Publike 2024-2030</w:t>
      </w:r>
      <w:r w:rsidR="00BC4368" w:rsidRPr="00641640">
        <w:rPr>
          <w:rFonts w:ascii="Times New Roman" w:hAnsi="Times New Roman" w:cs="Times New Roman"/>
          <w:noProof/>
          <w:sz w:val="24"/>
          <w:szCs w:val="24"/>
          <w:lang w:val="sq-AL"/>
        </w:rPr>
        <w:t>.</w:t>
      </w:r>
    </w:p>
    <w:p w14:paraId="26808ECC" w14:textId="0E75E9B1" w:rsidR="00C77DFF" w:rsidRPr="00641640" w:rsidRDefault="00AB6D00"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drejtim t</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transparenc</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s institucionale, </w:t>
      </w:r>
      <w:r w:rsidR="00FB3F6F" w:rsidRPr="00641640">
        <w:rPr>
          <w:rFonts w:ascii="Times New Roman" w:hAnsi="Times New Roman" w:cs="Times New Roman"/>
          <w:noProof/>
          <w:sz w:val="24"/>
          <w:szCs w:val="24"/>
          <w:lang w:val="sq-AL"/>
        </w:rPr>
        <w:t>korniza</w:t>
      </w:r>
      <w:r w:rsidRPr="00641640">
        <w:rPr>
          <w:rFonts w:ascii="Times New Roman" w:hAnsi="Times New Roman" w:cs="Times New Roman"/>
          <w:noProof/>
          <w:sz w:val="24"/>
          <w:szCs w:val="24"/>
          <w:lang w:val="sq-AL"/>
        </w:rPr>
        <w:t xml:space="preserve"> ligjor</w:t>
      </w:r>
      <w:r w:rsidR="00FB3F6F"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 vendas</w:t>
      </w:r>
      <w:r w:rsidR="00FB3F6F"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 vler</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sohet nga Komisioni Evropian si gjer</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sisht </w:t>
      </w:r>
      <w:r w:rsidR="00FB3F6F"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 p</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rafruar me standardet evropiane.</w:t>
      </w:r>
      <w:r w:rsidRPr="00641640">
        <w:rPr>
          <w:rStyle w:val="FootnoteReference"/>
          <w:rFonts w:ascii="Times New Roman" w:hAnsi="Times New Roman" w:cs="Times New Roman"/>
          <w:noProof/>
          <w:sz w:val="24"/>
          <w:szCs w:val="24"/>
          <w:lang w:val="sq-AL"/>
        </w:rPr>
        <w:footnoteReference w:id="57"/>
      </w:r>
      <w:r w:rsidRPr="00641640">
        <w:rPr>
          <w:rFonts w:ascii="Times New Roman" w:hAnsi="Times New Roman" w:cs="Times New Roman"/>
          <w:noProof/>
          <w:sz w:val="24"/>
          <w:szCs w:val="24"/>
          <w:lang w:val="sq-AL"/>
        </w:rPr>
        <w:t xml:space="preserve"> </w:t>
      </w:r>
      <w:r w:rsidR="00C77DFF" w:rsidRPr="00641640">
        <w:rPr>
          <w:rFonts w:ascii="Times New Roman" w:hAnsi="Times New Roman" w:cs="Times New Roman"/>
          <w:noProof/>
          <w:sz w:val="24"/>
          <w:szCs w:val="24"/>
          <w:lang w:val="sq-AL"/>
        </w:rPr>
        <w:t>Gjithashtu, sipas Indeksit të Transparencës 2024 të publikuar nga Qendra K</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rkimore Evropiane p</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r Antikorrupsionin dhe Shtetnd</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rtimi, Shqipëria ka një rezultat prej 73%, duke tejkaluar mesataren globale prej 61% dhe mesataren rajonale prej 67% n</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 xml:space="preserve"> drejtim t</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 xml:space="preserve"> p</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rmbushjes s</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 xml:space="preserve"> detyrimeve dhe standardeve t</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 xml:space="preserve"> transparenc</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 xml:space="preserve">s. </w:t>
      </w:r>
      <w:r w:rsidR="00631E8F" w:rsidRPr="00641640">
        <w:rPr>
          <w:rFonts w:ascii="Times New Roman" w:hAnsi="Times New Roman" w:cs="Times New Roman"/>
          <w:noProof/>
          <w:sz w:val="24"/>
          <w:szCs w:val="24"/>
          <w:lang w:val="sq-AL"/>
        </w:rPr>
        <w:t>E drejta e çdo qytetari p</w:t>
      </w:r>
      <w:r w:rsidR="00870DCD" w:rsidRPr="00641640">
        <w:rPr>
          <w:rFonts w:ascii="Times New Roman" w:hAnsi="Times New Roman" w:cs="Times New Roman"/>
          <w:noProof/>
          <w:sz w:val="24"/>
          <w:szCs w:val="24"/>
          <w:lang w:val="sq-AL"/>
        </w:rPr>
        <w:t>ë</w:t>
      </w:r>
      <w:r w:rsidR="00631E8F" w:rsidRPr="00641640">
        <w:rPr>
          <w:rFonts w:ascii="Times New Roman" w:hAnsi="Times New Roman" w:cs="Times New Roman"/>
          <w:noProof/>
          <w:sz w:val="24"/>
          <w:szCs w:val="24"/>
          <w:lang w:val="sq-AL"/>
        </w:rPr>
        <w:t>r t</w:t>
      </w:r>
      <w:r w:rsidR="00870DCD" w:rsidRPr="00641640">
        <w:rPr>
          <w:rFonts w:ascii="Times New Roman" w:hAnsi="Times New Roman" w:cs="Times New Roman"/>
          <w:noProof/>
          <w:sz w:val="24"/>
          <w:szCs w:val="24"/>
          <w:lang w:val="sq-AL"/>
        </w:rPr>
        <w:t>ë</w:t>
      </w:r>
      <w:r w:rsidR="00631E8F" w:rsidRPr="00641640">
        <w:rPr>
          <w:rFonts w:ascii="Times New Roman" w:hAnsi="Times New Roman" w:cs="Times New Roman"/>
          <w:noProof/>
          <w:sz w:val="24"/>
          <w:szCs w:val="24"/>
          <w:lang w:val="sq-AL"/>
        </w:rPr>
        <w:t xml:space="preserve"> k</w:t>
      </w:r>
      <w:r w:rsidR="00870DCD" w:rsidRPr="00641640">
        <w:rPr>
          <w:rFonts w:ascii="Times New Roman" w:hAnsi="Times New Roman" w:cs="Times New Roman"/>
          <w:noProof/>
          <w:sz w:val="24"/>
          <w:szCs w:val="24"/>
          <w:lang w:val="sq-AL"/>
        </w:rPr>
        <w:t>ë</w:t>
      </w:r>
      <w:r w:rsidR="00631E8F" w:rsidRPr="00641640">
        <w:rPr>
          <w:rFonts w:ascii="Times New Roman" w:hAnsi="Times New Roman" w:cs="Times New Roman"/>
          <w:noProof/>
          <w:sz w:val="24"/>
          <w:szCs w:val="24"/>
          <w:lang w:val="sq-AL"/>
        </w:rPr>
        <w:t>rkuar informacion nga institucionet e administrat</w:t>
      </w:r>
      <w:r w:rsidR="00870DCD" w:rsidRPr="00641640">
        <w:rPr>
          <w:rFonts w:ascii="Times New Roman" w:hAnsi="Times New Roman" w:cs="Times New Roman"/>
          <w:noProof/>
          <w:sz w:val="24"/>
          <w:szCs w:val="24"/>
          <w:lang w:val="sq-AL"/>
        </w:rPr>
        <w:t>ë</w:t>
      </w:r>
      <w:r w:rsidR="00631E8F" w:rsidRPr="00641640">
        <w:rPr>
          <w:rFonts w:ascii="Times New Roman" w:hAnsi="Times New Roman" w:cs="Times New Roman"/>
          <w:noProof/>
          <w:sz w:val="24"/>
          <w:szCs w:val="24"/>
          <w:lang w:val="sq-AL"/>
        </w:rPr>
        <w:t>s publike rregullohet nga ligji nr. 119/2014 “</w:t>
      </w:r>
      <w:r w:rsidR="00631E8F" w:rsidRPr="008520A1">
        <w:rPr>
          <w:rFonts w:ascii="Times New Roman" w:hAnsi="Times New Roman" w:cs="Times New Roman"/>
          <w:i/>
          <w:iCs/>
          <w:noProof/>
          <w:sz w:val="24"/>
          <w:szCs w:val="24"/>
          <w:lang w:val="sq-AL"/>
        </w:rPr>
        <w:t>P</w:t>
      </w:r>
      <w:r w:rsidR="00870DCD" w:rsidRPr="008520A1">
        <w:rPr>
          <w:rFonts w:ascii="Times New Roman" w:hAnsi="Times New Roman" w:cs="Times New Roman"/>
          <w:i/>
          <w:iCs/>
          <w:noProof/>
          <w:sz w:val="24"/>
          <w:szCs w:val="24"/>
          <w:lang w:val="sq-AL"/>
        </w:rPr>
        <w:t>ë</w:t>
      </w:r>
      <w:r w:rsidR="00631E8F" w:rsidRPr="008520A1">
        <w:rPr>
          <w:rFonts w:ascii="Times New Roman" w:hAnsi="Times New Roman" w:cs="Times New Roman"/>
          <w:i/>
          <w:iCs/>
          <w:noProof/>
          <w:sz w:val="24"/>
          <w:szCs w:val="24"/>
          <w:lang w:val="sq-AL"/>
        </w:rPr>
        <w:t>r t</w:t>
      </w:r>
      <w:r w:rsidR="00870DCD" w:rsidRPr="008520A1">
        <w:rPr>
          <w:rFonts w:ascii="Times New Roman" w:hAnsi="Times New Roman" w:cs="Times New Roman"/>
          <w:i/>
          <w:iCs/>
          <w:noProof/>
          <w:sz w:val="24"/>
          <w:szCs w:val="24"/>
          <w:lang w:val="sq-AL"/>
        </w:rPr>
        <w:t>ë</w:t>
      </w:r>
      <w:r w:rsidR="00631E8F" w:rsidRPr="008520A1">
        <w:rPr>
          <w:rFonts w:ascii="Times New Roman" w:hAnsi="Times New Roman" w:cs="Times New Roman"/>
          <w:i/>
          <w:iCs/>
          <w:noProof/>
          <w:sz w:val="24"/>
          <w:szCs w:val="24"/>
          <w:lang w:val="sq-AL"/>
        </w:rPr>
        <w:t xml:space="preserve"> drejt</w:t>
      </w:r>
      <w:r w:rsidR="00870DCD" w:rsidRPr="008520A1">
        <w:rPr>
          <w:rFonts w:ascii="Times New Roman" w:hAnsi="Times New Roman" w:cs="Times New Roman"/>
          <w:i/>
          <w:iCs/>
          <w:noProof/>
          <w:sz w:val="24"/>
          <w:szCs w:val="24"/>
          <w:lang w:val="sq-AL"/>
        </w:rPr>
        <w:t>ë</w:t>
      </w:r>
      <w:r w:rsidR="00631E8F" w:rsidRPr="008520A1">
        <w:rPr>
          <w:rFonts w:ascii="Times New Roman" w:hAnsi="Times New Roman" w:cs="Times New Roman"/>
          <w:i/>
          <w:iCs/>
          <w:noProof/>
          <w:sz w:val="24"/>
          <w:szCs w:val="24"/>
          <w:lang w:val="sq-AL"/>
        </w:rPr>
        <w:t>n e informimit</w:t>
      </w:r>
      <w:r w:rsidR="00C26E4B" w:rsidRPr="00641640">
        <w:rPr>
          <w:rFonts w:ascii="Times New Roman" w:hAnsi="Times New Roman" w:cs="Times New Roman"/>
          <w:noProof/>
          <w:sz w:val="24"/>
          <w:szCs w:val="24"/>
          <w:lang w:val="sq-AL"/>
        </w:rPr>
        <w:t>”</w:t>
      </w:r>
      <w:r w:rsidR="00631E8F" w:rsidRPr="00641640">
        <w:rPr>
          <w:rFonts w:ascii="Times New Roman" w:hAnsi="Times New Roman" w:cs="Times New Roman"/>
          <w:noProof/>
          <w:sz w:val="24"/>
          <w:szCs w:val="24"/>
          <w:lang w:val="sq-AL"/>
        </w:rPr>
        <w:t xml:space="preserve">, </w:t>
      </w:r>
      <w:r w:rsidR="00C966B3" w:rsidRPr="00641640">
        <w:rPr>
          <w:rFonts w:ascii="Times New Roman" w:hAnsi="Times New Roman" w:cs="Times New Roman"/>
          <w:noProof/>
          <w:sz w:val="24"/>
          <w:szCs w:val="24"/>
          <w:lang w:val="sq-AL"/>
        </w:rPr>
        <w:t xml:space="preserve">i ndryshuar </w:t>
      </w:r>
      <w:r w:rsidR="007035F2" w:rsidRPr="00641640">
        <w:rPr>
          <w:rFonts w:ascii="Times New Roman" w:hAnsi="Times New Roman" w:cs="Times New Roman"/>
          <w:noProof/>
          <w:sz w:val="24"/>
          <w:szCs w:val="24"/>
          <w:lang w:val="sq-AL"/>
        </w:rPr>
        <w:t>(LDI)</w:t>
      </w:r>
      <w:r w:rsidR="00C966B3" w:rsidRPr="00641640">
        <w:rPr>
          <w:rFonts w:ascii="Times New Roman" w:hAnsi="Times New Roman" w:cs="Times New Roman"/>
          <w:noProof/>
          <w:sz w:val="24"/>
          <w:szCs w:val="24"/>
          <w:lang w:val="sq-AL"/>
        </w:rPr>
        <w:t xml:space="preserve">. </w:t>
      </w:r>
      <w:r w:rsidR="00C77DFF" w:rsidRPr="00641640">
        <w:rPr>
          <w:rFonts w:ascii="Times New Roman" w:hAnsi="Times New Roman" w:cs="Times New Roman"/>
          <w:noProof/>
          <w:sz w:val="24"/>
          <w:szCs w:val="24"/>
          <w:lang w:val="sq-AL"/>
        </w:rPr>
        <w:t>Komisioneri për të Drejtën e Informimit dhe Mbrojtjen e të Dhënave mbikëqyr dhënien e informacionit publik dhe adreson ankesat në lidhje me aksesin në informacion.</w:t>
      </w:r>
    </w:p>
    <w:p w14:paraId="059B5951" w14:textId="3E755461" w:rsidR="00C966B3" w:rsidRPr="00641640" w:rsidRDefault="00C966B3"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Ndryshimet m</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fundit t</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ligjit t</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miratuara me ligjin nr. 78/2023</w:t>
      </w:r>
      <w:r w:rsidR="00C77DFF" w:rsidRPr="00641640">
        <w:rPr>
          <w:rFonts w:ascii="Times New Roman" w:hAnsi="Times New Roman" w:cs="Times New Roman"/>
          <w:noProof/>
          <w:sz w:val="24"/>
          <w:szCs w:val="24"/>
          <w:lang w:val="sq-AL"/>
        </w:rPr>
        <w:t xml:space="preserve"> </w:t>
      </w:r>
      <w:r w:rsidR="008520A1">
        <w:rPr>
          <w:rFonts w:ascii="Times New Roman" w:hAnsi="Times New Roman" w:cs="Times New Roman"/>
          <w:noProof/>
          <w:sz w:val="24"/>
          <w:szCs w:val="24"/>
          <w:lang w:val="sq-AL"/>
        </w:rPr>
        <w:t>‘</w:t>
      </w:r>
      <w:r w:rsidR="00C77DFF" w:rsidRPr="00641640">
        <w:rPr>
          <w:rFonts w:ascii="Times New Roman" w:hAnsi="Times New Roman" w:cs="Times New Roman"/>
          <w:noProof/>
          <w:sz w:val="24"/>
          <w:szCs w:val="24"/>
          <w:lang w:val="sq-AL"/>
        </w:rPr>
        <w:t>“</w:t>
      </w:r>
      <w:r w:rsidR="00C77DFF" w:rsidRPr="008520A1">
        <w:rPr>
          <w:rFonts w:ascii="Times New Roman" w:hAnsi="Times New Roman" w:cs="Times New Roman"/>
          <w:i/>
          <w:iCs/>
          <w:noProof/>
          <w:sz w:val="24"/>
          <w:szCs w:val="24"/>
          <w:lang w:val="sq-AL"/>
        </w:rPr>
        <w:t xml:space="preserve">Për disa shtesa dhe ndryshime në ligjin nr. 119/2014 </w:t>
      </w:r>
      <w:r w:rsidR="004D0DE0" w:rsidRPr="008520A1">
        <w:rPr>
          <w:rFonts w:ascii="Times New Roman" w:hAnsi="Times New Roman" w:cs="Times New Roman"/>
          <w:i/>
          <w:iCs/>
          <w:noProof/>
          <w:sz w:val="24"/>
          <w:szCs w:val="24"/>
          <w:lang w:val="sq-AL"/>
        </w:rPr>
        <w:t>“</w:t>
      </w:r>
      <w:r w:rsidR="00C77DFF" w:rsidRPr="008520A1">
        <w:rPr>
          <w:rFonts w:ascii="Times New Roman" w:hAnsi="Times New Roman" w:cs="Times New Roman"/>
          <w:i/>
          <w:iCs/>
          <w:noProof/>
          <w:sz w:val="24"/>
          <w:szCs w:val="24"/>
          <w:lang w:val="sq-AL"/>
        </w:rPr>
        <w:t>Për të drejtën e informimit</w:t>
      </w:r>
      <w:r w:rsidR="00C77DFF" w:rsidRPr="00641640">
        <w:rPr>
          <w:rFonts w:ascii="Times New Roman" w:hAnsi="Times New Roman" w:cs="Times New Roman"/>
          <w:noProof/>
          <w:sz w:val="24"/>
          <w:szCs w:val="24"/>
          <w:lang w:val="sq-AL"/>
        </w:rPr>
        <w:t>”</w:t>
      </w:r>
      <w:r w:rsidR="008520A1">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janë fokusuar në elementet më jetike për efikasitetin e procesit. Konkretisht, ndryshimet ligjore kan</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sanksionuar shtesën e pagës për punonjësit e caktuar si koordinatorë për të drejtën e informimit, për të siguruar motivimin e tyre për kryerjen në mënyrë efikase të kësaj detyre që u shtohet kompetencave të tyre funksionale</w:t>
      </w:r>
      <w:r w:rsidR="00C017AD" w:rsidRPr="00641640">
        <w:rPr>
          <w:rFonts w:ascii="Times New Roman" w:hAnsi="Times New Roman" w:cs="Times New Roman"/>
          <w:noProof/>
          <w:sz w:val="24"/>
          <w:szCs w:val="24"/>
          <w:lang w:val="sq-AL"/>
        </w:rPr>
        <w:t xml:space="preserve">. Gjithashtu, </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sht</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 xml:space="preserve"> rishikuar kufiri minimal i  sanksioneve, duke vendosur një marrëdhënie më të drejtë dhe proporcionale me të ardhurat në administratën publike.</w:t>
      </w:r>
      <w:r w:rsidR="00C77DFF" w:rsidRPr="00641640">
        <w:rPr>
          <w:rFonts w:ascii="Times New Roman" w:hAnsi="Times New Roman" w:cs="Times New Roman"/>
          <w:noProof/>
          <w:sz w:val="24"/>
          <w:szCs w:val="24"/>
          <w:lang w:val="sq-AL"/>
        </w:rPr>
        <w:t xml:space="preserve"> Mes risive m</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 xml:space="preserve"> dometh</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n</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 xml:space="preserve">se, </w:t>
      </w:r>
      <w:r w:rsidRPr="00641640">
        <w:rPr>
          <w:rFonts w:ascii="Times New Roman" w:hAnsi="Times New Roman" w:cs="Times New Roman"/>
          <w:noProof/>
          <w:sz w:val="24"/>
          <w:szCs w:val="24"/>
          <w:lang w:val="sq-AL"/>
        </w:rPr>
        <w:t>ligji ka zgjeruar listën e rrethanave që shkaktojnë përgjegjësi për titullarin e institucionit, duke kufizuar përgjegjësinë e koordinatorit p</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informim vetëm për shkeljet e procesit që varen drejtpërdrejt nga detyrimet e tij.</w:t>
      </w:r>
      <w:r w:rsidR="00C77DFF"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Ky ndryshim adreson edhe gjetjen e përsëritur të Raportit të Komisionit Evropian dhe njëherësh Misionit të Vlerësimit </w:t>
      </w:r>
      <w:r w:rsidR="00C77DFF" w:rsidRPr="00641640">
        <w:rPr>
          <w:rFonts w:ascii="Times New Roman" w:hAnsi="Times New Roman" w:cs="Times New Roman"/>
          <w:i/>
          <w:noProof/>
          <w:sz w:val="24"/>
          <w:szCs w:val="24"/>
          <w:lang w:val="sq-AL"/>
        </w:rPr>
        <w:t>(</w:t>
      </w:r>
      <w:r w:rsidR="00C77DFF" w:rsidRPr="00FA780E">
        <w:rPr>
          <w:rFonts w:ascii="Times New Roman" w:hAnsi="Times New Roman" w:cs="Times New Roman"/>
          <w:i/>
          <w:noProof/>
          <w:sz w:val="24"/>
          <w:szCs w:val="24"/>
          <w:lang w:val="sq-AL"/>
        </w:rPr>
        <w:t>Peer Revie</w:t>
      </w:r>
      <w:r w:rsidR="00D6227A" w:rsidRPr="00FA780E">
        <w:rPr>
          <w:rFonts w:ascii="Times New Roman" w:hAnsi="Times New Roman" w:cs="Times New Roman"/>
          <w:i/>
          <w:noProof/>
          <w:sz w:val="24"/>
          <w:szCs w:val="24"/>
          <w:lang w:val="sq-AL"/>
        </w:rPr>
        <w:t>w</w:t>
      </w:r>
      <w:r w:rsidR="00C77DFF" w:rsidRPr="00FA780E">
        <w:rPr>
          <w:rFonts w:ascii="Times New Roman" w:hAnsi="Times New Roman" w:cs="Times New Roman"/>
          <w:i/>
          <w:noProof/>
          <w:sz w:val="24"/>
          <w:szCs w:val="24"/>
          <w:lang w:val="sq-AL"/>
        </w:rPr>
        <w:t xml:space="preserve"> Mission</w:t>
      </w:r>
      <w:r w:rsidR="00C77DFF" w:rsidRPr="00641640">
        <w:rPr>
          <w:rFonts w:ascii="Times New Roman" w:hAnsi="Times New Roman" w:cs="Times New Roman"/>
          <w:i/>
          <w:noProof/>
          <w:sz w:val="24"/>
          <w:szCs w:val="24"/>
          <w:lang w:val="sq-AL"/>
        </w:rPr>
        <w:t xml:space="preserve">) </w:t>
      </w:r>
      <w:r w:rsidRPr="00641640">
        <w:rPr>
          <w:rFonts w:ascii="Times New Roman" w:hAnsi="Times New Roman" w:cs="Times New Roman"/>
          <w:noProof/>
          <w:sz w:val="24"/>
          <w:szCs w:val="24"/>
          <w:lang w:val="sq-AL"/>
        </w:rPr>
        <w:t>që ka asistuar institucionin e Komisionerit për procesin amendues lidhur me ndarjen më të mirëmenduar të përgjegjësisë për shkeljet në garantimin e së drejtës për akses në informacion. Ndryshimet ligjore kanë shtruar kështu terrenin për garantim më efikas të së drejtës së informimit përmes përshtatjes së ligjit me realitetin institucional dhe hierarkinë e proceseve brenda administratës publike shqiptare.</w:t>
      </w:r>
    </w:p>
    <w:p w14:paraId="38881587" w14:textId="6AE0B236" w:rsidR="00C26E4B" w:rsidRPr="00641640" w:rsidRDefault="00AB6D00"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lastRenderedPageBreak/>
        <w:t>N</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vijim t</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pun</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 p</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p</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rafrimin me standardet evropiane, Shqip</w:t>
      </w:r>
      <w:r w:rsidR="00870DC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ria ratifikoi </w:t>
      </w:r>
      <w:r w:rsidR="000D5E07" w:rsidRPr="00641640">
        <w:rPr>
          <w:rFonts w:ascii="Times New Roman" w:hAnsi="Times New Roman" w:cs="Times New Roman"/>
          <w:noProof/>
          <w:sz w:val="24"/>
          <w:szCs w:val="24"/>
          <w:lang w:val="sq-AL"/>
        </w:rPr>
        <w:t>me ligjin nr. 45/</w:t>
      </w:r>
      <w:r w:rsidRPr="00641640">
        <w:rPr>
          <w:rFonts w:ascii="Times New Roman" w:hAnsi="Times New Roman" w:cs="Times New Roman"/>
          <w:noProof/>
          <w:sz w:val="24"/>
          <w:szCs w:val="24"/>
          <w:lang w:val="sq-AL"/>
        </w:rPr>
        <w:t>2022 Konventën e Këshillit të Evropës “</w:t>
      </w:r>
      <w:r w:rsidRPr="004F2353">
        <w:rPr>
          <w:rFonts w:ascii="Times New Roman" w:hAnsi="Times New Roman" w:cs="Times New Roman"/>
          <w:i/>
          <w:iCs/>
          <w:noProof/>
          <w:sz w:val="24"/>
          <w:szCs w:val="24"/>
          <w:lang w:val="sq-AL"/>
        </w:rPr>
        <w:t>Për aksesin në dokumentet zyrtare</w:t>
      </w:r>
      <w:r w:rsidRPr="00641640">
        <w:rPr>
          <w:rFonts w:ascii="Times New Roman" w:hAnsi="Times New Roman" w:cs="Times New Roman"/>
          <w:noProof/>
          <w:sz w:val="24"/>
          <w:szCs w:val="24"/>
          <w:lang w:val="sq-AL"/>
        </w:rPr>
        <w:t>”</w:t>
      </w:r>
      <w:r w:rsidR="0055028F" w:rsidRPr="00641640">
        <w:rPr>
          <w:rFonts w:ascii="Times New Roman" w:hAnsi="Times New Roman" w:cs="Times New Roman"/>
          <w:noProof/>
          <w:sz w:val="24"/>
          <w:szCs w:val="24"/>
          <w:lang w:val="sq-AL"/>
        </w:rPr>
        <w:t xml:space="preserve">, si dhe miratoi ligjin </w:t>
      </w:r>
      <w:r w:rsidR="00915E0A" w:rsidRPr="00641640">
        <w:rPr>
          <w:rFonts w:ascii="Times New Roman" w:hAnsi="Times New Roman" w:cs="Times New Roman"/>
          <w:noProof/>
          <w:sz w:val="24"/>
          <w:szCs w:val="24"/>
          <w:lang w:val="sq-AL"/>
        </w:rPr>
        <w:t>n</w:t>
      </w:r>
      <w:r w:rsidR="0055028F" w:rsidRPr="00641640">
        <w:rPr>
          <w:rFonts w:ascii="Times New Roman" w:hAnsi="Times New Roman" w:cs="Times New Roman"/>
          <w:noProof/>
          <w:sz w:val="24"/>
          <w:szCs w:val="24"/>
          <w:lang w:val="sq-AL"/>
        </w:rPr>
        <w:t>r. 33/2022 “</w:t>
      </w:r>
      <w:r w:rsidR="0055028F" w:rsidRPr="004F2353">
        <w:rPr>
          <w:rFonts w:ascii="Times New Roman" w:hAnsi="Times New Roman" w:cs="Times New Roman"/>
          <w:i/>
          <w:iCs/>
          <w:noProof/>
          <w:sz w:val="24"/>
          <w:szCs w:val="24"/>
          <w:lang w:val="sq-AL"/>
        </w:rPr>
        <w:t>P</w:t>
      </w:r>
      <w:r w:rsidR="00870DCD" w:rsidRPr="004F2353">
        <w:rPr>
          <w:rFonts w:ascii="Times New Roman" w:hAnsi="Times New Roman" w:cs="Times New Roman"/>
          <w:i/>
          <w:iCs/>
          <w:noProof/>
          <w:sz w:val="24"/>
          <w:szCs w:val="24"/>
          <w:lang w:val="sq-AL"/>
        </w:rPr>
        <w:t>ë</w:t>
      </w:r>
      <w:r w:rsidR="0055028F" w:rsidRPr="004F2353">
        <w:rPr>
          <w:rFonts w:ascii="Times New Roman" w:hAnsi="Times New Roman" w:cs="Times New Roman"/>
          <w:i/>
          <w:iCs/>
          <w:noProof/>
          <w:sz w:val="24"/>
          <w:szCs w:val="24"/>
          <w:lang w:val="sq-AL"/>
        </w:rPr>
        <w:t>r t</w:t>
      </w:r>
      <w:r w:rsidR="00870DCD" w:rsidRPr="004F2353">
        <w:rPr>
          <w:rFonts w:ascii="Times New Roman" w:hAnsi="Times New Roman" w:cs="Times New Roman"/>
          <w:i/>
          <w:iCs/>
          <w:noProof/>
          <w:sz w:val="24"/>
          <w:szCs w:val="24"/>
          <w:lang w:val="sq-AL"/>
        </w:rPr>
        <w:t>ë</w:t>
      </w:r>
      <w:r w:rsidR="0055028F" w:rsidRPr="004F2353">
        <w:rPr>
          <w:rFonts w:ascii="Times New Roman" w:hAnsi="Times New Roman" w:cs="Times New Roman"/>
          <w:i/>
          <w:iCs/>
          <w:noProof/>
          <w:sz w:val="24"/>
          <w:szCs w:val="24"/>
          <w:lang w:val="sq-AL"/>
        </w:rPr>
        <w:t xml:space="preserve"> dh</w:t>
      </w:r>
      <w:r w:rsidR="00870DCD" w:rsidRPr="004F2353">
        <w:rPr>
          <w:rFonts w:ascii="Times New Roman" w:hAnsi="Times New Roman" w:cs="Times New Roman"/>
          <w:i/>
          <w:iCs/>
          <w:noProof/>
          <w:sz w:val="24"/>
          <w:szCs w:val="24"/>
          <w:lang w:val="sq-AL"/>
        </w:rPr>
        <w:t>ë</w:t>
      </w:r>
      <w:r w:rsidR="0055028F" w:rsidRPr="004F2353">
        <w:rPr>
          <w:rFonts w:ascii="Times New Roman" w:hAnsi="Times New Roman" w:cs="Times New Roman"/>
          <w:i/>
          <w:iCs/>
          <w:noProof/>
          <w:sz w:val="24"/>
          <w:szCs w:val="24"/>
          <w:lang w:val="sq-AL"/>
        </w:rPr>
        <w:t>nat e hapura dhe rip</w:t>
      </w:r>
      <w:r w:rsidR="00870DCD" w:rsidRPr="004F2353">
        <w:rPr>
          <w:rFonts w:ascii="Times New Roman" w:hAnsi="Times New Roman" w:cs="Times New Roman"/>
          <w:i/>
          <w:iCs/>
          <w:noProof/>
          <w:sz w:val="24"/>
          <w:szCs w:val="24"/>
          <w:lang w:val="sq-AL"/>
        </w:rPr>
        <w:t>ë</w:t>
      </w:r>
      <w:r w:rsidR="0055028F" w:rsidRPr="004F2353">
        <w:rPr>
          <w:rFonts w:ascii="Times New Roman" w:hAnsi="Times New Roman" w:cs="Times New Roman"/>
          <w:i/>
          <w:iCs/>
          <w:noProof/>
          <w:sz w:val="24"/>
          <w:szCs w:val="24"/>
          <w:lang w:val="sq-AL"/>
        </w:rPr>
        <w:t>rdorimin e informacionit t</w:t>
      </w:r>
      <w:r w:rsidR="00870DCD" w:rsidRPr="004F2353">
        <w:rPr>
          <w:rFonts w:ascii="Times New Roman" w:hAnsi="Times New Roman" w:cs="Times New Roman"/>
          <w:i/>
          <w:iCs/>
          <w:noProof/>
          <w:sz w:val="24"/>
          <w:szCs w:val="24"/>
          <w:lang w:val="sq-AL"/>
        </w:rPr>
        <w:t>ë</w:t>
      </w:r>
      <w:r w:rsidR="0055028F" w:rsidRPr="004F2353">
        <w:rPr>
          <w:rFonts w:ascii="Times New Roman" w:hAnsi="Times New Roman" w:cs="Times New Roman"/>
          <w:i/>
          <w:iCs/>
          <w:noProof/>
          <w:sz w:val="24"/>
          <w:szCs w:val="24"/>
          <w:lang w:val="sq-AL"/>
        </w:rPr>
        <w:t xml:space="preserve"> sektorit publik</w:t>
      </w:r>
      <w:r w:rsidR="0055028F" w:rsidRPr="00641640">
        <w:rPr>
          <w:rFonts w:ascii="Times New Roman" w:hAnsi="Times New Roman" w:cs="Times New Roman"/>
          <w:noProof/>
          <w:sz w:val="24"/>
          <w:szCs w:val="24"/>
          <w:lang w:val="sq-AL"/>
        </w:rPr>
        <w:t>”</w:t>
      </w:r>
      <w:r w:rsidR="00915E0A" w:rsidRPr="00641640">
        <w:rPr>
          <w:rFonts w:ascii="Times New Roman" w:hAnsi="Times New Roman" w:cs="Times New Roman"/>
          <w:noProof/>
          <w:sz w:val="24"/>
          <w:szCs w:val="24"/>
          <w:lang w:val="sq-AL"/>
        </w:rPr>
        <w:t>,</w:t>
      </w:r>
      <w:r w:rsidR="00C017AD" w:rsidRPr="00641640">
        <w:rPr>
          <w:rFonts w:ascii="Times New Roman" w:hAnsi="Times New Roman" w:cs="Times New Roman"/>
          <w:noProof/>
          <w:sz w:val="24"/>
          <w:szCs w:val="24"/>
          <w:lang w:val="sq-AL"/>
        </w:rPr>
        <w:t xml:space="preserve"> duke i shtuar një kompetencë të re Zyrës së Komisionerit për mbikëqyrjen dhe promovimin e </w:t>
      </w:r>
      <w:r w:rsidR="00FB3F6F" w:rsidRPr="00641640">
        <w:rPr>
          <w:rFonts w:ascii="Times New Roman" w:hAnsi="Times New Roman" w:cs="Times New Roman"/>
          <w:noProof/>
          <w:sz w:val="24"/>
          <w:szCs w:val="24"/>
          <w:lang w:val="sq-AL"/>
        </w:rPr>
        <w:t xml:space="preserve">kësaj </w:t>
      </w:r>
      <w:r w:rsidR="00C017AD" w:rsidRPr="00641640">
        <w:rPr>
          <w:rFonts w:ascii="Times New Roman" w:hAnsi="Times New Roman" w:cs="Times New Roman"/>
          <w:noProof/>
          <w:sz w:val="24"/>
          <w:szCs w:val="24"/>
          <w:lang w:val="sq-AL"/>
        </w:rPr>
        <w:t>të drejte.</w:t>
      </w:r>
      <w:r w:rsidR="00FF3A56" w:rsidRPr="00641640">
        <w:rPr>
          <w:rStyle w:val="FootnoteReference"/>
          <w:rFonts w:ascii="Times New Roman" w:hAnsi="Times New Roman" w:cs="Times New Roman"/>
          <w:noProof/>
          <w:sz w:val="24"/>
          <w:szCs w:val="24"/>
          <w:lang w:val="sq-AL"/>
        </w:rPr>
        <w:footnoteReference w:id="58"/>
      </w:r>
      <w:r w:rsidR="0055028F" w:rsidRPr="00641640">
        <w:rPr>
          <w:rFonts w:ascii="Times New Roman" w:hAnsi="Times New Roman" w:cs="Times New Roman"/>
          <w:noProof/>
          <w:sz w:val="24"/>
          <w:szCs w:val="24"/>
          <w:lang w:val="sq-AL"/>
        </w:rPr>
        <w:t xml:space="preserve"> </w:t>
      </w:r>
      <w:r w:rsidR="00C017AD" w:rsidRPr="00641640">
        <w:rPr>
          <w:rFonts w:ascii="Times New Roman" w:hAnsi="Times New Roman" w:cs="Times New Roman"/>
          <w:noProof/>
          <w:sz w:val="24"/>
          <w:szCs w:val="24"/>
          <w:lang w:val="sq-AL"/>
        </w:rPr>
        <w:t>Përmes këtij ligji, garantohet një politikë e qartë dhe specifike në këtë drejtim, duke nxitur disponueshmërinë e gjerë dhe mundësinë e ripërdorimit të informacionit të sektorit publik për qëllime private dhe komerciale. N</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 xml:space="preserve"> k</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t</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 xml:space="preserve"> drejtim, kuadri i plotë dhe bashkëkohor ligjor e rendit Shqipërinë t</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 xml:space="preserve"> gjasht</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n n</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 xml:space="preserve"> rang bot</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ror p</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r cil</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sin</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 xml:space="preserve"> e garancive maksimale q</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 xml:space="preserve"> ai ofron për ushtrimin e saj në praktikë.</w:t>
      </w:r>
      <w:r w:rsidR="00C017AD" w:rsidRPr="00641640">
        <w:rPr>
          <w:rStyle w:val="FootnoteReference"/>
          <w:rFonts w:ascii="Times New Roman" w:hAnsi="Times New Roman" w:cs="Times New Roman"/>
          <w:noProof/>
          <w:sz w:val="24"/>
          <w:szCs w:val="24"/>
          <w:lang w:val="sq-AL"/>
        </w:rPr>
        <w:footnoteReference w:id="59"/>
      </w:r>
    </w:p>
    <w:p w14:paraId="691E7D53" w14:textId="38BAFE88" w:rsidR="00C77DFF" w:rsidRPr="00641640" w:rsidRDefault="00C966B3"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Krahas portalit t</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qeverisjes elektronike </w:t>
      </w:r>
      <w:r w:rsidR="00573E3B">
        <w:rPr>
          <w:rFonts w:ascii="Times New Roman" w:hAnsi="Times New Roman" w:cs="Times New Roman"/>
          <w:noProof/>
          <w:sz w:val="24"/>
          <w:szCs w:val="24"/>
          <w:lang w:val="sq-AL"/>
        </w:rPr>
        <w:t>“</w:t>
      </w:r>
      <w:r w:rsidRPr="00641640">
        <w:rPr>
          <w:rFonts w:ascii="Times New Roman" w:hAnsi="Times New Roman" w:cs="Times New Roman"/>
          <w:i/>
          <w:noProof/>
          <w:sz w:val="24"/>
          <w:szCs w:val="24"/>
          <w:lang w:val="sq-AL"/>
        </w:rPr>
        <w:t>e-</w:t>
      </w:r>
      <w:r w:rsidR="00FB3F6F" w:rsidRPr="00641640">
        <w:rPr>
          <w:rFonts w:ascii="Times New Roman" w:hAnsi="Times New Roman" w:cs="Times New Roman"/>
          <w:i/>
          <w:noProof/>
          <w:sz w:val="24"/>
          <w:szCs w:val="24"/>
          <w:lang w:val="sq-AL"/>
        </w:rPr>
        <w:t>Albania</w:t>
      </w:r>
      <w:r w:rsidR="00573E3B" w:rsidRPr="00573E3B">
        <w:rPr>
          <w:rFonts w:ascii="Times New Roman" w:hAnsi="Times New Roman" w:cs="Times New Roman"/>
          <w:iCs/>
          <w:noProof/>
          <w:sz w:val="24"/>
          <w:szCs w:val="24"/>
          <w:lang w:val="sq-AL"/>
        </w:rPr>
        <w:t>”</w:t>
      </w:r>
      <w:r w:rsidRPr="00573E3B">
        <w:rPr>
          <w:rFonts w:ascii="Times New Roman" w:hAnsi="Times New Roman" w:cs="Times New Roman"/>
          <w:iCs/>
          <w:noProof/>
          <w:sz w:val="24"/>
          <w:szCs w:val="24"/>
          <w:lang w:val="sq-AL"/>
        </w:rPr>
        <w:t>,</w:t>
      </w:r>
      <w:r w:rsidRPr="00641640">
        <w:rPr>
          <w:rFonts w:ascii="Times New Roman" w:hAnsi="Times New Roman" w:cs="Times New Roman"/>
          <w:noProof/>
          <w:sz w:val="24"/>
          <w:szCs w:val="24"/>
          <w:lang w:val="sq-AL"/>
        </w:rPr>
        <w:t xml:space="preserve"> i cili ofron mundësinë për të kërkuar informacion publik dhe për të paraqitur ankesa në rast të refuzimit të dhënies së tij, q</w:t>
      </w:r>
      <w:r w:rsidR="00BE203F" w:rsidRPr="00641640">
        <w:rPr>
          <w:rFonts w:ascii="Times New Roman" w:hAnsi="Times New Roman" w:cs="Times New Roman"/>
          <w:noProof/>
          <w:sz w:val="24"/>
          <w:szCs w:val="24"/>
          <w:lang w:val="sq-AL"/>
        </w:rPr>
        <w:t>asja në informacion mund</w:t>
      </w:r>
      <w:r w:rsidR="00870DCD" w:rsidRPr="00641640">
        <w:rPr>
          <w:rFonts w:ascii="Times New Roman" w:hAnsi="Times New Roman" w:cs="Times New Roman"/>
          <w:noProof/>
          <w:sz w:val="24"/>
          <w:szCs w:val="24"/>
          <w:lang w:val="sq-AL"/>
        </w:rPr>
        <w:t>ë</w:t>
      </w:r>
      <w:r w:rsidR="00BE203F" w:rsidRPr="00641640">
        <w:rPr>
          <w:rFonts w:ascii="Times New Roman" w:hAnsi="Times New Roman" w:cs="Times New Roman"/>
          <w:noProof/>
          <w:sz w:val="24"/>
          <w:szCs w:val="24"/>
          <w:lang w:val="sq-AL"/>
        </w:rPr>
        <w:t xml:space="preserve">sohet </w:t>
      </w:r>
      <w:r w:rsidRPr="00641640">
        <w:rPr>
          <w:rFonts w:ascii="Times New Roman" w:hAnsi="Times New Roman" w:cs="Times New Roman"/>
          <w:noProof/>
          <w:sz w:val="24"/>
          <w:szCs w:val="24"/>
          <w:lang w:val="sq-AL"/>
        </w:rPr>
        <w:t xml:space="preserve">edhe </w:t>
      </w:r>
      <w:r w:rsidR="00BE203F" w:rsidRPr="00641640">
        <w:rPr>
          <w:rFonts w:ascii="Times New Roman" w:hAnsi="Times New Roman" w:cs="Times New Roman"/>
          <w:noProof/>
          <w:sz w:val="24"/>
          <w:szCs w:val="24"/>
          <w:lang w:val="sq-AL"/>
        </w:rPr>
        <w:t>p</w:t>
      </w:r>
      <w:r w:rsidR="00870DCD" w:rsidRPr="00641640">
        <w:rPr>
          <w:rFonts w:ascii="Times New Roman" w:hAnsi="Times New Roman" w:cs="Times New Roman"/>
          <w:noProof/>
          <w:sz w:val="24"/>
          <w:szCs w:val="24"/>
          <w:lang w:val="sq-AL"/>
        </w:rPr>
        <w:t>ë</w:t>
      </w:r>
      <w:r w:rsidR="00BE203F" w:rsidRPr="00641640">
        <w:rPr>
          <w:rFonts w:ascii="Times New Roman" w:hAnsi="Times New Roman" w:cs="Times New Roman"/>
          <w:noProof/>
          <w:sz w:val="24"/>
          <w:szCs w:val="24"/>
          <w:lang w:val="sq-AL"/>
        </w:rPr>
        <w:t>rmes</w:t>
      </w:r>
      <w:r w:rsidR="00D81434" w:rsidRPr="00641640">
        <w:rPr>
          <w:rFonts w:ascii="Times New Roman" w:hAnsi="Times New Roman" w:cs="Times New Roman"/>
          <w:noProof/>
          <w:sz w:val="24"/>
          <w:szCs w:val="24"/>
          <w:lang w:val="sq-AL"/>
        </w:rPr>
        <w:t xml:space="preserve"> </w:t>
      </w:r>
      <w:r w:rsidR="006B793C">
        <w:rPr>
          <w:rFonts w:ascii="Times New Roman" w:hAnsi="Times New Roman" w:cs="Times New Roman"/>
          <w:noProof/>
          <w:sz w:val="24"/>
          <w:szCs w:val="24"/>
          <w:lang w:val="sq-AL"/>
        </w:rPr>
        <w:t>“</w:t>
      </w:r>
      <w:r w:rsidR="00BE203F" w:rsidRPr="00641640">
        <w:rPr>
          <w:rFonts w:ascii="Times New Roman" w:hAnsi="Times New Roman" w:cs="Times New Roman"/>
          <w:noProof/>
          <w:sz w:val="24"/>
          <w:szCs w:val="24"/>
          <w:lang w:val="sq-AL"/>
        </w:rPr>
        <w:t>Regjistri</w:t>
      </w:r>
      <w:r w:rsidRPr="00641640">
        <w:rPr>
          <w:rFonts w:ascii="Times New Roman" w:hAnsi="Times New Roman" w:cs="Times New Roman"/>
          <w:noProof/>
          <w:sz w:val="24"/>
          <w:szCs w:val="24"/>
          <w:lang w:val="sq-AL"/>
        </w:rPr>
        <w:t>t</w:t>
      </w:r>
      <w:r w:rsidR="00BE203F" w:rsidRPr="00641640">
        <w:rPr>
          <w:rFonts w:ascii="Times New Roman" w:hAnsi="Times New Roman" w:cs="Times New Roman"/>
          <w:noProof/>
          <w:sz w:val="24"/>
          <w:szCs w:val="24"/>
          <w:lang w:val="sq-AL"/>
        </w:rPr>
        <w:t xml:space="preserve"> </w:t>
      </w:r>
      <w:r w:rsidR="00D81434" w:rsidRPr="00641640">
        <w:rPr>
          <w:rFonts w:ascii="Times New Roman" w:hAnsi="Times New Roman" w:cs="Times New Roman"/>
          <w:noProof/>
          <w:sz w:val="24"/>
          <w:szCs w:val="24"/>
          <w:lang w:val="sq-AL"/>
        </w:rPr>
        <w:t>E</w:t>
      </w:r>
      <w:r w:rsidR="00BE203F" w:rsidRPr="00641640">
        <w:rPr>
          <w:rFonts w:ascii="Times New Roman" w:hAnsi="Times New Roman" w:cs="Times New Roman"/>
          <w:noProof/>
          <w:sz w:val="24"/>
          <w:szCs w:val="24"/>
          <w:lang w:val="sq-AL"/>
        </w:rPr>
        <w:t xml:space="preserve">lektronik </w:t>
      </w:r>
      <w:r w:rsidRPr="00641640">
        <w:rPr>
          <w:rFonts w:ascii="Times New Roman" w:hAnsi="Times New Roman" w:cs="Times New Roman"/>
          <w:noProof/>
          <w:sz w:val="24"/>
          <w:szCs w:val="24"/>
          <w:lang w:val="sq-AL"/>
        </w:rPr>
        <w:t>t</w:t>
      </w:r>
      <w:r w:rsidR="007C1ABD" w:rsidRPr="00641640">
        <w:rPr>
          <w:rFonts w:ascii="Times New Roman" w:hAnsi="Times New Roman" w:cs="Times New Roman"/>
          <w:noProof/>
          <w:sz w:val="24"/>
          <w:szCs w:val="24"/>
          <w:lang w:val="sq-AL"/>
        </w:rPr>
        <w:t>ë</w:t>
      </w:r>
      <w:r w:rsidR="00BE203F" w:rsidRPr="00641640">
        <w:rPr>
          <w:rFonts w:ascii="Times New Roman" w:hAnsi="Times New Roman" w:cs="Times New Roman"/>
          <w:noProof/>
          <w:sz w:val="24"/>
          <w:szCs w:val="24"/>
          <w:lang w:val="sq-AL"/>
        </w:rPr>
        <w:t xml:space="preserve"> Kërkesave dhe Përgjigjeve mbi të Drejtën për Informim</w:t>
      </w:r>
      <w:r w:rsidR="006B793C">
        <w:rPr>
          <w:rFonts w:ascii="Times New Roman" w:hAnsi="Times New Roman" w:cs="Times New Roman"/>
          <w:noProof/>
          <w:sz w:val="24"/>
          <w:szCs w:val="24"/>
          <w:lang w:val="sq-AL"/>
        </w:rPr>
        <w:t>”</w:t>
      </w:r>
      <w:r w:rsidR="00BE203F" w:rsidRPr="00641640">
        <w:rPr>
          <w:rFonts w:ascii="Times New Roman" w:hAnsi="Times New Roman" w:cs="Times New Roman"/>
          <w:noProof/>
          <w:sz w:val="24"/>
          <w:szCs w:val="24"/>
          <w:lang w:val="sq-AL"/>
        </w:rPr>
        <w:t>, i cili mundëson qasjen e drejtpërdrejtë të qytetarëve dhe palëve të interesuara në informacionin publik,</w:t>
      </w:r>
      <w:r w:rsidRPr="00641640">
        <w:rPr>
          <w:rFonts w:ascii="Times New Roman" w:hAnsi="Times New Roman" w:cs="Times New Roman"/>
          <w:noProof/>
          <w:sz w:val="24"/>
          <w:szCs w:val="24"/>
          <w:lang w:val="sq-AL"/>
        </w:rPr>
        <w:t xml:space="preserve"> i ngritur n</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vitin 2018 dhe i instaluar n</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2</w:t>
      </w:r>
      <w:r w:rsidR="008767D2" w:rsidRPr="00641640">
        <w:rPr>
          <w:rFonts w:ascii="Times New Roman" w:hAnsi="Times New Roman" w:cs="Times New Roman"/>
          <w:noProof/>
          <w:sz w:val="24"/>
          <w:szCs w:val="24"/>
          <w:lang w:val="sq-AL"/>
        </w:rPr>
        <w:t>47</w:t>
      </w:r>
      <w:r w:rsidRPr="00641640">
        <w:rPr>
          <w:rFonts w:ascii="Times New Roman" w:hAnsi="Times New Roman" w:cs="Times New Roman"/>
          <w:noProof/>
          <w:sz w:val="24"/>
          <w:szCs w:val="24"/>
          <w:lang w:val="sq-AL"/>
        </w:rPr>
        <w:t xml:space="preserve"> autoritete publike deri n</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vitin 202</w:t>
      </w:r>
      <w:r w:rsidR="008767D2" w:rsidRPr="00641640">
        <w:rPr>
          <w:rFonts w:ascii="Times New Roman" w:hAnsi="Times New Roman" w:cs="Times New Roman"/>
          <w:noProof/>
          <w:sz w:val="24"/>
          <w:szCs w:val="24"/>
          <w:lang w:val="sq-AL"/>
        </w:rPr>
        <w:t>4.</w:t>
      </w:r>
      <w:r w:rsidRPr="00641640">
        <w:rPr>
          <w:rFonts w:ascii="Times New Roman" w:hAnsi="Times New Roman" w:cs="Times New Roman"/>
          <w:noProof/>
          <w:sz w:val="24"/>
          <w:szCs w:val="24"/>
          <w:lang w:val="sq-AL"/>
        </w:rPr>
        <w:t xml:space="preserve"> </w:t>
      </w:r>
    </w:p>
    <w:p w14:paraId="023924E0" w14:textId="3EE34566" w:rsidR="00987D07" w:rsidRPr="00641640" w:rsidRDefault="00C77DFF"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Gjithashtu, n</w:t>
      </w:r>
      <w:r w:rsidR="007C1ABD" w:rsidRPr="00641640">
        <w:rPr>
          <w:rFonts w:ascii="Times New Roman" w:hAnsi="Times New Roman" w:cs="Times New Roman"/>
          <w:noProof/>
          <w:sz w:val="24"/>
          <w:szCs w:val="24"/>
          <w:lang w:val="sq-AL"/>
        </w:rPr>
        <w:t>ë</w:t>
      </w:r>
      <w:r w:rsidR="00C966B3" w:rsidRPr="00641640">
        <w:rPr>
          <w:rFonts w:ascii="Times New Roman" w:hAnsi="Times New Roman" w:cs="Times New Roman"/>
          <w:noProof/>
          <w:sz w:val="24"/>
          <w:szCs w:val="24"/>
          <w:lang w:val="sq-AL"/>
        </w:rPr>
        <w:t xml:space="preserve"> p</w:t>
      </w:r>
      <w:r w:rsidR="007C1ABD" w:rsidRPr="00641640">
        <w:rPr>
          <w:rFonts w:ascii="Times New Roman" w:hAnsi="Times New Roman" w:cs="Times New Roman"/>
          <w:noProof/>
          <w:sz w:val="24"/>
          <w:szCs w:val="24"/>
          <w:lang w:val="sq-AL"/>
        </w:rPr>
        <w:t>ë</w:t>
      </w:r>
      <w:r w:rsidR="00C966B3" w:rsidRPr="00641640">
        <w:rPr>
          <w:rFonts w:ascii="Times New Roman" w:hAnsi="Times New Roman" w:cs="Times New Roman"/>
          <w:noProof/>
          <w:sz w:val="24"/>
          <w:szCs w:val="24"/>
          <w:lang w:val="sq-AL"/>
        </w:rPr>
        <w:t>rputhje me nenin 7</w:t>
      </w:r>
      <w:r w:rsidR="00EE7B76" w:rsidRPr="00641640">
        <w:rPr>
          <w:rFonts w:ascii="Times New Roman" w:hAnsi="Times New Roman" w:cs="Times New Roman"/>
          <w:noProof/>
          <w:sz w:val="24"/>
          <w:szCs w:val="24"/>
          <w:lang w:val="sq-AL"/>
        </w:rPr>
        <w:t>,</w:t>
      </w:r>
      <w:r w:rsidR="00C966B3" w:rsidRPr="00641640">
        <w:rPr>
          <w:rFonts w:ascii="Times New Roman" w:hAnsi="Times New Roman" w:cs="Times New Roman"/>
          <w:noProof/>
          <w:sz w:val="24"/>
          <w:szCs w:val="24"/>
          <w:lang w:val="sq-AL"/>
        </w:rPr>
        <w:t xml:space="preserve"> t</w:t>
      </w:r>
      <w:r w:rsidR="007C1ABD" w:rsidRPr="00641640">
        <w:rPr>
          <w:rFonts w:ascii="Times New Roman" w:hAnsi="Times New Roman" w:cs="Times New Roman"/>
          <w:noProof/>
          <w:sz w:val="24"/>
          <w:szCs w:val="24"/>
          <w:lang w:val="sq-AL"/>
        </w:rPr>
        <w:t>ë</w:t>
      </w:r>
      <w:r w:rsidR="00C966B3" w:rsidRPr="00641640">
        <w:rPr>
          <w:rFonts w:ascii="Times New Roman" w:hAnsi="Times New Roman" w:cs="Times New Roman"/>
          <w:noProof/>
          <w:sz w:val="24"/>
          <w:szCs w:val="24"/>
          <w:lang w:val="sq-AL"/>
        </w:rPr>
        <w:t xml:space="preserve"> ligjit nr. 119/2014, i ndryshuar, numri i autoriteteve publike që kanë detyrim të zbatojnë </w:t>
      </w:r>
      <w:r w:rsidR="00A70EFE" w:rsidRPr="00641640">
        <w:rPr>
          <w:rFonts w:ascii="Times New Roman" w:hAnsi="Times New Roman" w:cs="Times New Roman"/>
          <w:noProof/>
          <w:sz w:val="24"/>
          <w:szCs w:val="24"/>
          <w:lang w:val="sq-AL"/>
        </w:rPr>
        <w:t>P</w:t>
      </w:r>
      <w:r w:rsidR="00C966B3" w:rsidRPr="00641640">
        <w:rPr>
          <w:rFonts w:ascii="Times New Roman" w:hAnsi="Times New Roman" w:cs="Times New Roman"/>
          <w:noProof/>
          <w:sz w:val="24"/>
          <w:szCs w:val="24"/>
          <w:lang w:val="sq-AL"/>
        </w:rPr>
        <w:t xml:space="preserve">rogramin e </w:t>
      </w:r>
      <w:r w:rsidR="00A70EFE" w:rsidRPr="00641640">
        <w:rPr>
          <w:rFonts w:ascii="Times New Roman" w:hAnsi="Times New Roman" w:cs="Times New Roman"/>
          <w:noProof/>
          <w:sz w:val="24"/>
          <w:szCs w:val="24"/>
          <w:lang w:val="sq-AL"/>
        </w:rPr>
        <w:t>T</w:t>
      </w:r>
      <w:r w:rsidR="00C966B3" w:rsidRPr="00641640">
        <w:rPr>
          <w:rFonts w:ascii="Times New Roman" w:hAnsi="Times New Roman" w:cs="Times New Roman"/>
          <w:noProof/>
          <w:sz w:val="24"/>
          <w:szCs w:val="24"/>
          <w:lang w:val="sq-AL"/>
        </w:rPr>
        <w:t xml:space="preserve">ransparencës </w:t>
      </w:r>
      <w:r w:rsidR="007C1ABD" w:rsidRPr="00641640">
        <w:rPr>
          <w:rFonts w:ascii="Times New Roman" w:hAnsi="Times New Roman" w:cs="Times New Roman"/>
          <w:noProof/>
          <w:sz w:val="24"/>
          <w:szCs w:val="24"/>
          <w:lang w:val="sq-AL"/>
        </w:rPr>
        <w:t>ë</w:t>
      </w:r>
      <w:r w:rsidR="00C966B3" w:rsidRPr="00641640">
        <w:rPr>
          <w:rFonts w:ascii="Times New Roman" w:hAnsi="Times New Roman" w:cs="Times New Roman"/>
          <w:noProof/>
          <w:sz w:val="24"/>
          <w:szCs w:val="24"/>
          <w:lang w:val="sq-AL"/>
        </w:rPr>
        <w:t>sht</w:t>
      </w:r>
      <w:r w:rsidR="007C1ABD" w:rsidRPr="00641640">
        <w:rPr>
          <w:rFonts w:ascii="Times New Roman" w:hAnsi="Times New Roman" w:cs="Times New Roman"/>
          <w:noProof/>
          <w:sz w:val="24"/>
          <w:szCs w:val="24"/>
          <w:lang w:val="sq-AL"/>
        </w:rPr>
        <w:t>ë</w:t>
      </w:r>
      <w:r w:rsidR="00C966B3" w:rsidRPr="00641640">
        <w:rPr>
          <w:rFonts w:ascii="Times New Roman" w:hAnsi="Times New Roman" w:cs="Times New Roman"/>
          <w:noProof/>
          <w:sz w:val="24"/>
          <w:szCs w:val="24"/>
          <w:lang w:val="sq-AL"/>
        </w:rPr>
        <w:t xml:space="preserve"> rritur nga 145 institucione në vitin 2015 në 332 në vitin 202</w:t>
      </w:r>
      <w:r w:rsidR="008767D2" w:rsidRPr="00641640">
        <w:rPr>
          <w:rFonts w:ascii="Times New Roman" w:hAnsi="Times New Roman" w:cs="Times New Roman"/>
          <w:noProof/>
          <w:sz w:val="24"/>
          <w:szCs w:val="24"/>
          <w:lang w:val="sq-AL"/>
        </w:rPr>
        <w:t>4</w:t>
      </w:r>
      <w:r w:rsidR="00C966B3" w:rsidRPr="00641640">
        <w:rPr>
          <w:rFonts w:ascii="Times New Roman" w:hAnsi="Times New Roman" w:cs="Times New Roman"/>
          <w:noProof/>
          <w:sz w:val="24"/>
          <w:szCs w:val="24"/>
          <w:lang w:val="sq-AL"/>
        </w:rPr>
        <w:t>.</w:t>
      </w:r>
      <w:r w:rsidR="00C017AD" w:rsidRPr="00641640">
        <w:rPr>
          <w:rFonts w:ascii="Times New Roman" w:hAnsi="Times New Roman" w:cs="Times New Roman"/>
          <w:noProof/>
          <w:sz w:val="24"/>
          <w:szCs w:val="24"/>
          <w:lang w:val="sq-AL"/>
        </w:rPr>
        <w:t xml:space="preserve"> </w:t>
      </w:r>
      <w:r w:rsidR="00C26E4B" w:rsidRPr="00641640">
        <w:rPr>
          <w:rFonts w:ascii="Times New Roman" w:hAnsi="Times New Roman" w:cs="Times New Roman"/>
          <w:noProof/>
          <w:sz w:val="24"/>
          <w:szCs w:val="24"/>
          <w:lang w:val="sq-AL"/>
        </w:rPr>
        <w:t xml:space="preserve">Programet e Transparencës përditësohen periodikisht, në përputhje me </w:t>
      </w:r>
      <w:r w:rsidR="00C3531D" w:rsidRPr="00641640">
        <w:rPr>
          <w:rFonts w:ascii="Times New Roman" w:hAnsi="Times New Roman" w:cs="Times New Roman"/>
          <w:noProof/>
          <w:sz w:val="24"/>
          <w:szCs w:val="24"/>
          <w:lang w:val="sq-AL"/>
        </w:rPr>
        <w:t>n</w:t>
      </w:r>
      <w:r w:rsidR="00C26E4B" w:rsidRPr="00641640">
        <w:rPr>
          <w:rFonts w:ascii="Times New Roman" w:hAnsi="Times New Roman" w:cs="Times New Roman"/>
          <w:noProof/>
          <w:sz w:val="24"/>
          <w:szCs w:val="24"/>
          <w:lang w:val="sq-AL"/>
        </w:rPr>
        <w:t>enin 5/pika 2 të LDI-së. Informacioni i publikuar në këtë program synon të garantojë transparencën e punës së institucioneve përmes pasqyrimi</w:t>
      </w:r>
      <w:r w:rsidR="00987D07" w:rsidRPr="00641640">
        <w:rPr>
          <w:rFonts w:ascii="Times New Roman" w:hAnsi="Times New Roman" w:cs="Times New Roman"/>
          <w:noProof/>
          <w:sz w:val="24"/>
          <w:szCs w:val="24"/>
          <w:lang w:val="sq-AL"/>
        </w:rPr>
        <w:t>t</w:t>
      </w:r>
      <w:r w:rsidR="00C26E4B" w:rsidRPr="00641640">
        <w:rPr>
          <w:rFonts w:ascii="Times New Roman" w:hAnsi="Times New Roman" w:cs="Times New Roman"/>
          <w:noProof/>
          <w:sz w:val="24"/>
          <w:szCs w:val="24"/>
          <w:lang w:val="sq-AL"/>
        </w:rPr>
        <w:t xml:space="preserve"> të detajuar </w:t>
      </w:r>
      <w:r w:rsidR="00987D07" w:rsidRPr="00641640">
        <w:rPr>
          <w:rFonts w:ascii="Times New Roman" w:hAnsi="Times New Roman" w:cs="Times New Roman"/>
          <w:noProof/>
          <w:sz w:val="24"/>
          <w:szCs w:val="24"/>
          <w:lang w:val="sq-AL"/>
        </w:rPr>
        <w:t>t</w:t>
      </w:r>
      <w:r w:rsidR="007C1ABD" w:rsidRPr="00641640">
        <w:rPr>
          <w:rFonts w:ascii="Times New Roman" w:hAnsi="Times New Roman" w:cs="Times New Roman"/>
          <w:noProof/>
          <w:sz w:val="24"/>
          <w:szCs w:val="24"/>
          <w:lang w:val="sq-AL"/>
        </w:rPr>
        <w:t>ë</w:t>
      </w:r>
      <w:r w:rsidR="00987D07" w:rsidRPr="00641640">
        <w:rPr>
          <w:rFonts w:ascii="Times New Roman" w:hAnsi="Times New Roman" w:cs="Times New Roman"/>
          <w:noProof/>
          <w:sz w:val="24"/>
          <w:szCs w:val="24"/>
          <w:lang w:val="sq-AL"/>
        </w:rPr>
        <w:t xml:space="preserve"> informacionit t</w:t>
      </w:r>
      <w:r w:rsidR="007C1ABD" w:rsidRPr="00641640">
        <w:rPr>
          <w:rFonts w:ascii="Times New Roman" w:hAnsi="Times New Roman" w:cs="Times New Roman"/>
          <w:noProof/>
          <w:sz w:val="24"/>
          <w:szCs w:val="24"/>
          <w:lang w:val="sq-AL"/>
        </w:rPr>
        <w:t>ë</w:t>
      </w:r>
      <w:r w:rsidR="00987D07" w:rsidRPr="00641640">
        <w:rPr>
          <w:rFonts w:ascii="Times New Roman" w:hAnsi="Times New Roman" w:cs="Times New Roman"/>
          <w:noProof/>
          <w:sz w:val="24"/>
          <w:szCs w:val="24"/>
          <w:lang w:val="sq-AL"/>
        </w:rPr>
        <w:t xml:space="preserve"> p</w:t>
      </w:r>
      <w:r w:rsidR="007C1ABD" w:rsidRPr="00641640">
        <w:rPr>
          <w:rFonts w:ascii="Times New Roman" w:hAnsi="Times New Roman" w:cs="Times New Roman"/>
          <w:noProof/>
          <w:sz w:val="24"/>
          <w:szCs w:val="24"/>
          <w:lang w:val="sq-AL"/>
        </w:rPr>
        <w:t>ë</w:t>
      </w:r>
      <w:r w:rsidR="00987D07" w:rsidRPr="00641640">
        <w:rPr>
          <w:rFonts w:ascii="Times New Roman" w:hAnsi="Times New Roman" w:cs="Times New Roman"/>
          <w:noProof/>
          <w:sz w:val="24"/>
          <w:szCs w:val="24"/>
          <w:lang w:val="sq-AL"/>
        </w:rPr>
        <w:t>rdit</w:t>
      </w:r>
      <w:r w:rsidR="007C1ABD" w:rsidRPr="00641640">
        <w:rPr>
          <w:rFonts w:ascii="Times New Roman" w:hAnsi="Times New Roman" w:cs="Times New Roman"/>
          <w:noProof/>
          <w:sz w:val="24"/>
          <w:szCs w:val="24"/>
          <w:lang w:val="sq-AL"/>
        </w:rPr>
        <w:t>ë</w:t>
      </w:r>
      <w:r w:rsidR="00987D07" w:rsidRPr="00641640">
        <w:rPr>
          <w:rFonts w:ascii="Times New Roman" w:hAnsi="Times New Roman" w:cs="Times New Roman"/>
          <w:noProof/>
          <w:sz w:val="24"/>
          <w:szCs w:val="24"/>
          <w:lang w:val="sq-AL"/>
        </w:rPr>
        <w:t xml:space="preserve">suar </w:t>
      </w:r>
      <w:r w:rsidR="00C26E4B" w:rsidRPr="00641640">
        <w:rPr>
          <w:rFonts w:ascii="Times New Roman" w:hAnsi="Times New Roman" w:cs="Times New Roman"/>
          <w:noProof/>
          <w:sz w:val="24"/>
          <w:szCs w:val="24"/>
          <w:lang w:val="sq-AL"/>
        </w:rPr>
        <w:t>në faqet zyrtare të autoriteteve publike.</w:t>
      </w:r>
    </w:p>
    <w:p w14:paraId="60C408ED" w14:textId="162216ED" w:rsidR="00AF6F09" w:rsidRPr="00641640" w:rsidRDefault="00987D07"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drejtim t</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integritetit dhe etik</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 s</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n</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pun</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sve t</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administrat</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s publike, ligji kryesor është ligji </w:t>
      </w:r>
      <w:r w:rsidR="00A15BA8">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r. 9131, datë 8.9.2003 “</w:t>
      </w:r>
      <w:r w:rsidRPr="00A15BA8">
        <w:rPr>
          <w:rFonts w:ascii="Times New Roman" w:hAnsi="Times New Roman" w:cs="Times New Roman"/>
          <w:i/>
          <w:iCs/>
          <w:noProof/>
          <w:sz w:val="24"/>
          <w:szCs w:val="24"/>
          <w:lang w:val="sq-AL"/>
        </w:rPr>
        <w:t>Për rregullat e etikës në administratën publike</w:t>
      </w:r>
      <w:r w:rsidRPr="00641640">
        <w:rPr>
          <w:rFonts w:ascii="Times New Roman" w:hAnsi="Times New Roman" w:cs="Times New Roman"/>
          <w:noProof/>
          <w:sz w:val="24"/>
          <w:szCs w:val="24"/>
          <w:lang w:val="sq-AL"/>
        </w:rPr>
        <w:t xml:space="preserve">”, i cili zbatohet për të gjithë nëpunësit e administratës publike, përveç rasteve kur ligjet e tjera parashikojnë përjashtime, dhe po ashtu përfshijnë personat e punësuar nga sektorët privatë që ofrojnë shërbime publike. </w:t>
      </w:r>
      <w:r w:rsidR="00AF6F09" w:rsidRPr="00641640">
        <w:rPr>
          <w:rFonts w:ascii="Times New Roman" w:hAnsi="Times New Roman" w:cs="Times New Roman"/>
          <w:noProof/>
          <w:sz w:val="24"/>
          <w:szCs w:val="24"/>
          <w:lang w:val="sq-AL"/>
        </w:rPr>
        <w:t>Procedimet disiplinore rregullohen gjithashtu nga ligji nr. 152/2013 “</w:t>
      </w:r>
      <w:r w:rsidR="00AF6F09" w:rsidRPr="00A15BA8">
        <w:rPr>
          <w:rFonts w:ascii="Times New Roman" w:hAnsi="Times New Roman" w:cs="Times New Roman"/>
          <w:i/>
          <w:iCs/>
          <w:noProof/>
          <w:sz w:val="24"/>
          <w:szCs w:val="24"/>
          <w:lang w:val="sq-AL"/>
        </w:rPr>
        <w:t xml:space="preserve">Për </w:t>
      </w:r>
      <w:r w:rsidR="00A15BA8" w:rsidRPr="00A15BA8">
        <w:rPr>
          <w:rFonts w:ascii="Times New Roman" w:hAnsi="Times New Roman" w:cs="Times New Roman"/>
          <w:i/>
          <w:iCs/>
          <w:noProof/>
          <w:sz w:val="24"/>
          <w:szCs w:val="24"/>
          <w:lang w:val="sq-AL"/>
        </w:rPr>
        <w:t>n</w:t>
      </w:r>
      <w:r w:rsidR="00AF6F09" w:rsidRPr="00A15BA8">
        <w:rPr>
          <w:rFonts w:ascii="Times New Roman" w:hAnsi="Times New Roman" w:cs="Times New Roman"/>
          <w:i/>
          <w:iCs/>
          <w:noProof/>
          <w:sz w:val="24"/>
          <w:szCs w:val="24"/>
          <w:lang w:val="sq-AL"/>
        </w:rPr>
        <w:t xml:space="preserve">ëpunësin </w:t>
      </w:r>
      <w:r w:rsidR="00A15BA8" w:rsidRPr="00A15BA8">
        <w:rPr>
          <w:rFonts w:ascii="Times New Roman" w:hAnsi="Times New Roman" w:cs="Times New Roman"/>
          <w:i/>
          <w:iCs/>
          <w:noProof/>
          <w:sz w:val="24"/>
          <w:szCs w:val="24"/>
          <w:lang w:val="sq-AL"/>
        </w:rPr>
        <w:t>c</w:t>
      </w:r>
      <w:r w:rsidR="00AF6F09" w:rsidRPr="00A15BA8">
        <w:rPr>
          <w:rFonts w:ascii="Times New Roman" w:hAnsi="Times New Roman" w:cs="Times New Roman"/>
          <w:i/>
          <w:iCs/>
          <w:noProof/>
          <w:sz w:val="24"/>
          <w:szCs w:val="24"/>
          <w:lang w:val="sq-AL"/>
        </w:rPr>
        <w:t>ivil</w:t>
      </w:r>
      <w:r w:rsidR="00AF6F09" w:rsidRPr="00641640">
        <w:rPr>
          <w:rFonts w:ascii="Times New Roman" w:hAnsi="Times New Roman" w:cs="Times New Roman"/>
          <w:noProof/>
          <w:sz w:val="24"/>
          <w:szCs w:val="24"/>
          <w:lang w:val="sq-AL"/>
        </w:rPr>
        <w:t>”</w:t>
      </w:r>
      <w:r w:rsidR="000C64DD" w:rsidRPr="00641640">
        <w:rPr>
          <w:rFonts w:ascii="Times New Roman" w:hAnsi="Times New Roman" w:cs="Times New Roman"/>
          <w:noProof/>
          <w:sz w:val="24"/>
          <w:szCs w:val="24"/>
          <w:lang w:val="sq-AL"/>
        </w:rPr>
        <w:t>, i ndryshuar dhe aktet nënligjor</w:t>
      </w:r>
      <w:r w:rsidR="00BE02B6" w:rsidRPr="00641640">
        <w:rPr>
          <w:rFonts w:ascii="Times New Roman" w:hAnsi="Times New Roman" w:cs="Times New Roman"/>
          <w:noProof/>
          <w:sz w:val="24"/>
          <w:szCs w:val="24"/>
          <w:lang w:val="sq-AL"/>
        </w:rPr>
        <w:t>e</w:t>
      </w:r>
      <w:r w:rsidR="000C64DD" w:rsidRPr="00641640">
        <w:rPr>
          <w:rFonts w:ascii="Times New Roman" w:hAnsi="Times New Roman" w:cs="Times New Roman"/>
          <w:noProof/>
          <w:sz w:val="24"/>
          <w:szCs w:val="24"/>
          <w:lang w:val="sq-AL"/>
        </w:rPr>
        <w:t xml:space="preserve"> në zbatim të tij</w:t>
      </w:r>
      <w:r w:rsidR="00AF6F09" w:rsidRPr="00641640">
        <w:rPr>
          <w:rFonts w:ascii="Times New Roman" w:hAnsi="Times New Roman" w:cs="Times New Roman"/>
          <w:noProof/>
          <w:sz w:val="24"/>
          <w:szCs w:val="24"/>
          <w:lang w:val="sq-AL"/>
        </w:rPr>
        <w:t>. Sipas rezultateve të anketës s</w:t>
      </w:r>
      <w:r w:rsidR="007C1ABD" w:rsidRPr="00641640">
        <w:rPr>
          <w:rFonts w:ascii="Times New Roman" w:hAnsi="Times New Roman" w:cs="Times New Roman"/>
          <w:noProof/>
          <w:sz w:val="24"/>
          <w:szCs w:val="24"/>
          <w:lang w:val="sq-AL"/>
        </w:rPr>
        <w:t>ë</w:t>
      </w:r>
      <w:r w:rsidR="00AF6F09" w:rsidRPr="00641640">
        <w:rPr>
          <w:rFonts w:ascii="Times New Roman" w:hAnsi="Times New Roman" w:cs="Times New Roman"/>
          <w:noProof/>
          <w:sz w:val="24"/>
          <w:szCs w:val="24"/>
          <w:lang w:val="sq-AL"/>
        </w:rPr>
        <w:t xml:space="preserve"> n</w:t>
      </w:r>
      <w:r w:rsidR="007C1ABD" w:rsidRPr="00641640">
        <w:rPr>
          <w:rFonts w:ascii="Times New Roman" w:hAnsi="Times New Roman" w:cs="Times New Roman"/>
          <w:noProof/>
          <w:sz w:val="24"/>
          <w:szCs w:val="24"/>
          <w:lang w:val="sq-AL"/>
        </w:rPr>
        <w:t>ë</w:t>
      </w:r>
      <w:r w:rsidR="00AF6F09" w:rsidRPr="00641640">
        <w:rPr>
          <w:rFonts w:ascii="Times New Roman" w:hAnsi="Times New Roman" w:cs="Times New Roman"/>
          <w:noProof/>
          <w:sz w:val="24"/>
          <w:szCs w:val="24"/>
          <w:lang w:val="sq-AL"/>
        </w:rPr>
        <w:t>pun</w:t>
      </w:r>
      <w:r w:rsidR="007C1ABD" w:rsidRPr="00641640">
        <w:rPr>
          <w:rFonts w:ascii="Times New Roman" w:hAnsi="Times New Roman" w:cs="Times New Roman"/>
          <w:noProof/>
          <w:sz w:val="24"/>
          <w:szCs w:val="24"/>
          <w:lang w:val="sq-AL"/>
        </w:rPr>
        <w:t>ë</w:t>
      </w:r>
      <w:r w:rsidR="00AF6F09" w:rsidRPr="00641640">
        <w:rPr>
          <w:rFonts w:ascii="Times New Roman" w:hAnsi="Times New Roman" w:cs="Times New Roman"/>
          <w:noProof/>
          <w:sz w:val="24"/>
          <w:szCs w:val="24"/>
          <w:lang w:val="sq-AL"/>
        </w:rPr>
        <w:t>sve civil</w:t>
      </w:r>
      <w:r w:rsidR="007C1ABD" w:rsidRPr="00641640">
        <w:rPr>
          <w:rFonts w:ascii="Times New Roman" w:hAnsi="Times New Roman" w:cs="Times New Roman"/>
          <w:noProof/>
          <w:sz w:val="24"/>
          <w:szCs w:val="24"/>
          <w:lang w:val="sq-AL"/>
        </w:rPr>
        <w:t>ë</w:t>
      </w:r>
      <w:r w:rsidR="00AF6F09" w:rsidRPr="00641640">
        <w:rPr>
          <w:rFonts w:ascii="Times New Roman" w:hAnsi="Times New Roman" w:cs="Times New Roman"/>
          <w:noProof/>
          <w:sz w:val="24"/>
          <w:szCs w:val="24"/>
          <w:lang w:val="sq-AL"/>
        </w:rPr>
        <w:t xml:space="preserve"> t</w:t>
      </w:r>
      <w:r w:rsidR="007C1ABD" w:rsidRPr="00641640">
        <w:rPr>
          <w:rFonts w:ascii="Times New Roman" w:hAnsi="Times New Roman" w:cs="Times New Roman"/>
          <w:noProof/>
          <w:sz w:val="24"/>
          <w:szCs w:val="24"/>
          <w:lang w:val="sq-AL"/>
        </w:rPr>
        <w:t>ë</w:t>
      </w:r>
      <w:r w:rsidR="00AF6F09" w:rsidRPr="00641640">
        <w:rPr>
          <w:rFonts w:ascii="Times New Roman" w:hAnsi="Times New Roman" w:cs="Times New Roman"/>
          <w:noProof/>
          <w:sz w:val="24"/>
          <w:szCs w:val="24"/>
          <w:lang w:val="sq-AL"/>
        </w:rPr>
        <w:t xml:space="preserve"> realizuar nga SIGMA n</w:t>
      </w:r>
      <w:r w:rsidR="007C1ABD" w:rsidRPr="00641640">
        <w:rPr>
          <w:rFonts w:ascii="Times New Roman" w:hAnsi="Times New Roman" w:cs="Times New Roman"/>
          <w:noProof/>
          <w:sz w:val="24"/>
          <w:szCs w:val="24"/>
          <w:lang w:val="sq-AL"/>
        </w:rPr>
        <w:t>ë</w:t>
      </w:r>
      <w:r w:rsidR="00AF6F09" w:rsidRPr="00641640">
        <w:rPr>
          <w:rFonts w:ascii="Times New Roman" w:hAnsi="Times New Roman" w:cs="Times New Roman"/>
          <w:noProof/>
          <w:sz w:val="24"/>
          <w:szCs w:val="24"/>
          <w:lang w:val="sq-AL"/>
        </w:rPr>
        <w:t xml:space="preserve"> vitin 2024, udhëzimet etike janë të qarta dhe të kuptueshme.</w:t>
      </w:r>
      <w:r w:rsidR="00AF6F09" w:rsidRPr="00641640">
        <w:rPr>
          <w:rStyle w:val="FootnoteReference"/>
          <w:rFonts w:ascii="Times New Roman" w:hAnsi="Times New Roman" w:cs="Times New Roman"/>
          <w:noProof/>
          <w:sz w:val="24"/>
          <w:szCs w:val="24"/>
          <w:lang w:val="sq-AL"/>
        </w:rPr>
        <w:footnoteReference w:id="60"/>
      </w:r>
      <w:r w:rsidR="00A70EFE" w:rsidRPr="00641640">
        <w:rPr>
          <w:rFonts w:ascii="Times New Roman" w:hAnsi="Times New Roman" w:cs="Times New Roman"/>
          <w:noProof/>
          <w:sz w:val="24"/>
          <w:szCs w:val="24"/>
          <w:lang w:val="sq-AL"/>
        </w:rPr>
        <w:t xml:space="preserve"> </w:t>
      </w:r>
    </w:p>
    <w:p w14:paraId="045B5A8B" w14:textId="1BFEA770" w:rsidR="00AF6F09" w:rsidRPr="00641640" w:rsidRDefault="00987D07"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Në zbatim të ligjit nr. 9131/2003, ka hyrë në fuqi në vitin 2021</w:t>
      </w:r>
      <w:r w:rsidR="00C43DCD"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w:t>
      </w:r>
      <w:r w:rsidR="00BF0A09">
        <w:rPr>
          <w:rFonts w:ascii="Times New Roman" w:hAnsi="Times New Roman" w:cs="Times New Roman"/>
          <w:noProof/>
          <w:sz w:val="24"/>
          <w:szCs w:val="24"/>
          <w:lang w:val="sq-AL"/>
        </w:rPr>
        <w:t>V</w:t>
      </w:r>
      <w:r w:rsidRPr="00641640">
        <w:rPr>
          <w:rFonts w:ascii="Times New Roman" w:hAnsi="Times New Roman" w:cs="Times New Roman"/>
          <w:noProof/>
          <w:sz w:val="24"/>
          <w:szCs w:val="24"/>
          <w:lang w:val="sq-AL"/>
        </w:rPr>
        <w:t xml:space="preserve">endimi </w:t>
      </w:r>
      <w:r w:rsidR="00C878A3" w:rsidRPr="00641640">
        <w:rPr>
          <w:rFonts w:ascii="Times New Roman" w:hAnsi="Times New Roman" w:cs="Times New Roman"/>
          <w:noProof/>
          <w:sz w:val="24"/>
          <w:szCs w:val="24"/>
          <w:lang w:val="sq-AL"/>
        </w:rPr>
        <w:t>i Këshillit të Ministrave</w:t>
      </w:r>
      <w:r w:rsidR="00C878A3">
        <w:rPr>
          <w:rFonts w:ascii="Times New Roman" w:hAnsi="Times New Roman" w:cs="Times New Roman"/>
          <w:noProof/>
          <w:sz w:val="24"/>
          <w:szCs w:val="24"/>
          <w:lang w:val="sq-AL"/>
        </w:rPr>
        <w:t xml:space="preserve"> </w:t>
      </w:r>
      <w:r w:rsidR="00BF0A09">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r. 874, datë 29.9.2021 “</w:t>
      </w:r>
      <w:r w:rsidRPr="00BF0A09">
        <w:rPr>
          <w:rFonts w:ascii="Times New Roman" w:hAnsi="Times New Roman" w:cs="Times New Roman"/>
          <w:i/>
          <w:iCs/>
          <w:noProof/>
          <w:sz w:val="24"/>
          <w:szCs w:val="24"/>
          <w:lang w:val="sq-AL"/>
        </w:rPr>
        <w:t>Për miratimin e rregullave për zbatimin e parimeve të etikës, klasifikimin e aktiviteteve të jashtme dhe përcaktimin e vlerës së dhuratave të pranueshme gjatë punësimit në administratën publike</w:t>
      </w:r>
      <w:r w:rsidRPr="00641640">
        <w:rPr>
          <w:rFonts w:ascii="Times New Roman" w:hAnsi="Times New Roman" w:cs="Times New Roman"/>
          <w:noProof/>
          <w:sz w:val="24"/>
          <w:szCs w:val="24"/>
          <w:lang w:val="sq-AL"/>
        </w:rPr>
        <w:t xml:space="preserve">”, i cili shfuqizoi VKM </w:t>
      </w:r>
      <w:r w:rsidR="00BF0A09">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r. 714, datë 22.10.2004 “</w:t>
      </w:r>
      <w:r w:rsidRPr="00BF0A09">
        <w:rPr>
          <w:rFonts w:ascii="Times New Roman" w:hAnsi="Times New Roman" w:cs="Times New Roman"/>
          <w:i/>
          <w:iCs/>
          <w:noProof/>
          <w:sz w:val="24"/>
          <w:szCs w:val="24"/>
          <w:lang w:val="sq-AL"/>
        </w:rPr>
        <w:t xml:space="preserve">Për veprimtarinë e jashtme </w:t>
      </w:r>
      <w:r w:rsidRPr="00BF0A09">
        <w:rPr>
          <w:rFonts w:ascii="Times New Roman" w:hAnsi="Times New Roman" w:cs="Times New Roman"/>
          <w:i/>
          <w:iCs/>
          <w:noProof/>
          <w:sz w:val="24"/>
          <w:szCs w:val="24"/>
          <w:lang w:val="sq-AL"/>
        </w:rPr>
        <w:lastRenderedPageBreak/>
        <w:t>dhe dhënien e dhuratave gjatë veprimtarisë së nëpunësit në administratën publike</w:t>
      </w:r>
      <w:r w:rsidRPr="00641640">
        <w:rPr>
          <w:rFonts w:ascii="Times New Roman" w:hAnsi="Times New Roman" w:cs="Times New Roman"/>
          <w:noProof/>
          <w:sz w:val="24"/>
          <w:szCs w:val="24"/>
          <w:lang w:val="sq-AL"/>
        </w:rPr>
        <w:t xml:space="preserve">”. </w:t>
      </w:r>
      <w:r w:rsidR="00C43DCD" w:rsidRPr="00641640">
        <w:rPr>
          <w:rFonts w:ascii="Times New Roman" w:hAnsi="Times New Roman" w:cs="Times New Roman"/>
          <w:noProof/>
          <w:sz w:val="24"/>
          <w:szCs w:val="24"/>
          <w:lang w:val="sq-AL"/>
        </w:rPr>
        <w:t xml:space="preserve">Ky vendim </w:t>
      </w:r>
      <w:r w:rsidRPr="00641640">
        <w:rPr>
          <w:rFonts w:ascii="Times New Roman" w:hAnsi="Times New Roman" w:cs="Times New Roman"/>
          <w:noProof/>
          <w:sz w:val="24"/>
          <w:szCs w:val="24"/>
          <w:lang w:val="sq-AL"/>
        </w:rPr>
        <w:t xml:space="preserve">vendos standarde për të rregulluar aktivitetet e jashtme, përfshirë edhe punësimin dytësor. </w:t>
      </w:r>
    </w:p>
    <w:p w14:paraId="44FF8613" w14:textId="573EEA7C" w:rsidR="00924B75" w:rsidRPr="00641640" w:rsidRDefault="00AF6F09" w:rsidP="003A395D">
      <w:pPr>
        <w:spacing w:after="0"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Në p</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rputhje me k</w:t>
      </w:r>
      <w:r w:rsidR="0010442D" w:rsidRPr="00641640">
        <w:rPr>
          <w:rFonts w:ascii="Times New Roman" w:hAnsi="Times New Roman" w:cs="Times New Roman"/>
          <w:noProof/>
          <w:sz w:val="24"/>
          <w:szCs w:val="24"/>
          <w:lang w:val="sq-AL"/>
        </w:rPr>
        <w:t>ornizën</w:t>
      </w:r>
      <w:r w:rsidRPr="00641640">
        <w:rPr>
          <w:rFonts w:ascii="Times New Roman" w:hAnsi="Times New Roman" w:cs="Times New Roman"/>
          <w:noProof/>
          <w:sz w:val="24"/>
          <w:szCs w:val="24"/>
          <w:lang w:val="sq-AL"/>
        </w:rPr>
        <w:t xml:space="preserve"> ekzistues</w:t>
      </w:r>
      <w:r w:rsidR="0010442D"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 ligjor</w:t>
      </w:r>
      <w:r w:rsidR="0010442D"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një numër institucionesh kan</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miratuar Kodet e tyre përkatëse të Etikës/Sjelljes për të standardizuar dhe përforcuar sjelljen etike të nëpunësve. Në zbatim të Udhërrëfyesit për Reformën në Administratën Publike 2023-2030, p</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rgjat</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zbatimit t</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masave t</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parashikuara n</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n SNRAP 202</w:t>
      </w:r>
      <w:r w:rsidR="00C43DCD" w:rsidRPr="00641640">
        <w:rPr>
          <w:rFonts w:ascii="Times New Roman" w:hAnsi="Times New Roman" w:cs="Times New Roman"/>
          <w:noProof/>
          <w:sz w:val="24"/>
          <w:szCs w:val="24"/>
          <w:lang w:val="sq-AL"/>
        </w:rPr>
        <w:t>5</w:t>
      </w:r>
      <w:r w:rsidRPr="00641640">
        <w:rPr>
          <w:rFonts w:ascii="Times New Roman" w:hAnsi="Times New Roman" w:cs="Times New Roman"/>
          <w:noProof/>
          <w:sz w:val="24"/>
          <w:szCs w:val="24"/>
          <w:lang w:val="sq-AL"/>
        </w:rPr>
        <w:t>-2030, do t</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miratohen aktet rregullatore n</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zbatim t</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VKM nr. 874/2021 q</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do t</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konsolidojn</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kuadrin rregullator dhe do të sigurojnë një proces të standardizuar për monitorimin dhe zbatimin e rregullave etike në administratën publike. </w:t>
      </w:r>
      <w:r w:rsidRPr="00641640">
        <w:rPr>
          <w:rFonts w:ascii="Times New Roman" w:hAnsi="Times New Roman" w:cs="Times New Roman"/>
          <w:noProof/>
          <w:sz w:val="24"/>
          <w:szCs w:val="24"/>
          <w:lang w:val="sq-AL"/>
        </w:rPr>
        <w:cr/>
      </w:r>
    </w:p>
    <w:p w14:paraId="342A06FD" w14:textId="4D3B81B3" w:rsidR="00AF6F09" w:rsidRPr="00641640" w:rsidRDefault="00467697"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Mbikëqyr</w:t>
      </w:r>
      <w:r w:rsidR="00BC4368" w:rsidRPr="00641640">
        <w:rPr>
          <w:rFonts w:ascii="Times New Roman" w:hAnsi="Times New Roman" w:cs="Times New Roman"/>
          <w:noProof/>
          <w:sz w:val="24"/>
          <w:szCs w:val="24"/>
          <w:lang w:val="sq-AL"/>
        </w:rPr>
        <w:t>ja e administratës nga institucionet e pavarura është zhvilluar sipas praktikave tashmë të konsoliduara.</w:t>
      </w:r>
      <w:r w:rsidR="009A3874" w:rsidRPr="00641640">
        <w:rPr>
          <w:rFonts w:ascii="Times New Roman" w:hAnsi="Times New Roman" w:cs="Times New Roman"/>
          <w:noProof/>
          <w:sz w:val="24"/>
          <w:szCs w:val="24"/>
          <w:lang w:val="sq-AL"/>
        </w:rPr>
        <w:t xml:space="preserve"> </w:t>
      </w:r>
      <w:r w:rsidR="00C77DFF" w:rsidRPr="00641640">
        <w:rPr>
          <w:rFonts w:ascii="Times New Roman" w:hAnsi="Times New Roman" w:cs="Times New Roman"/>
          <w:noProof/>
          <w:sz w:val="24"/>
          <w:szCs w:val="24"/>
          <w:lang w:val="sq-AL"/>
        </w:rPr>
        <w:t>Avokati i Popullit dhe Kontrolli i Lartë i Shtetit luajnë një rol jetik në sigurimin e administrimit dhe mbikëqyrjes së mirë, bashk</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risht me institucionet e tjera t</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 xml:space="preserve"> pavarura si Komisioneri p</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r Mbik</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qyrjen e Sh</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rbimit Civil, Komisioneri p</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r t</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 xml:space="preserve"> Drejt</w:t>
      </w:r>
      <w:r w:rsidR="007C1ABD" w:rsidRPr="00641640">
        <w:rPr>
          <w:rFonts w:ascii="Times New Roman" w:hAnsi="Times New Roman" w:cs="Times New Roman"/>
          <w:noProof/>
          <w:sz w:val="24"/>
          <w:szCs w:val="24"/>
          <w:lang w:val="sq-AL"/>
        </w:rPr>
        <w:t>ë</w:t>
      </w:r>
      <w:r w:rsidR="00C77DFF" w:rsidRPr="00641640">
        <w:rPr>
          <w:rFonts w:ascii="Times New Roman" w:hAnsi="Times New Roman" w:cs="Times New Roman"/>
          <w:noProof/>
          <w:sz w:val="24"/>
          <w:szCs w:val="24"/>
          <w:lang w:val="sq-AL"/>
        </w:rPr>
        <w:t xml:space="preserve">n e Informimit </w:t>
      </w:r>
      <w:r w:rsidR="00C017AD" w:rsidRPr="00641640">
        <w:rPr>
          <w:rFonts w:ascii="Times New Roman" w:hAnsi="Times New Roman" w:cs="Times New Roman"/>
          <w:noProof/>
          <w:sz w:val="24"/>
          <w:szCs w:val="24"/>
          <w:lang w:val="sq-AL"/>
        </w:rPr>
        <w:t>dhe Mbrojtjen e t</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 xml:space="preserve"> Dh</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nave Personale, Komisioneri p</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r Mbrojtjen nga Diskriminimi dhe Autoriteti i Konkurrenc</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 xml:space="preserve">s. </w:t>
      </w:r>
    </w:p>
    <w:p w14:paraId="5AB1C6C5" w14:textId="4E589E9A" w:rsidR="00BA5465" w:rsidRDefault="009A3874"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Gjithashtu, sikurse evidentuar n</w:t>
      </w:r>
      <w:r w:rsidR="00DA5C1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Raportin e Monitorimit nga SIGMA (2024), janë ngritur të gjitha procedurat për të garantuar një kontroll efektiv parlamentar mbi vendimmarrjen e qeverisë.</w:t>
      </w:r>
      <w:r w:rsidRPr="00641640">
        <w:rPr>
          <w:rStyle w:val="FootnoteReference"/>
          <w:rFonts w:ascii="Times New Roman" w:hAnsi="Times New Roman" w:cs="Times New Roman"/>
          <w:noProof/>
          <w:sz w:val="24"/>
          <w:szCs w:val="24"/>
          <w:lang w:val="sq-AL"/>
        </w:rPr>
        <w:footnoteReference w:id="61"/>
      </w:r>
      <w:r w:rsidRPr="00641640">
        <w:rPr>
          <w:rFonts w:ascii="Times New Roman" w:hAnsi="Times New Roman" w:cs="Times New Roman"/>
          <w:noProof/>
          <w:sz w:val="24"/>
          <w:szCs w:val="24"/>
          <w:lang w:val="sq-AL"/>
        </w:rPr>
        <w:t xml:space="preserve"> </w:t>
      </w:r>
      <w:r w:rsidR="00C017AD" w:rsidRPr="00641640">
        <w:rPr>
          <w:rFonts w:ascii="Times New Roman" w:hAnsi="Times New Roman" w:cs="Times New Roman"/>
          <w:noProof/>
          <w:sz w:val="24"/>
          <w:szCs w:val="24"/>
          <w:lang w:val="sq-AL"/>
        </w:rPr>
        <w:t>N</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 xml:space="preserve"> zbatim t</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 xml:space="preserve"> </w:t>
      </w:r>
      <w:r w:rsidR="00C878A3">
        <w:rPr>
          <w:rFonts w:ascii="Times New Roman" w:hAnsi="Times New Roman" w:cs="Times New Roman"/>
          <w:noProof/>
          <w:sz w:val="24"/>
          <w:szCs w:val="24"/>
          <w:lang w:val="sq-AL"/>
        </w:rPr>
        <w:t>v</w:t>
      </w:r>
      <w:r w:rsidR="00C017AD" w:rsidRPr="00641640">
        <w:rPr>
          <w:rFonts w:ascii="Times New Roman" w:hAnsi="Times New Roman" w:cs="Times New Roman"/>
          <w:noProof/>
          <w:sz w:val="24"/>
          <w:szCs w:val="24"/>
          <w:lang w:val="sq-AL"/>
        </w:rPr>
        <w:t xml:space="preserve">endimit </w:t>
      </w:r>
      <w:r w:rsidR="00860127" w:rsidRPr="00641640">
        <w:rPr>
          <w:rFonts w:ascii="Times New Roman" w:hAnsi="Times New Roman" w:cs="Times New Roman"/>
          <w:noProof/>
          <w:sz w:val="24"/>
          <w:szCs w:val="24"/>
          <w:lang w:val="sq-AL"/>
        </w:rPr>
        <w:t>n</w:t>
      </w:r>
      <w:r w:rsidR="00C017AD" w:rsidRPr="00641640">
        <w:rPr>
          <w:rFonts w:ascii="Times New Roman" w:hAnsi="Times New Roman" w:cs="Times New Roman"/>
          <w:noProof/>
          <w:sz w:val="24"/>
          <w:szCs w:val="24"/>
          <w:lang w:val="sq-AL"/>
        </w:rPr>
        <w:t>r. 49/2017 t</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 xml:space="preserve"> Kuvendit “</w:t>
      </w:r>
      <w:r w:rsidR="00C017AD" w:rsidRPr="00664486">
        <w:rPr>
          <w:rFonts w:ascii="Times New Roman" w:hAnsi="Times New Roman" w:cs="Times New Roman"/>
          <w:i/>
          <w:iCs/>
          <w:noProof/>
          <w:sz w:val="24"/>
          <w:szCs w:val="24"/>
          <w:lang w:val="sq-AL"/>
        </w:rPr>
        <w:t xml:space="preserve">Për </w:t>
      </w:r>
      <w:r w:rsidR="006D7FD6" w:rsidRPr="00664486">
        <w:rPr>
          <w:rFonts w:ascii="Times New Roman" w:hAnsi="Times New Roman" w:cs="Times New Roman"/>
          <w:i/>
          <w:iCs/>
          <w:noProof/>
          <w:sz w:val="24"/>
          <w:szCs w:val="24"/>
          <w:lang w:val="sq-AL"/>
        </w:rPr>
        <w:t>k</w:t>
      </w:r>
      <w:r w:rsidR="00C017AD" w:rsidRPr="00664486">
        <w:rPr>
          <w:rFonts w:ascii="Times New Roman" w:hAnsi="Times New Roman" w:cs="Times New Roman"/>
          <w:i/>
          <w:iCs/>
          <w:noProof/>
          <w:sz w:val="24"/>
          <w:szCs w:val="24"/>
          <w:lang w:val="sq-AL"/>
        </w:rPr>
        <w:t xml:space="preserve">rijimin e një </w:t>
      </w:r>
      <w:r w:rsidR="006D7FD6" w:rsidRPr="00664486">
        <w:rPr>
          <w:rFonts w:ascii="Times New Roman" w:hAnsi="Times New Roman" w:cs="Times New Roman"/>
          <w:i/>
          <w:iCs/>
          <w:noProof/>
          <w:sz w:val="24"/>
          <w:szCs w:val="24"/>
          <w:lang w:val="sq-AL"/>
        </w:rPr>
        <w:t>m</w:t>
      </w:r>
      <w:r w:rsidR="00C017AD" w:rsidRPr="00664486">
        <w:rPr>
          <w:rFonts w:ascii="Times New Roman" w:hAnsi="Times New Roman" w:cs="Times New Roman"/>
          <w:i/>
          <w:iCs/>
          <w:noProof/>
          <w:sz w:val="24"/>
          <w:szCs w:val="24"/>
          <w:lang w:val="sq-AL"/>
        </w:rPr>
        <w:t xml:space="preserve">ekanizmi për </w:t>
      </w:r>
      <w:r w:rsidR="006D7FD6" w:rsidRPr="00664486">
        <w:rPr>
          <w:rFonts w:ascii="Times New Roman" w:hAnsi="Times New Roman" w:cs="Times New Roman"/>
          <w:i/>
          <w:iCs/>
          <w:noProof/>
          <w:sz w:val="24"/>
          <w:szCs w:val="24"/>
          <w:lang w:val="sq-AL"/>
        </w:rPr>
        <w:t>m</w:t>
      </w:r>
      <w:r w:rsidR="00C017AD" w:rsidRPr="00664486">
        <w:rPr>
          <w:rFonts w:ascii="Times New Roman" w:hAnsi="Times New Roman" w:cs="Times New Roman"/>
          <w:i/>
          <w:iCs/>
          <w:noProof/>
          <w:sz w:val="24"/>
          <w:szCs w:val="24"/>
          <w:lang w:val="sq-AL"/>
        </w:rPr>
        <w:t xml:space="preserve">onitorimin </w:t>
      </w:r>
      <w:r w:rsidR="006D7FD6" w:rsidRPr="00664486">
        <w:rPr>
          <w:rFonts w:ascii="Times New Roman" w:hAnsi="Times New Roman" w:cs="Times New Roman"/>
          <w:i/>
          <w:iCs/>
          <w:noProof/>
          <w:sz w:val="24"/>
          <w:szCs w:val="24"/>
          <w:lang w:val="sq-AL"/>
        </w:rPr>
        <w:t>s</w:t>
      </w:r>
      <w:r w:rsidR="00C017AD" w:rsidRPr="00664486">
        <w:rPr>
          <w:rFonts w:ascii="Times New Roman" w:hAnsi="Times New Roman" w:cs="Times New Roman"/>
          <w:i/>
          <w:iCs/>
          <w:noProof/>
          <w:sz w:val="24"/>
          <w:szCs w:val="24"/>
          <w:lang w:val="sq-AL"/>
        </w:rPr>
        <w:t xml:space="preserve">istematik të </w:t>
      </w:r>
      <w:r w:rsidR="006D7FD6" w:rsidRPr="00664486">
        <w:rPr>
          <w:rFonts w:ascii="Times New Roman" w:hAnsi="Times New Roman" w:cs="Times New Roman"/>
          <w:i/>
          <w:iCs/>
          <w:noProof/>
          <w:sz w:val="24"/>
          <w:szCs w:val="24"/>
          <w:lang w:val="sq-AL"/>
        </w:rPr>
        <w:t>n</w:t>
      </w:r>
      <w:r w:rsidR="00C017AD" w:rsidRPr="00664486">
        <w:rPr>
          <w:rFonts w:ascii="Times New Roman" w:hAnsi="Times New Roman" w:cs="Times New Roman"/>
          <w:i/>
          <w:iCs/>
          <w:noProof/>
          <w:sz w:val="24"/>
          <w:szCs w:val="24"/>
          <w:lang w:val="sq-AL"/>
        </w:rPr>
        <w:t xml:space="preserve">djekjes dhe </w:t>
      </w:r>
      <w:r w:rsidR="006D7FD6" w:rsidRPr="00664486">
        <w:rPr>
          <w:rFonts w:ascii="Times New Roman" w:hAnsi="Times New Roman" w:cs="Times New Roman"/>
          <w:i/>
          <w:iCs/>
          <w:noProof/>
          <w:sz w:val="24"/>
          <w:szCs w:val="24"/>
          <w:lang w:val="sq-AL"/>
        </w:rPr>
        <w:t>z</w:t>
      </w:r>
      <w:r w:rsidR="00C017AD" w:rsidRPr="00664486">
        <w:rPr>
          <w:rFonts w:ascii="Times New Roman" w:hAnsi="Times New Roman" w:cs="Times New Roman"/>
          <w:i/>
          <w:iCs/>
          <w:noProof/>
          <w:sz w:val="24"/>
          <w:szCs w:val="24"/>
          <w:lang w:val="sq-AL"/>
        </w:rPr>
        <w:t xml:space="preserve">batimit të </w:t>
      </w:r>
      <w:r w:rsidR="006D7FD6" w:rsidRPr="00664486">
        <w:rPr>
          <w:rFonts w:ascii="Times New Roman" w:hAnsi="Times New Roman" w:cs="Times New Roman"/>
          <w:i/>
          <w:iCs/>
          <w:noProof/>
          <w:sz w:val="24"/>
          <w:szCs w:val="24"/>
          <w:lang w:val="sq-AL"/>
        </w:rPr>
        <w:t>r</w:t>
      </w:r>
      <w:r w:rsidR="00C017AD" w:rsidRPr="00664486">
        <w:rPr>
          <w:rFonts w:ascii="Times New Roman" w:hAnsi="Times New Roman" w:cs="Times New Roman"/>
          <w:i/>
          <w:iCs/>
          <w:noProof/>
          <w:sz w:val="24"/>
          <w:szCs w:val="24"/>
          <w:lang w:val="sq-AL"/>
        </w:rPr>
        <w:t xml:space="preserve">ekomandimeve të </w:t>
      </w:r>
      <w:r w:rsidR="006D7FD6" w:rsidRPr="00664486">
        <w:rPr>
          <w:rFonts w:ascii="Times New Roman" w:hAnsi="Times New Roman" w:cs="Times New Roman"/>
          <w:i/>
          <w:iCs/>
          <w:noProof/>
          <w:sz w:val="24"/>
          <w:szCs w:val="24"/>
          <w:lang w:val="sq-AL"/>
        </w:rPr>
        <w:t>i</w:t>
      </w:r>
      <w:r w:rsidR="00C017AD" w:rsidRPr="00664486">
        <w:rPr>
          <w:rFonts w:ascii="Times New Roman" w:hAnsi="Times New Roman" w:cs="Times New Roman"/>
          <w:i/>
          <w:iCs/>
          <w:noProof/>
          <w:sz w:val="24"/>
          <w:szCs w:val="24"/>
          <w:lang w:val="sq-AL"/>
        </w:rPr>
        <w:t xml:space="preserve">nstitucioneve </w:t>
      </w:r>
      <w:r w:rsidR="006D7FD6" w:rsidRPr="00664486">
        <w:rPr>
          <w:rFonts w:ascii="Times New Roman" w:hAnsi="Times New Roman" w:cs="Times New Roman"/>
          <w:i/>
          <w:iCs/>
          <w:noProof/>
          <w:sz w:val="24"/>
          <w:szCs w:val="24"/>
          <w:lang w:val="sq-AL"/>
        </w:rPr>
        <w:t>k</w:t>
      </w:r>
      <w:r w:rsidR="00C017AD" w:rsidRPr="00664486">
        <w:rPr>
          <w:rFonts w:ascii="Times New Roman" w:hAnsi="Times New Roman" w:cs="Times New Roman"/>
          <w:i/>
          <w:iCs/>
          <w:noProof/>
          <w:sz w:val="24"/>
          <w:szCs w:val="24"/>
          <w:lang w:val="sq-AL"/>
        </w:rPr>
        <w:t xml:space="preserve">ushtetuese të </w:t>
      </w:r>
      <w:r w:rsidR="006D7FD6" w:rsidRPr="00664486">
        <w:rPr>
          <w:rFonts w:ascii="Times New Roman" w:hAnsi="Times New Roman" w:cs="Times New Roman"/>
          <w:i/>
          <w:iCs/>
          <w:noProof/>
          <w:sz w:val="24"/>
          <w:szCs w:val="24"/>
          <w:lang w:val="sq-AL"/>
        </w:rPr>
        <w:t>p</w:t>
      </w:r>
      <w:r w:rsidR="00C017AD" w:rsidRPr="00664486">
        <w:rPr>
          <w:rFonts w:ascii="Times New Roman" w:hAnsi="Times New Roman" w:cs="Times New Roman"/>
          <w:i/>
          <w:iCs/>
          <w:noProof/>
          <w:sz w:val="24"/>
          <w:szCs w:val="24"/>
          <w:lang w:val="sq-AL"/>
        </w:rPr>
        <w:t xml:space="preserve">avarura dhe atyre të </w:t>
      </w:r>
      <w:r w:rsidR="006D7FD6" w:rsidRPr="00664486">
        <w:rPr>
          <w:rFonts w:ascii="Times New Roman" w:hAnsi="Times New Roman" w:cs="Times New Roman"/>
          <w:i/>
          <w:iCs/>
          <w:noProof/>
          <w:sz w:val="24"/>
          <w:szCs w:val="24"/>
          <w:lang w:val="sq-AL"/>
        </w:rPr>
        <w:t>k</w:t>
      </w:r>
      <w:r w:rsidR="00C017AD" w:rsidRPr="00664486">
        <w:rPr>
          <w:rFonts w:ascii="Times New Roman" w:hAnsi="Times New Roman" w:cs="Times New Roman"/>
          <w:i/>
          <w:iCs/>
          <w:noProof/>
          <w:sz w:val="24"/>
          <w:szCs w:val="24"/>
          <w:lang w:val="sq-AL"/>
        </w:rPr>
        <w:t xml:space="preserve">rijuara me </w:t>
      </w:r>
      <w:r w:rsidR="006D7FD6" w:rsidRPr="00664486">
        <w:rPr>
          <w:rFonts w:ascii="Times New Roman" w:hAnsi="Times New Roman" w:cs="Times New Roman"/>
          <w:i/>
          <w:iCs/>
          <w:noProof/>
          <w:sz w:val="24"/>
          <w:szCs w:val="24"/>
          <w:lang w:val="sq-AL"/>
        </w:rPr>
        <w:t>l</w:t>
      </w:r>
      <w:r w:rsidR="00C017AD" w:rsidRPr="00664486">
        <w:rPr>
          <w:rFonts w:ascii="Times New Roman" w:hAnsi="Times New Roman" w:cs="Times New Roman"/>
          <w:i/>
          <w:iCs/>
          <w:noProof/>
          <w:sz w:val="24"/>
          <w:szCs w:val="24"/>
          <w:lang w:val="sq-AL"/>
        </w:rPr>
        <w:t>igj</w:t>
      </w:r>
      <w:r w:rsidR="00C017AD" w:rsidRPr="00641640">
        <w:rPr>
          <w:rFonts w:ascii="Times New Roman" w:hAnsi="Times New Roman" w:cs="Times New Roman"/>
          <w:noProof/>
          <w:sz w:val="24"/>
          <w:szCs w:val="24"/>
          <w:lang w:val="sq-AL"/>
        </w:rPr>
        <w:t xml:space="preserve">”, si dhe </w:t>
      </w:r>
      <w:r w:rsidR="00C878A3">
        <w:rPr>
          <w:rFonts w:ascii="Times New Roman" w:hAnsi="Times New Roman" w:cs="Times New Roman"/>
          <w:noProof/>
          <w:sz w:val="24"/>
          <w:szCs w:val="24"/>
          <w:lang w:val="sq-AL"/>
        </w:rPr>
        <w:t>v</w:t>
      </w:r>
      <w:r w:rsidR="00C017AD" w:rsidRPr="00641640">
        <w:rPr>
          <w:rFonts w:ascii="Times New Roman" w:hAnsi="Times New Roman" w:cs="Times New Roman"/>
          <w:noProof/>
          <w:sz w:val="24"/>
          <w:szCs w:val="24"/>
          <w:lang w:val="sq-AL"/>
        </w:rPr>
        <w:t xml:space="preserve">endimit </w:t>
      </w:r>
      <w:r w:rsidR="006D7FD6" w:rsidRPr="00641640">
        <w:rPr>
          <w:rFonts w:ascii="Times New Roman" w:hAnsi="Times New Roman" w:cs="Times New Roman"/>
          <w:noProof/>
          <w:sz w:val="24"/>
          <w:szCs w:val="24"/>
          <w:lang w:val="sq-AL"/>
        </w:rPr>
        <w:t>n</w:t>
      </w:r>
      <w:r w:rsidR="00C017AD" w:rsidRPr="00641640">
        <w:rPr>
          <w:rFonts w:ascii="Times New Roman" w:hAnsi="Times New Roman" w:cs="Times New Roman"/>
          <w:noProof/>
          <w:sz w:val="24"/>
          <w:szCs w:val="24"/>
          <w:lang w:val="sq-AL"/>
        </w:rPr>
        <w:t xml:space="preserve">r. 134/2018 </w:t>
      </w:r>
      <w:r w:rsidR="006D7FD6" w:rsidRPr="00641640">
        <w:rPr>
          <w:rFonts w:ascii="Times New Roman" w:hAnsi="Times New Roman" w:cs="Times New Roman"/>
          <w:noProof/>
          <w:sz w:val="24"/>
          <w:szCs w:val="24"/>
          <w:lang w:val="sq-AL"/>
        </w:rPr>
        <w:t>“</w:t>
      </w:r>
      <w:r w:rsidR="00C017AD" w:rsidRPr="00C878A3">
        <w:rPr>
          <w:rFonts w:ascii="Times New Roman" w:hAnsi="Times New Roman" w:cs="Times New Roman"/>
          <w:i/>
          <w:iCs/>
          <w:noProof/>
          <w:sz w:val="24"/>
          <w:szCs w:val="24"/>
          <w:lang w:val="sq-AL"/>
        </w:rPr>
        <w:t xml:space="preserve">Për </w:t>
      </w:r>
      <w:r w:rsidR="006D7FD6" w:rsidRPr="00C878A3">
        <w:rPr>
          <w:rFonts w:ascii="Times New Roman" w:hAnsi="Times New Roman" w:cs="Times New Roman"/>
          <w:i/>
          <w:iCs/>
          <w:noProof/>
          <w:sz w:val="24"/>
          <w:szCs w:val="24"/>
          <w:lang w:val="sq-AL"/>
        </w:rPr>
        <w:t>m</w:t>
      </w:r>
      <w:r w:rsidR="00C017AD" w:rsidRPr="00C878A3">
        <w:rPr>
          <w:rFonts w:ascii="Times New Roman" w:hAnsi="Times New Roman" w:cs="Times New Roman"/>
          <w:i/>
          <w:iCs/>
          <w:noProof/>
          <w:sz w:val="24"/>
          <w:szCs w:val="24"/>
          <w:lang w:val="sq-AL"/>
        </w:rPr>
        <w:t xml:space="preserve">iratimin e </w:t>
      </w:r>
      <w:r w:rsidR="006D7FD6" w:rsidRPr="00C878A3">
        <w:rPr>
          <w:rFonts w:ascii="Times New Roman" w:hAnsi="Times New Roman" w:cs="Times New Roman"/>
          <w:i/>
          <w:iCs/>
          <w:noProof/>
          <w:sz w:val="24"/>
          <w:szCs w:val="24"/>
          <w:lang w:val="sq-AL"/>
        </w:rPr>
        <w:t>m</w:t>
      </w:r>
      <w:r w:rsidR="00C017AD" w:rsidRPr="00C878A3">
        <w:rPr>
          <w:rFonts w:ascii="Times New Roman" w:hAnsi="Times New Roman" w:cs="Times New Roman"/>
          <w:i/>
          <w:iCs/>
          <w:noProof/>
          <w:sz w:val="24"/>
          <w:szCs w:val="24"/>
          <w:lang w:val="sq-AL"/>
        </w:rPr>
        <w:t xml:space="preserve">anualit të </w:t>
      </w:r>
      <w:r w:rsidR="006D7FD6" w:rsidRPr="00C878A3">
        <w:rPr>
          <w:rFonts w:ascii="Times New Roman" w:hAnsi="Times New Roman" w:cs="Times New Roman"/>
          <w:i/>
          <w:iCs/>
          <w:noProof/>
          <w:sz w:val="24"/>
          <w:szCs w:val="24"/>
          <w:lang w:val="sq-AL"/>
        </w:rPr>
        <w:t>m</w:t>
      </w:r>
      <w:r w:rsidR="00C017AD" w:rsidRPr="00C878A3">
        <w:rPr>
          <w:rFonts w:ascii="Times New Roman" w:hAnsi="Times New Roman" w:cs="Times New Roman"/>
          <w:i/>
          <w:iCs/>
          <w:noProof/>
          <w:sz w:val="24"/>
          <w:szCs w:val="24"/>
          <w:lang w:val="sq-AL"/>
        </w:rPr>
        <w:t xml:space="preserve">onitorimit </w:t>
      </w:r>
      <w:r w:rsidR="006D7FD6" w:rsidRPr="00C878A3">
        <w:rPr>
          <w:rFonts w:ascii="Times New Roman" w:hAnsi="Times New Roman" w:cs="Times New Roman"/>
          <w:i/>
          <w:iCs/>
          <w:noProof/>
          <w:sz w:val="24"/>
          <w:szCs w:val="24"/>
          <w:lang w:val="sq-AL"/>
        </w:rPr>
        <w:t>v</w:t>
      </w:r>
      <w:r w:rsidR="00C017AD" w:rsidRPr="00C878A3">
        <w:rPr>
          <w:rFonts w:ascii="Times New Roman" w:hAnsi="Times New Roman" w:cs="Times New Roman"/>
          <w:i/>
          <w:iCs/>
          <w:noProof/>
          <w:sz w:val="24"/>
          <w:szCs w:val="24"/>
          <w:lang w:val="sq-AL"/>
        </w:rPr>
        <w:t xml:space="preserve">jetor dhe </w:t>
      </w:r>
      <w:r w:rsidR="006D7FD6" w:rsidRPr="00C878A3">
        <w:rPr>
          <w:rFonts w:ascii="Times New Roman" w:hAnsi="Times New Roman" w:cs="Times New Roman"/>
          <w:i/>
          <w:iCs/>
          <w:noProof/>
          <w:sz w:val="24"/>
          <w:szCs w:val="24"/>
          <w:lang w:val="sq-AL"/>
        </w:rPr>
        <w:t>p</w:t>
      </w:r>
      <w:r w:rsidR="00C017AD" w:rsidRPr="00C878A3">
        <w:rPr>
          <w:rFonts w:ascii="Times New Roman" w:hAnsi="Times New Roman" w:cs="Times New Roman"/>
          <w:i/>
          <w:iCs/>
          <w:noProof/>
          <w:sz w:val="24"/>
          <w:szCs w:val="24"/>
          <w:lang w:val="sq-AL"/>
        </w:rPr>
        <w:t>eriodik</w:t>
      </w:r>
      <w:r w:rsidR="00C017AD" w:rsidRPr="00641640">
        <w:rPr>
          <w:rFonts w:ascii="Times New Roman" w:hAnsi="Times New Roman" w:cs="Times New Roman"/>
          <w:noProof/>
          <w:sz w:val="24"/>
          <w:szCs w:val="24"/>
          <w:lang w:val="sq-AL"/>
        </w:rPr>
        <w:t xml:space="preserve">”, është rritur edhe roli i Parlamentit në ushtrimin e mbikëqyrjes ndaj ekzekutivit për këto çështje. </w:t>
      </w:r>
      <w:r w:rsidR="00987D07" w:rsidRPr="00641640">
        <w:rPr>
          <w:rFonts w:ascii="Times New Roman" w:hAnsi="Times New Roman" w:cs="Times New Roman"/>
          <w:noProof/>
          <w:sz w:val="24"/>
          <w:szCs w:val="24"/>
          <w:lang w:val="sq-AL"/>
        </w:rPr>
        <w:t>N</w:t>
      </w:r>
      <w:r w:rsidR="007C1ABD" w:rsidRPr="00641640">
        <w:rPr>
          <w:rFonts w:ascii="Times New Roman" w:hAnsi="Times New Roman" w:cs="Times New Roman"/>
          <w:noProof/>
          <w:sz w:val="24"/>
          <w:szCs w:val="24"/>
          <w:lang w:val="sq-AL"/>
        </w:rPr>
        <w:t>ë</w:t>
      </w:r>
      <w:r w:rsidR="00987D07" w:rsidRPr="00641640">
        <w:rPr>
          <w:rFonts w:ascii="Times New Roman" w:hAnsi="Times New Roman" w:cs="Times New Roman"/>
          <w:noProof/>
          <w:sz w:val="24"/>
          <w:szCs w:val="24"/>
          <w:lang w:val="sq-AL"/>
        </w:rPr>
        <w:t xml:space="preserve"> em</w:t>
      </w:r>
      <w:r w:rsidR="007C1ABD" w:rsidRPr="00641640">
        <w:rPr>
          <w:rFonts w:ascii="Times New Roman" w:hAnsi="Times New Roman" w:cs="Times New Roman"/>
          <w:noProof/>
          <w:sz w:val="24"/>
          <w:szCs w:val="24"/>
          <w:lang w:val="sq-AL"/>
        </w:rPr>
        <w:t>ë</w:t>
      </w:r>
      <w:r w:rsidR="00987D07" w:rsidRPr="00641640">
        <w:rPr>
          <w:rFonts w:ascii="Times New Roman" w:hAnsi="Times New Roman" w:cs="Times New Roman"/>
          <w:noProof/>
          <w:sz w:val="24"/>
          <w:szCs w:val="24"/>
          <w:lang w:val="sq-AL"/>
        </w:rPr>
        <w:t>r t</w:t>
      </w:r>
      <w:r w:rsidR="007C1ABD" w:rsidRPr="00641640">
        <w:rPr>
          <w:rFonts w:ascii="Times New Roman" w:hAnsi="Times New Roman" w:cs="Times New Roman"/>
          <w:noProof/>
          <w:sz w:val="24"/>
          <w:szCs w:val="24"/>
          <w:lang w:val="sq-AL"/>
        </w:rPr>
        <w:t>ë</w:t>
      </w:r>
      <w:r w:rsidR="00987D07" w:rsidRPr="00641640">
        <w:rPr>
          <w:rFonts w:ascii="Times New Roman" w:hAnsi="Times New Roman" w:cs="Times New Roman"/>
          <w:noProof/>
          <w:sz w:val="24"/>
          <w:szCs w:val="24"/>
          <w:lang w:val="sq-AL"/>
        </w:rPr>
        <w:t xml:space="preserve"> pushtetit ekzekutiv, </w:t>
      </w:r>
      <w:r w:rsidR="00C77DFF" w:rsidRPr="00641640">
        <w:rPr>
          <w:rFonts w:ascii="Times New Roman" w:hAnsi="Times New Roman" w:cs="Times New Roman"/>
          <w:noProof/>
          <w:sz w:val="24"/>
          <w:szCs w:val="24"/>
          <w:lang w:val="sq-AL"/>
        </w:rPr>
        <w:t>Ministri i Shtetit për Marrëdhëniet me Parlamentin monitoron zbatimin e rekomandimeve të institucioneve të pavarura</w:t>
      </w:r>
      <w:r w:rsidR="00C017AD" w:rsidRPr="00641640">
        <w:rPr>
          <w:rFonts w:ascii="Times New Roman" w:hAnsi="Times New Roman" w:cs="Times New Roman"/>
          <w:noProof/>
          <w:sz w:val="24"/>
          <w:szCs w:val="24"/>
          <w:lang w:val="sq-AL"/>
        </w:rPr>
        <w:t xml:space="preserve"> pjes</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 xml:space="preserve"> t</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 xml:space="preserve"> k</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 xml:space="preserve">tij </w:t>
      </w:r>
      <w:r w:rsidR="005D2FAA" w:rsidRPr="00641640">
        <w:rPr>
          <w:rFonts w:ascii="Times New Roman" w:hAnsi="Times New Roman" w:cs="Times New Roman"/>
          <w:noProof/>
          <w:sz w:val="24"/>
          <w:szCs w:val="24"/>
          <w:lang w:val="sq-AL"/>
        </w:rPr>
        <w:t>m</w:t>
      </w:r>
      <w:r w:rsidR="00C017AD" w:rsidRPr="00641640">
        <w:rPr>
          <w:rFonts w:ascii="Times New Roman" w:hAnsi="Times New Roman" w:cs="Times New Roman"/>
          <w:noProof/>
          <w:sz w:val="24"/>
          <w:szCs w:val="24"/>
          <w:lang w:val="sq-AL"/>
        </w:rPr>
        <w:t>ekanizmi, duke nxitur dhe monitoruar periodikisht</w:t>
      </w:r>
      <w:r w:rsidR="00BC4368" w:rsidRPr="00641640">
        <w:rPr>
          <w:rFonts w:ascii="Times New Roman" w:hAnsi="Times New Roman" w:cs="Times New Roman"/>
          <w:noProof/>
          <w:sz w:val="24"/>
          <w:szCs w:val="24"/>
          <w:lang w:val="sq-AL"/>
        </w:rPr>
        <w:t xml:space="preserve"> zbatimi</w:t>
      </w:r>
      <w:r w:rsidR="00C017AD" w:rsidRPr="00641640">
        <w:rPr>
          <w:rFonts w:ascii="Times New Roman" w:hAnsi="Times New Roman" w:cs="Times New Roman"/>
          <w:noProof/>
          <w:sz w:val="24"/>
          <w:szCs w:val="24"/>
          <w:lang w:val="sq-AL"/>
        </w:rPr>
        <w:t>n e</w:t>
      </w:r>
      <w:r w:rsidR="00BC4368" w:rsidRPr="00641640">
        <w:rPr>
          <w:rFonts w:ascii="Times New Roman" w:hAnsi="Times New Roman" w:cs="Times New Roman"/>
          <w:noProof/>
          <w:sz w:val="24"/>
          <w:szCs w:val="24"/>
          <w:lang w:val="sq-AL"/>
        </w:rPr>
        <w:t xml:space="preserve"> rekomandimeve </w:t>
      </w:r>
      <w:r w:rsidR="00C017AD" w:rsidRPr="00641640">
        <w:rPr>
          <w:rFonts w:ascii="Times New Roman" w:hAnsi="Times New Roman" w:cs="Times New Roman"/>
          <w:noProof/>
          <w:sz w:val="24"/>
          <w:szCs w:val="24"/>
          <w:lang w:val="sq-AL"/>
        </w:rPr>
        <w:t>t</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 xml:space="preserve"> institucioneve t</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 xml:space="preserve"> pavarura p</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r administrat</w:t>
      </w:r>
      <w:r w:rsidR="007C1ABD" w:rsidRPr="00641640">
        <w:rPr>
          <w:rFonts w:ascii="Times New Roman" w:hAnsi="Times New Roman" w:cs="Times New Roman"/>
          <w:noProof/>
          <w:sz w:val="24"/>
          <w:szCs w:val="24"/>
          <w:lang w:val="sq-AL"/>
        </w:rPr>
        <w:t>ë</w:t>
      </w:r>
      <w:r w:rsidR="00C017AD" w:rsidRPr="00641640">
        <w:rPr>
          <w:rFonts w:ascii="Times New Roman" w:hAnsi="Times New Roman" w:cs="Times New Roman"/>
          <w:noProof/>
          <w:sz w:val="24"/>
          <w:szCs w:val="24"/>
          <w:lang w:val="sq-AL"/>
        </w:rPr>
        <w:t xml:space="preserve">n publike. </w:t>
      </w:r>
    </w:p>
    <w:p w14:paraId="24848874" w14:textId="77777777" w:rsidR="00992EB8" w:rsidRPr="00992EB8" w:rsidRDefault="00992EB8" w:rsidP="003A395D">
      <w:pPr>
        <w:spacing w:line="276" w:lineRule="auto"/>
        <w:jc w:val="both"/>
        <w:rPr>
          <w:rFonts w:ascii="Times New Roman" w:hAnsi="Times New Roman" w:cs="Times New Roman"/>
          <w:noProof/>
          <w:sz w:val="14"/>
          <w:szCs w:val="14"/>
          <w:lang w:val="sq-AL"/>
        </w:rPr>
      </w:pPr>
    </w:p>
    <w:p w14:paraId="6F56AA23" w14:textId="77777777" w:rsidR="00907A7C" w:rsidRPr="00641640" w:rsidRDefault="00907A7C" w:rsidP="003A395D">
      <w:pPr>
        <w:spacing w:line="276" w:lineRule="auto"/>
        <w:jc w:val="both"/>
        <w:rPr>
          <w:rFonts w:ascii="Times New Roman" w:hAnsi="Times New Roman" w:cs="Times New Roman"/>
          <w:b/>
          <w:bCs/>
          <w:i/>
          <w:iCs/>
          <w:noProof/>
          <w:sz w:val="24"/>
          <w:szCs w:val="24"/>
          <w:lang w:val="sq-AL"/>
        </w:rPr>
      </w:pPr>
      <w:r w:rsidRPr="00641640">
        <w:rPr>
          <w:rFonts w:ascii="Times New Roman" w:hAnsi="Times New Roman" w:cs="Times New Roman"/>
          <w:b/>
          <w:bCs/>
          <w:i/>
          <w:iCs/>
          <w:noProof/>
          <w:sz w:val="24"/>
          <w:szCs w:val="24"/>
          <w:lang w:val="sq-AL"/>
        </w:rPr>
        <w:t>Sfidat</w:t>
      </w:r>
    </w:p>
    <w:p w14:paraId="4A886914" w14:textId="78B78E2B" w:rsidR="00EE52A5" w:rsidRPr="00641640" w:rsidRDefault="00762C82"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Për të adresuar me sukses sfidat dhe për të përmbushur objektivat ambicioze drejt nj</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administrate publike t</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standardeve evropiane, raportet periodike t</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organizatave partnere si Komisioni Evropian dhe OECD/SIGMA ofrojnë një pasqyrë të qartë të aspekteve që kërkojnë përmirësim dhe nxisin nevojën për reforma të q</w:t>
      </w:r>
      <w:r w:rsidR="00D67FC4"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ndrueshme në kuadër të rritjes s</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llogaridh</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nies, organizimit efikas dhe mbik</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qyrjes efektive t</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administratës publike. </w:t>
      </w:r>
    </w:p>
    <w:p w14:paraId="411A1D57" w14:textId="6D718136" w:rsidR="009D6C2C" w:rsidRPr="00641640" w:rsidRDefault="00924B75"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Me q</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llim organizimin e administratës publike në mënyrë efikase në të gjitha nivelet e qeverisjes,</w:t>
      </w:r>
      <w:r w:rsidR="00EB445F"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p</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rmes rishikimit t</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nisur tashm</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ligjit nr. 90/2012</w:t>
      </w:r>
      <w:r w:rsidR="007C1ABD" w:rsidRPr="00641640">
        <w:rPr>
          <w:rFonts w:ascii="Times New Roman" w:hAnsi="Times New Roman" w:cs="Times New Roman"/>
          <w:noProof/>
          <w:sz w:val="24"/>
          <w:szCs w:val="24"/>
          <w:lang w:val="sq-AL"/>
        </w:rPr>
        <w:t xml:space="preserve"> “</w:t>
      </w:r>
      <w:r w:rsidR="007C1ABD" w:rsidRPr="00117A19">
        <w:rPr>
          <w:rFonts w:ascii="Times New Roman" w:hAnsi="Times New Roman" w:cs="Times New Roman"/>
          <w:i/>
          <w:iCs/>
          <w:noProof/>
          <w:sz w:val="24"/>
          <w:szCs w:val="24"/>
          <w:lang w:val="sq-AL"/>
        </w:rPr>
        <w:t>Për organizimin dhe funksionimin e institucioneve të administratës publike</w:t>
      </w:r>
      <w:r w:rsidR="007C1ABD"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w:t>
      </w:r>
      <w:r w:rsidR="0047045B" w:rsidRPr="00641640">
        <w:rPr>
          <w:rFonts w:ascii="Times New Roman" w:hAnsi="Times New Roman" w:cs="Times New Roman"/>
          <w:noProof/>
          <w:sz w:val="24"/>
          <w:szCs w:val="24"/>
          <w:lang w:val="sq-AL"/>
        </w:rPr>
        <w:t>duhet t</w:t>
      </w:r>
      <w:r w:rsidR="00A70EFE" w:rsidRPr="00641640">
        <w:rPr>
          <w:rFonts w:ascii="Times New Roman" w:hAnsi="Times New Roman" w:cs="Times New Roman"/>
          <w:noProof/>
          <w:sz w:val="24"/>
          <w:szCs w:val="24"/>
          <w:lang w:val="sq-AL"/>
        </w:rPr>
        <w:t>ë</w:t>
      </w:r>
      <w:r w:rsidR="00EB445F" w:rsidRPr="00641640">
        <w:rPr>
          <w:rFonts w:ascii="Times New Roman" w:hAnsi="Times New Roman" w:cs="Times New Roman"/>
          <w:noProof/>
          <w:sz w:val="24"/>
          <w:szCs w:val="24"/>
          <w:lang w:val="sq-AL"/>
        </w:rPr>
        <w:t xml:space="preserve"> përcaktohet një tipologji e qartë </w:t>
      </w:r>
      <w:r w:rsidRPr="00641640">
        <w:rPr>
          <w:rFonts w:ascii="Times New Roman" w:hAnsi="Times New Roman" w:cs="Times New Roman"/>
          <w:noProof/>
          <w:sz w:val="24"/>
          <w:szCs w:val="24"/>
          <w:lang w:val="sq-AL"/>
        </w:rPr>
        <w:t xml:space="preserve">organizative </w:t>
      </w:r>
      <w:r w:rsidR="00EB445F" w:rsidRPr="00641640">
        <w:rPr>
          <w:rFonts w:ascii="Times New Roman" w:hAnsi="Times New Roman" w:cs="Times New Roman"/>
          <w:noProof/>
          <w:sz w:val="24"/>
          <w:szCs w:val="24"/>
          <w:lang w:val="sq-AL"/>
        </w:rPr>
        <w:t xml:space="preserve">për </w:t>
      </w:r>
      <w:r w:rsidR="00EB445F" w:rsidRPr="00641640">
        <w:rPr>
          <w:rFonts w:ascii="Times New Roman" w:hAnsi="Times New Roman" w:cs="Times New Roman"/>
          <w:noProof/>
          <w:sz w:val="24"/>
          <w:szCs w:val="24"/>
          <w:lang w:val="sq-AL"/>
        </w:rPr>
        <w:lastRenderedPageBreak/>
        <w:t>organet e qeverisë qendrore</w:t>
      </w:r>
      <w:r w:rsidRPr="00641640">
        <w:rPr>
          <w:rFonts w:ascii="Times New Roman" w:hAnsi="Times New Roman" w:cs="Times New Roman"/>
          <w:noProof/>
          <w:sz w:val="24"/>
          <w:szCs w:val="24"/>
          <w:lang w:val="sq-AL"/>
        </w:rPr>
        <w:t xml:space="preserve"> dhe institucioneve t</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var</w:t>
      </w:r>
      <w:r w:rsidR="007C1ABD"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sis</w:t>
      </w:r>
      <w:r w:rsidR="007C1ABD" w:rsidRPr="00641640">
        <w:rPr>
          <w:rFonts w:ascii="Times New Roman" w:hAnsi="Times New Roman" w:cs="Times New Roman"/>
          <w:noProof/>
          <w:sz w:val="24"/>
          <w:szCs w:val="24"/>
          <w:lang w:val="sq-AL"/>
        </w:rPr>
        <w:t>ë</w:t>
      </w:r>
      <w:r w:rsidR="00EB445F" w:rsidRPr="00641640">
        <w:rPr>
          <w:rFonts w:ascii="Times New Roman" w:hAnsi="Times New Roman" w:cs="Times New Roman"/>
          <w:noProof/>
          <w:sz w:val="24"/>
          <w:szCs w:val="24"/>
          <w:lang w:val="sq-AL"/>
        </w:rPr>
        <w:t xml:space="preserve">. </w:t>
      </w:r>
      <w:r w:rsidR="007C1ABD" w:rsidRPr="00641640">
        <w:rPr>
          <w:rFonts w:ascii="Times New Roman" w:hAnsi="Times New Roman" w:cs="Times New Roman"/>
          <w:noProof/>
          <w:sz w:val="24"/>
          <w:szCs w:val="24"/>
          <w:lang w:val="sq-AL"/>
        </w:rPr>
        <w:t>Njëherësh, r</w:t>
      </w:r>
      <w:r w:rsidR="00D732D9" w:rsidRPr="00641640">
        <w:rPr>
          <w:rFonts w:ascii="Times New Roman" w:hAnsi="Times New Roman" w:cs="Times New Roman"/>
          <w:noProof/>
          <w:sz w:val="24"/>
          <w:szCs w:val="24"/>
          <w:lang w:val="sq-AL"/>
        </w:rPr>
        <w:t xml:space="preserve">ishikimi i ligjit nr. 90/2012 </w:t>
      </w:r>
      <w:r w:rsidR="007C1ABD" w:rsidRPr="00641640">
        <w:rPr>
          <w:rFonts w:ascii="Times New Roman" w:hAnsi="Times New Roman" w:cs="Times New Roman"/>
          <w:noProof/>
          <w:sz w:val="24"/>
          <w:szCs w:val="24"/>
          <w:lang w:val="sq-AL"/>
        </w:rPr>
        <w:t xml:space="preserve">duhet të adresojë në mënyrë ezauruese krijimin e një kuadri të qartë llogaridhënieje dhe transparence për planifikimin e punës dhe </w:t>
      </w:r>
      <w:r w:rsidR="00EB445F" w:rsidRPr="00641640">
        <w:rPr>
          <w:rFonts w:ascii="Times New Roman" w:hAnsi="Times New Roman" w:cs="Times New Roman"/>
          <w:noProof/>
          <w:sz w:val="24"/>
          <w:szCs w:val="24"/>
          <w:lang w:val="sq-AL"/>
        </w:rPr>
        <w:t xml:space="preserve">raportimin </w:t>
      </w:r>
      <w:r w:rsidR="007C1ABD" w:rsidRPr="00641640">
        <w:rPr>
          <w:rFonts w:ascii="Times New Roman" w:hAnsi="Times New Roman" w:cs="Times New Roman"/>
          <w:noProof/>
          <w:sz w:val="24"/>
          <w:szCs w:val="24"/>
          <w:lang w:val="sq-AL"/>
        </w:rPr>
        <w:t xml:space="preserve">mbi progresin </w:t>
      </w:r>
      <w:r w:rsidR="00EB445F" w:rsidRPr="00641640">
        <w:rPr>
          <w:rFonts w:ascii="Times New Roman" w:hAnsi="Times New Roman" w:cs="Times New Roman"/>
          <w:noProof/>
          <w:sz w:val="24"/>
          <w:szCs w:val="24"/>
          <w:lang w:val="sq-AL"/>
        </w:rPr>
        <w:t>e saj për ministritë</w:t>
      </w:r>
      <w:r w:rsidR="009D6C2C" w:rsidRPr="00641640">
        <w:rPr>
          <w:rFonts w:ascii="Times New Roman" w:hAnsi="Times New Roman" w:cs="Times New Roman"/>
          <w:noProof/>
          <w:sz w:val="24"/>
          <w:szCs w:val="24"/>
          <w:lang w:val="sq-AL"/>
        </w:rPr>
        <w:t xml:space="preserve"> </w:t>
      </w:r>
      <w:r w:rsidR="00EB445F" w:rsidRPr="00641640">
        <w:rPr>
          <w:rFonts w:ascii="Times New Roman" w:hAnsi="Times New Roman" w:cs="Times New Roman"/>
          <w:noProof/>
          <w:sz w:val="24"/>
          <w:szCs w:val="24"/>
          <w:lang w:val="sq-AL"/>
        </w:rPr>
        <w:t xml:space="preserve">dhe për institucionet </w:t>
      </w:r>
      <w:r w:rsidR="007C1ABD" w:rsidRPr="00641640">
        <w:rPr>
          <w:rFonts w:ascii="Times New Roman" w:hAnsi="Times New Roman" w:cs="Times New Roman"/>
          <w:noProof/>
          <w:sz w:val="24"/>
          <w:szCs w:val="24"/>
          <w:lang w:val="sq-AL"/>
        </w:rPr>
        <w:t>e varësisë</w:t>
      </w:r>
      <w:r w:rsidR="009D6C2C" w:rsidRPr="00641640">
        <w:rPr>
          <w:rFonts w:ascii="Times New Roman" w:hAnsi="Times New Roman" w:cs="Times New Roman"/>
          <w:noProof/>
          <w:sz w:val="24"/>
          <w:szCs w:val="24"/>
          <w:lang w:val="sq-AL"/>
        </w:rPr>
        <w:t>, me fokus t</w:t>
      </w:r>
      <w:r w:rsidR="00414343" w:rsidRPr="00641640">
        <w:rPr>
          <w:rFonts w:ascii="Times New Roman" w:hAnsi="Times New Roman" w:cs="Times New Roman"/>
          <w:noProof/>
          <w:sz w:val="24"/>
          <w:szCs w:val="24"/>
          <w:lang w:val="sq-AL"/>
        </w:rPr>
        <w:t>ë</w:t>
      </w:r>
      <w:r w:rsidR="009D6C2C" w:rsidRPr="00641640">
        <w:rPr>
          <w:rFonts w:ascii="Times New Roman" w:hAnsi="Times New Roman" w:cs="Times New Roman"/>
          <w:noProof/>
          <w:sz w:val="24"/>
          <w:szCs w:val="24"/>
          <w:lang w:val="sq-AL"/>
        </w:rPr>
        <w:t xml:space="preserve"> veçant</w:t>
      </w:r>
      <w:r w:rsidR="00414343" w:rsidRPr="00641640">
        <w:rPr>
          <w:rFonts w:ascii="Times New Roman" w:hAnsi="Times New Roman" w:cs="Times New Roman"/>
          <w:noProof/>
          <w:sz w:val="24"/>
          <w:szCs w:val="24"/>
          <w:lang w:val="sq-AL"/>
        </w:rPr>
        <w:t>ë</w:t>
      </w:r>
      <w:r w:rsidR="009D6C2C" w:rsidRPr="00641640">
        <w:rPr>
          <w:rFonts w:ascii="Times New Roman" w:hAnsi="Times New Roman" w:cs="Times New Roman"/>
          <w:noProof/>
          <w:sz w:val="24"/>
          <w:szCs w:val="24"/>
          <w:lang w:val="sq-AL"/>
        </w:rPr>
        <w:t xml:space="preserve"> nevoj</w:t>
      </w:r>
      <w:r w:rsidR="00414343" w:rsidRPr="00641640">
        <w:rPr>
          <w:rFonts w:ascii="Times New Roman" w:hAnsi="Times New Roman" w:cs="Times New Roman"/>
          <w:noProof/>
          <w:sz w:val="24"/>
          <w:szCs w:val="24"/>
          <w:lang w:val="sq-AL"/>
        </w:rPr>
        <w:t>ë</w:t>
      </w:r>
      <w:r w:rsidR="009D6C2C" w:rsidRPr="00641640">
        <w:rPr>
          <w:rFonts w:ascii="Times New Roman" w:hAnsi="Times New Roman" w:cs="Times New Roman"/>
          <w:noProof/>
          <w:sz w:val="24"/>
          <w:szCs w:val="24"/>
          <w:lang w:val="sq-AL"/>
        </w:rPr>
        <w:t>n p</w:t>
      </w:r>
      <w:r w:rsidR="00414343" w:rsidRPr="00641640">
        <w:rPr>
          <w:rFonts w:ascii="Times New Roman" w:hAnsi="Times New Roman" w:cs="Times New Roman"/>
          <w:noProof/>
          <w:sz w:val="24"/>
          <w:szCs w:val="24"/>
          <w:lang w:val="sq-AL"/>
        </w:rPr>
        <w:t>ë</w:t>
      </w:r>
      <w:r w:rsidR="009D6C2C" w:rsidRPr="00641640">
        <w:rPr>
          <w:rFonts w:ascii="Times New Roman" w:hAnsi="Times New Roman" w:cs="Times New Roman"/>
          <w:noProof/>
          <w:sz w:val="24"/>
          <w:szCs w:val="24"/>
          <w:lang w:val="sq-AL"/>
        </w:rPr>
        <w:t>r p</w:t>
      </w:r>
      <w:r w:rsidR="00414343" w:rsidRPr="00641640">
        <w:rPr>
          <w:rFonts w:ascii="Times New Roman" w:hAnsi="Times New Roman" w:cs="Times New Roman"/>
          <w:noProof/>
          <w:sz w:val="24"/>
          <w:szCs w:val="24"/>
          <w:lang w:val="sq-AL"/>
        </w:rPr>
        <w:t>ë</w:t>
      </w:r>
      <w:r w:rsidR="009D6C2C" w:rsidRPr="00641640">
        <w:rPr>
          <w:rFonts w:ascii="Times New Roman" w:hAnsi="Times New Roman" w:cs="Times New Roman"/>
          <w:noProof/>
          <w:sz w:val="24"/>
          <w:szCs w:val="24"/>
          <w:lang w:val="sq-AL"/>
        </w:rPr>
        <w:t>rmir</w:t>
      </w:r>
      <w:r w:rsidR="00414343" w:rsidRPr="00641640">
        <w:rPr>
          <w:rFonts w:ascii="Times New Roman" w:hAnsi="Times New Roman" w:cs="Times New Roman"/>
          <w:noProof/>
          <w:sz w:val="24"/>
          <w:szCs w:val="24"/>
          <w:lang w:val="sq-AL"/>
        </w:rPr>
        <w:t>ë</w:t>
      </w:r>
      <w:r w:rsidR="009D6C2C" w:rsidRPr="00641640">
        <w:rPr>
          <w:rFonts w:ascii="Times New Roman" w:hAnsi="Times New Roman" w:cs="Times New Roman"/>
          <w:noProof/>
          <w:sz w:val="24"/>
          <w:szCs w:val="24"/>
          <w:lang w:val="sq-AL"/>
        </w:rPr>
        <w:t>simin e kuadrit ligjor p</w:t>
      </w:r>
      <w:r w:rsidR="00414343" w:rsidRPr="00641640">
        <w:rPr>
          <w:rFonts w:ascii="Times New Roman" w:hAnsi="Times New Roman" w:cs="Times New Roman"/>
          <w:noProof/>
          <w:sz w:val="24"/>
          <w:szCs w:val="24"/>
          <w:lang w:val="sq-AL"/>
        </w:rPr>
        <w:t>ë</w:t>
      </w:r>
      <w:r w:rsidR="009D6C2C" w:rsidRPr="00641640">
        <w:rPr>
          <w:rFonts w:ascii="Times New Roman" w:hAnsi="Times New Roman" w:cs="Times New Roman"/>
          <w:noProof/>
          <w:sz w:val="24"/>
          <w:szCs w:val="24"/>
          <w:lang w:val="sq-AL"/>
        </w:rPr>
        <w:t>r garantimin e llogaridh</w:t>
      </w:r>
      <w:r w:rsidR="00414343" w:rsidRPr="00641640">
        <w:rPr>
          <w:rFonts w:ascii="Times New Roman" w:hAnsi="Times New Roman" w:cs="Times New Roman"/>
          <w:noProof/>
          <w:sz w:val="24"/>
          <w:szCs w:val="24"/>
          <w:lang w:val="sq-AL"/>
        </w:rPr>
        <w:t>ë</w:t>
      </w:r>
      <w:r w:rsidR="009D6C2C" w:rsidRPr="00641640">
        <w:rPr>
          <w:rFonts w:ascii="Times New Roman" w:hAnsi="Times New Roman" w:cs="Times New Roman"/>
          <w:noProof/>
          <w:sz w:val="24"/>
          <w:szCs w:val="24"/>
          <w:lang w:val="sq-AL"/>
        </w:rPr>
        <w:t>nies menaxheriale</w:t>
      </w:r>
      <w:r w:rsidR="007C1ABD" w:rsidRPr="00641640">
        <w:rPr>
          <w:rFonts w:ascii="Times New Roman" w:hAnsi="Times New Roman" w:cs="Times New Roman"/>
          <w:noProof/>
          <w:sz w:val="24"/>
          <w:szCs w:val="24"/>
          <w:lang w:val="sq-AL"/>
        </w:rPr>
        <w:t xml:space="preserve">. Puna duhet të vijojë edhe në drejtim të garantimit të llogaridhënies së jashtme nga institucionet </w:t>
      </w:r>
      <w:r w:rsidR="00EB445F" w:rsidRPr="00641640">
        <w:rPr>
          <w:rFonts w:ascii="Times New Roman" w:hAnsi="Times New Roman" w:cs="Times New Roman"/>
          <w:noProof/>
          <w:sz w:val="24"/>
          <w:szCs w:val="24"/>
          <w:lang w:val="sq-AL"/>
        </w:rPr>
        <w:t xml:space="preserve">e pavarura mbikëqyrëse, duke nxitur </w:t>
      </w:r>
      <w:r w:rsidR="007C1ABD" w:rsidRPr="00641640">
        <w:rPr>
          <w:rFonts w:ascii="Times New Roman" w:hAnsi="Times New Roman" w:cs="Times New Roman"/>
          <w:noProof/>
          <w:sz w:val="24"/>
          <w:szCs w:val="24"/>
          <w:lang w:val="sq-AL"/>
        </w:rPr>
        <w:t xml:space="preserve">institucionet publike </w:t>
      </w:r>
      <w:r w:rsidR="00EB445F" w:rsidRPr="00641640">
        <w:rPr>
          <w:rFonts w:ascii="Times New Roman" w:hAnsi="Times New Roman" w:cs="Times New Roman"/>
          <w:noProof/>
          <w:sz w:val="24"/>
          <w:szCs w:val="24"/>
          <w:lang w:val="sq-AL"/>
        </w:rPr>
        <w:t>që dështojnë sistematikisht të përgjigjen ose të zbatojnë rekomandimet e tyre</w:t>
      </w:r>
      <w:r w:rsidR="009D6C2C" w:rsidRPr="00641640">
        <w:rPr>
          <w:rFonts w:ascii="Times New Roman" w:hAnsi="Times New Roman" w:cs="Times New Roman"/>
          <w:noProof/>
          <w:sz w:val="24"/>
          <w:szCs w:val="24"/>
          <w:lang w:val="sq-AL"/>
        </w:rPr>
        <w:t>. N</w:t>
      </w:r>
      <w:r w:rsidR="00414343" w:rsidRPr="00641640">
        <w:rPr>
          <w:rFonts w:ascii="Times New Roman" w:hAnsi="Times New Roman" w:cs="Times New Roman"/>
          <w:noProof/>
          <w:sz w:val="24"/>
          <w:szCs w:val="24"/>
          <w:lang w:val="sq-AL"/>
        </w:rPr>
        <w:t>ë</w:t>
      </w:r>
      <w:r w:rsidR="009D6C2C" w:rsidRPr="00641640">
        <w:rPr>
          <w:rFonts w:ascii="Times New Roman" w:hAnsi="Times New Roman" w:cs="Times New Roman"/>
          <w:noProof/>
          <w:sz w:val="24"/>
          <w:szCs w:val="24"/>
          <w:lang w:val="sq-AL"/>
        </w:rPr>
        <w:t xml:space="preserve"> k</w:t>
      </w:r>
      <w:r w:rsidR="00414343" w:rsidRPr="00641640">
        <w:rPr>
          <w:rFonts w:ascii="Times New Roman" w:hAnsi="Times New Roman" w:cs="Times New Roman"/>
          <w:noProof/>
          <w:sz w:val="24"/>
          <w:szCs w:val="24"/>
          <w:lang w:val="sq-AL"/>
        </w:rPr>
        <w:t>ë</w:t>
      </w:r>
      <w:r w:rsidR="009D6C2C" w:rsidRPr="00641640">
        <w:rPr>
          <w:rFonts w:ascii="Times New Roman" w:hAnsi="Times New Roman" w:cs="Times New Roman"/>
          <w:noProof/>
          <w:sz w:val="24"/>
          <w:szCs w:val="24"/>
          <w:lang w:val="sq-AL"/>
        </w:rPr>
        <w:t>t</w:t>
      </w:r>
      <w:r w:rsidR="00414343" w:rsidRPr="00641640">
        <w:rPr>
          <w:rFonts w:ascii="Times New Roman" w:hAnsi="Times New Roman" w:cs="Times New Roman"/>
          <w:noProof/>
          <w:sz w:val="24"/>
          <w:szCs w:val="24"/>
          <w:lang w:val="sq-AL"/>
        </w:rPr>
        <w:t>ë</w:t>
      </w:r>
      <w:r w:rsidR="009D6C2C" w:rsidRPr="00641640">
        <w:rPr>
          <w:rFonts w:ascii="Times New Roman" w:hAnsi="Times New Roman" w:cs="Times New Roman"/>
          <w:noProof/>
          <w:sz w:val="24"/>
          <w:szCs w:val="24"/>
          <w:lang w:val="sq-AL"/>
        </w:rPr>
        <w:t xml:space="preserve"> proces, Kuvendi dhe administrata publike duhet t</w:t>
      </w:r>
      <w:r w:rsidR="00414343" w:rsidRPr="00641640">
        <w:rPr>
          <w:rFonts w:ascii="Times New Roman" w:hAnsi="Times New Roman" w:cs="Times New Roman"/>
          <w:noProof/>
          <w:sz w:val="24"/>
          <w:szCs w:val="24"/>
          <w:lang w:val="sq-AL"/>
        </w:rPr>
        <w:t>ë</w:t>
      </w:r>
      <w:r w:rsidR="009D6C2C" w:rsidRPr="00641640">
        <w:rPr>
          <w:rFonts w:ascii="Times New Roman" w:hAnsi="Times New Roman" w:cs="Times New Roman"/>
          <w:noProof/>
          <w:sz w:val="24"/>
          <w:szCs w:val="24"/>
          <w:lang w:val="sq-AL"/>
        </w:rPr>
        <w:t xml:space="preserve"> rrisin bashk</w:t>
      </w:r>
      <w:r w:rsidR="00414343" w:rsidRPr="00641640">
        <w:rPr>
          <w:rFonts w:ascii="Times New Roman" w:hAnsi="Times New Roman" w:cs="Times New Roman"/>
          <w:noProof/>
          <w:sz w:val="24"/>
          <w:szCs w:val="24"/>
          <w:lang w:val="sq-AL"/>
        </w:rPr>
        <w:t>ë</w:t>
      </w:r>
      <w:r w:rsidR="009D6C2C" w:rsidRPr="00641640">
        <w:rPr>
          <w:rFonts w:ascii="Times New Roman" w:hAnsi="Times New Roman" w:cs="Times New Roman"/>
          <w:noProof/>
          <w:sz w:val="24"/>
          <w:szCs w:val="24"/>
          <w:lang w:val="sq-AL"/>
        </w:rPr>
        <w:t>punimin, me synim rritjen e numrit t</w:t>
      </w:r>
      <w:r w:rsidR="00414343" w:rsidRPr="00641640">
        <w:rPr>
          <w:rFonts w:ascii="Times New Roman" w:hAnsi="Times New Roman" w:cs="Times New Roman"/>
          <w:noProof/>
          <w:sz w:val="24"/>
          <w:szCs w:val="24"/>
          <w:lang w:val="sq-AL"/>
        </w:rPr>
        <w:t>ë</w:t>
      </w:r>
      <w:r w:rsidR="009D6C2C" w:rsidRPr="00641640">
        <w:rPr>
          <w:rFonts w:ascii="Times New Roman" w:hAnsi="Times New Roman" w:cs="Times New Roman"/>
          <w:noProof/>
          <w:sz w:val="24"/>
          <w:szCs w:val="24"/>
          <w:lang w:val="sq-AL"/>
        </w:rPr>
        <w:t xml:space="preserve"> rekomandimeve t</w:t>
      </w:r>
      <w:r w:rsidR="00414343" w:rsidRPr="00641640">
        <w:rPr>
          <w:rFonts w:ascii="Times New Roman" w:hAnsi="Times New Roman" w:cs="Times New Roman"/>
          <w:noProof/>
          <w:sz w:val="24"/>
          <w:szCs w:val="24"/>
          <w:lang w:val="sq-AL"/>
        </w:rPr>
        <w:t>ë</w:t>
      </w:r>
      <w:r w:rsidR="009D6C2C" w:rsidRPr="00641640">
        <w:rPr>
          <w:rFonts w:ascii="Times New Roman" w:hAnsi="Times New Roman" w:cs="Times New Roman"/>
          <w:noProof/>
          <w:sz w:val="24"/>
          <w:szCs w:val="24"/>
          <w:lang w:val="sq-AL"/>
        </w:rPr>
        <w:t xml:space="preserve"> zbatuara.</w:t>
      </w:r>
    </w:p>
    <w:p w14:paraId="55B162FA" w14:textId="48264FA6" w:rsidR="00EB445F" w:rsidRPr="00641640" w:rsidRDefault="0047045B" w:rsidP="003A395D">
      <w:pPr>
        <w:spacing w:line="276" w:lineRule="auto"/>
        <w:contextualSpacing/>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kuad</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t</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pun</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 p</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institucione publike të hapura dhe transparente, v</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mendje e vijueshme duhet t’i dedikohet plot</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simit t</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kuadrit rregullator p</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garantimin n</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praktik</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drejt</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 p</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informim, si dhe konsolidimit t</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qasjes proaktive t</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autoriteteteve publike p</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publikimin e informacionit zyrtar dhe kthimin e p</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rgjigjeve kundrejt k</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rkesave t</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qytetar</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ve dhe bizneseve. </w:t>
      </w:r>
      <w:r w:rsidR="009D6C2C" w:rsidRPr="00641640">
        <w:rPr>
          <w:rFonts w:ascii="Times New Roman" w:hAnsi="Times New Roman" w:cs="Times New Roman"/>
          <w:noProof/>
          <w:sz w:val="24"/>
          <w:szCs w:val="24"/>
          <w:lang w:val="sq-AL"/>
        </w:rPr>
        <w:t>Funksionimi i procedurave administrative duhet të trajtohet si një tjetër dimension kyç, përmes mbledhjes dhe  analizimit të rregullt të të dhënave mbi kohëzgjatjen, numrin e apelimeve dhe rezultatet e çështjeve gjyqësore, me synim identifikimin e sfidave dhe ndërmarrjen e masave të nevojshme për t’i adresuar ato.</w:t>
      </w:r>
    </w:p>
    <w:p w14:paraId="32A80DD1" w14:textId="77777777" w:rsidR="0047045B" w:rsidRPr="00641640" w:rsidRDefault="0047045B" w:rsidP="003A395D">
      <w:pPr>
        <w:spacing w:line="276" w:lineRule="auto"/>
        <w:contextualSpacing/>
        <w:jc w:val="both"/>
        <w:rPr>
          <w:rFonts w:ascii="Times New Roman" w:hAnsi="Times New Roman" w:cs="Times New Roman"/>
          <w:noProof/>
          <w:sz w:val="24"/>
          <w:szCs w:val="24"/>
          <w:lang w:val="sq-AL"/>
        </w:rPr>
      </w:pPr>
    </w:p>
    <w:p w14:paraId="53CAEE42" w14:textId="54425BB8" w:rsidR="00907A7C" w:rsidRPr="00641640" w:rsidRDefault="0047045B" w:rsidP="003A395D">
      <w:pPr>
        <w:spacing w:line="276" w:lineRule="auto"/>
        <w:contextualSpacing/>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Duke konsideruar r</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nd</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sin</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e integritetit dhe etik</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 s</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stafeve dhe proceseve n</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vizionin e gjer</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nd</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rtimit t</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institucioneve llogaridh</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n</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se, </w:t>
      </w:r>
      <w:r w:rsidR="00C926C0" w:rsidRPr="00641640">
        <w:rPr>
          <w:rFonts w:ascii="Times New Roman" w:hAnsi="Times New Roman" w:cs="Times New Roman"/>
          <w:noProof/>
          <w:sz w:val="24"/>
          <w:szCs w:val="24"/>
          <w:lang w:val="sq-AL"/>
        </w:rPr>
        <w:t>masat e parashikuara n</w:t>
      </w:r>
      <w:r w:rsidR="00A70EFE" w:rsidRPr="00641640">
        <w:rPr>
          <w:rFonts w:ascii="Times New Roman" w:hAnsi="Times New Roman" w:cs="Times New Roman"/>
          <w:noProof/>
          <w:sz w:val="24"/>
          <w:szCs w:val="24"/>
          <w:lang w:val="sq-AL"/>
        </w:rPr>
        <w:t>ë</w:t>
      </w:r>
      <w:r w:rsidR="00C926C0" w:rsidRPr="00641640">
        <w:rPr>
          <w:rFonts w:ascii="Times New Roman" w:hAnsi="Times New Roman" w:cs="Times New Roman"/>
          <w:noProof/>
          <w:sz w:val="24"/>
          <w:szCs w:val="24"/>
          <w:lang w:val="sq-AL"/>
        </w:rPr>
        <w:t>n SNRAP 202</w:t>
      </w:r>
      <w:r w:rsidR="007E7521" w:rsidRPr="00641640">
        <w:rPr>
          <w:rFonts w:ascii="Times New Roman" w:hAnsi="Times New Roman" w:cs="Times New Roman"/>
          <w:noProof/>
          <w:sz w:val="24"/>
          <w:szCs w:val="24"/>
          <w:lang w:val="sq-AL"/>
        </w:rPr>
        <w:t>5</w:t>
      </w:r>
      <w:r w:rsidR="00C926C0" w:rsidRPr="00641640">
        <w:rPr>
          <w:rFonts w:ascii="Times New Roman" w:hAnsi="Times New Roman" w:cs="Times New Roman"/>
          <w:noProof/>
          <w:sz w:val="24"/>
          <w:szCs w:val="24"/>
          <w:lang w:val="sq-AL"/>
        </w:rPr>
        <w:t>-2030 duhet t</w:t>
      </w:r>
      <w:r w:rsidR="00A70EFE" w:rsidRPr="00641640">
        <w:rPr>
          <w:rFonts w:ascii="Times New Roman" w:hAnsi="Times New Roman" w:cs="Times New Roman"/>
          <w:noProof/>
          <w:sz w:val="24"/>
          <w:szCs w:val="24"/>
          <w:lang w:val="sq-AL"/>
        </w:rPr>
        <w:t>ë</w:t>
      </w:r>
      <w:r w:rsidR="00C926C0" w:rsidRPr="00641640">
        <w:rPr>
          <w:rFonts w:ascii="Times New Roman" w:hAnsi="Times New Roman" w:cs="Times New Roman"/>
          <w:noProof/>
          <w:sz w:val="24"/>
          <w:szCs w:val="24"/>
          <w:lang w:val="sq-AL"/>
        </w:rPr>
        <w:t xml:space="preserve"> garantojn</w:t>
      </w:r>
      <w:r w:rsidR="00A70EFE" w:rsidRPr="00641640">
        <w:rPr>
          <w:rFonts w:ascii="Times New Roman" w:hAnsi="Times New Roman" w:cs="Times New Roman"/>
          <w:noProof/>
          <w:sz w:val="24"/>
          <w:szCs w:val="24"/>
          <w:lang w:val="sq-AL"/>
        </w:rPr>
        <w:t>ë</w:t>
      </w:r>
      <w:r w:rsidR="00C926C0" w:rsidRPr="00641640">
        <w:rPr>
          <w:rFonts w:ascii="Times New Roman" w:hAnsi="Times New Roman" w:cs="Times New Roman"/>
          <w:noProof/>
          <w:sz w:val="24"/>
          <w:szCs w:val="24"/>
          <w:lang w:val="sq-AL"/>
        </w:rPr>
        <w:t xml:space="preserve"> komplementaritet me parashikimet e Strategjis</w:t>
      </w:r>
      <w:r w:rsidR="00A70EFE" w:rsidRPr="00641640">
        <w:rPr>
          <w:rFonts w:ascii="Times New Roman" w:hAnsi="Times New Roman" w:cs="Times New Roman"/>
          <w:noProof/>
          <w:sz w:val="24"/>
          <w:szCs w:val="24"/>
          <w:lang w:val="sq-AL"/>
        </w:rPr>
        <w:t>ë</w:t>
      </w:r>
      <w:r w:rsidR="00C926C0" w:rsidRPr="00641640">
        <w:rPr>
          <w:rFonts w:ascii="Times New Roman" w:hAnsi="Times New Roman" w:cs="Times New Roman"/>
          <w:noProof/>
          <w:sz w:val="24"/>
          <w:szCs w:val="24"/>
          <w:lang w:val="sq-AL"/>
        </w:rPr>
        <w:t xml:space="preserve"> Nd</w:t>
      </w:r>
      <w:r w:rsidR="00A70EFE" w:rsidRPr="00641640">
        <w:rPr>
          <w:rFonts w:ascii="Times New Roman" w:hAnsi="Times New Roman" w:cs="Times New Roman"/>
          <w:noProof/>
          <w:sz w:val="24"/>
          <w:szCs w:val="24"/>
          <w:lang w:val="sq-AL"/>
        </w:rPr>
        <w:t>ë</w:t>
      </w:r>
      <w:r w:rsidR="00C926C0" w:rsidRPr="00641640">
        <w:rPr>
          <w:rFonts w:ascii="Times New Roman" w:hAnsi="Times New Roman" w:cs="Times New Roman"/>
          <w:noProof/>
          <w:sz w:val="24"/>
          <w:szCs w:val="24"/>
          <w:lang w:val="sq-AL"/>
        </w:rPr>
        <w:t>rsektoriale Kund</w:t>
      </w:r>
      <w:r w:rsidR="00A70EFE" w:rsidRPr="00641640">
        <w:rPr>
          <w:rFonts w:ascii="Times New Roman" w:hAnsi="Times New Roman" w:cs="Times New Roman"/>
          <w:noProof/>
          <w:sz w:val="24"/>
          <w:szCs w:val="24"/>
          <w:lang w:val="sq-AL"/>
        </w:rPr>
        <w:t>ë</w:t>
      </w:r>
      <w:r w:rsidR="00C926C0" w:rsidRPr="00641640">
        <w:rPr>
          <w:rFonts w:ascii="Times New Roman" w:hAnsi="Times New Roman" w:cs="Times New Roman"/>
          <w:noProof/>
          <w:sz w:val="24"/>
          <w:szCs w:val="24"/>
          <w:lang w:val="sq-AL"/>
        </w:rPr>
        <w:t xml:space="preserve">r Korrupsionit </w:t>
      </w:r>
      <w:r w:rsidR="00216DB4" w:rsidRPr="00641640">
        <w:rPr>
          <w:rFonts w:ascii="Times New Roman" w:hAnsi="Times New Roman" w:cs="Times New Roman"/>
          <w:noProof/>
          <w:sz w:val="24"/>
          <w:szCs w:val="24"/>
          <w:lang w:val="sq-AL"/>
        </w:rPr>
        <w:t xml:space="preserve">2024-2030 </w:t>
      </w:r>
      <w:r w:rsidR="00C926C0" w:rsidRPr="00641640">
        <w:rPr>
          <w:rFonts w:ascii="Times New Roman" w:hAnsi="Times New Roman" w:cs="Times New Roman"/>
          <w:noProof/>
          <w:sz w:val="24"/>
          <w:szCs w:val="24"/>
          <w:lang w:val="sq-AL"/>
        </w:rPr>
        <w:t>p</w:t>
      </w:r>
      <w:r w:rsidR="00A70EFE" w:rsidRPr="00641640">
        <w:rPr>
          <w:rFonts w:ascii="Times New Roman" w:hAnsi="Times New Roman" w:cs="Times New Roman"/>
          <w:noProof/>
          <w:sz w:val="24"/>
          <w:szCs w:val="24"/>
          <w:lang w:val="sq-AL"/>
        </w:rPr>
        <w:t>ë</w:t>
      </w:r>
      <w:r w:rsidR="00C926C0" w:rsidRPr="00641640">
        <w:rPr>
          <w:rFonts w:ascii="Times New Roman" w:hAnsi="Times New Roman" w:cs="Times New Roman"/>
          <w:noProof/>
          <w:sz w:val="24"/>
          <w:szCs w:val="24"/>
          <w:lang w:val="sq-AL"/>
        </w:rPr>
        <w:t>r t</w:t>
      </w:r>
      <w:r w:rsidR="00A70EFE" w:rsidRPr="00641640">
        <w:rPr>
          <w:rFonts w:ascii="Times New Roman" w:hAnsi="Times New Roman" w:cs="Times New Roman"/>
          <w:noProof/>
          <w:sz w:val="24"/>
          <w:szCs w:val="24"/>
          <w:lang w:val="sq-AL"/>
        </w:rPr>
        <w:t>ë</w:t>
      </w:r>
      <w:r w:rsidR="00C926C0" w:rsidRPr="00641640">
        <w:rPr>
          <w:rFonts w:ascii="Times New Roman" w:hAnsi="Times New Roman" w:cs="Times New Roman"/>
          <w:noProof/>
          <w:sz w:val="24"/>
          <w:szCs w:val="24"/>
          <w:lang w:val="sq-AL"/>
        </w:rPr>
        <w:t xml:space="preserve"> adresuar </w:t>
      </w:r>
      <w:r w:rsidR="00EB445F" w:rsidRPr="00641640">
        <w:rPr>
          <w:rFonts w:ascii="Times New Roman" w:hAnsi="Times New Roman" w:cs="Times New Roman"/>
          <w:noProof/>
          <w:sz w:val="24"/>
          <w:szCs w:val="24"/>
          <w:lang w:val="sq-AL"/>
        </w:rPr>
        <w:t>sfidat ndaj integritetit të sektorit publik</w:t>
      </w:r>
      <w:r w:rsidR="00737917" w:rsidRPr="00641640">
        <w:rPr>
          <w:rFonts w:ascii="Times New Roman" w:hAnsi="Times New Roman" w:cs="Times New Roman"/>
          <w:noProof/>
          <w:sz w:val="24"/>
          <w:szCs w:val="24"/>
          <w:lang w:val="sq-AL"/>
        </w:rPr>
        <w:t>. Plot</w:t>
      </w:r>
      <w:r w:rsidR="00A70EFE" w:rsidRPr="00641640">
        <w:rPr>
          <w:rFonts w:ascii="Times New Roman" w:hAnsi="Times New Roman" w:cs="Times New Roman"/>
          <w:noProof/>
          <w:sz w:val="24"/>
          <w:szCs w:val="24"/>
          <w:lang w:val="sq-AL"/>
        </w:rPr>
        <w:t>ë</w:t>
      </w:r>
      <w:r w:rsidR="00737917" w:rsidRPr="00641640">
        <w:rPr>
          <w:rFonts w:ascii="Times New Roman" w:hAnsi="Times New Roman" w:cs="Times New Roman"/>
          <w:noProof/>
          <w:sz w:val="24"/>
          <w:szCs w:val="24"/>
          <w:lang w:val="sq-AL"/>
        </w:rPr>
        <w:t>simi i kuadrit rregullator</w:t>
      </w:r>
      <w:r w:rsidR="00EB445F" w:rsidRPr="00641640">
        <w:rPr>
          <w:rFonts w:ascii="Times New Roman" w:hAnsi="Times New Roman" w:cs="Times New Roman"/>
          <w:noProof/>
          <w:sz w:val="24"/>
          <w:szCs w:val="24"/>
          <w:lang w:val="sq-AL"/>
        </w:rPr>
        <w:t xml:space="preserve"> </w:t>
      </w:r>
      <w:r w:rsidR="00737917" w:rsidRPr="00641640">
        <w:rPr>
          <w:rFonts w:ascii="Times New Roman" w:hAnsi="Times New Roman" w:cs="Times New Roman"/>
          <w:noProof/>
          <w:sz w:val="24"/>
          <w:szCs w:val="24"/>
          <w:lang w:val="sq-AL"/>
        </w:rPr>
        <w:t>p</w:t>
      </w:r>
      <w:r w:rsidR="00A70EFE" w:rsidRPr="00641640">
        <w:rPr>
          <w:rFonts w:ascii="Times New Roman" w:hAnsi="Times New Roman" w:cs="Times New Roman"/>
          <w:noProof/>
          <w:sz w:val="24"/>
          <w:szCs w:val="24"/>
          <w:lang w:val="sq-AL"/>
        </w:rPr>
        <w:t>ë</w:t>
      </w:r>
      <w:r w:rsidR="00737917" w:rsidRPr="00641640">
        <w:rPr>
          <w:rFonts w:ascii="Times New Roman" w:hAnsi="Times New Roman" w:cs="Times New Roman"/>
          <w:noProof/>
          <w:sz w:val="24"/>
          <w:szCs w:val="24"/>
          <w:lang w:val="sq-AL"/>
        </w:rPr>
        <w:t>r zbatimin e rregullave t</w:t>
      </w:r>
      <w:r w:rsidR="00A70EFE" w:rsidRPr="00641640">
        <w:rPr>
          <w:rFonts w:ascii="Times New Roman" w:hAnsi="Times New Roman" w:cs="Times New Roman"/>
          <w:noProof/>
          <w:sz w:val="24"/>
          <w:szCs w:val="24"/>
          <w:lang w:val="sq-AL"/>
        </w:rPr>
        <w:t>ë</w:t>
      </w:r>
      <w:r w:rsidR="00737917" w:rsidRPr="00641640">
        <w:rPr>
          <w:rFonts w:ascii="Times New Roman" w:hAnsi="Times New Roman" w:cs="Times New Roman"/>
          <w:noProof/>
          <w:sz w:val="24"/>
          <w:szCs w:val="24"/>
          <w:lang w:val="sq-AL"/>
        </w:rPr>
        <w:t xml:space="preserve"> etik</w:t>
      </w:r>
      <w:r w:rsidR="00A70EFE" w:rsidRPr="00641640">
        <w:rPr>
          <w:rFonts w:ascii="Times New Roman" w:hAnsi="Times New Roman" w:cs="Times New Roman"/>
          <w:noProof/>
          <w:sz w:val="24"/>
          <w:szCs w:val="24"/>
          <w:lang w:val="sq-AL"/>
        </w:rPr>
        <w:t>ë</w:t>
      </w:r>
      <w:r w:rsidR="00737917" w:rsidRPr="00641640">
        <w:rPr>
          <w:rFonts w:ascii="Times New Roman" w:hAnsi="Times New Roman" w:cs="Times New Roman"/>
          <w:noProof/>
          <w:sz w:val="24"/>
          <w:szCs w:val="24"/>
          <w:lang w:val="sq-AL"/>
        </w:rPr>
        <w:t>s dhe rritja e kapaciteteve institucionale t</w:t>
      </w:r>
      <w:r w:rsidR="00A70EFE" w:rsidRPr="00641640">
        <w:rPr>
          <w:rFonts w:ascii="Times New Roman" w:hAnsi="Times New Roman" w:cs="Times New Roman"/>
          <w:noProof/>
          <w:sz w:val="24"/>
          <w:szCs w:val="24"/>
          <w:lang w:val="sq-AL"/>
        </w:rPr>
        <w:t>ë</w:t>
      </w:r>
      <w:r w:rsidR="00737917" w:rsidRPr="00641640">
        <w:rPr>
          <w:rFonts w:ascii="Times New Roman" w:hAnsi="Times New Roman" w:cs="Times New Roman"/>
          <w:noProof/>
          <w:sz w:val="24"/>
          <w:szCs w:val="24"/>
          <w:lang w:val="sq-AL"/>
        </w:rPr>
        <w:t xml:space="preserve"> Nj</w:t>
      </w:r>
      <w:r w:rsidR="00A70EFE" w:rsidRPr="00641640">
        <w:rPr>
          <w:rFonts w:ascii="Times New Roman" w:hAnsi="Times New Roman" w:cs="Times New Roman"/>
          <w:noProof/>
          <w:sz w:val="24"/>
          <w:szCs w:val="24"/>
          <w:lang w:val="sq-AL"/>
        </w:rPr>
        <w:t>ë</w:t>
      </w:r>
      <w:r w:rsidR="00737917" w:rsidRPr="00641640">
        <w:rPr>
          <w:rFonts w:ascii="Times New Roman" w:hAnsi="Times New Roman" w:cs="Times New Roman"/>
          <w:noProof/>
          <w:sz w:val="24"/>
          <w:szCs w:val="24"/>
          <w:lang w:val="sq-AL"/>
        </w:rPr>
        <w:t>sive t</w:t>
      </w:r>
      <w:r w:rsidR="00A70EFE" w:rsidRPr="00641640">
        <w:rPr>
          <w:rFonts w:ascii="Times New Roman" w:hAnsi="Times New Roman" w:cs="Times New Roman"/>
          <w:noProof/>
          <w:sz w:val="24"/>
          <w:szCs w:val="24"/>
          <w:lang w:val="sq-AL"/>
        </w:rPr>
        <w:t>ë</w:t>
      </w:r>
      <w:r w:rsidR="00737917" w:rsidRPr="00641640">
        <w:rPr>
          <w:rFonts w:ascii="Times New Roman" w:hAnsi="Times New Roman" w:cs="Times New Roman"/>
          <w:noProof/>
          <w:sz w:val="24"/>
          <w:szCs w:val="24"/>
          <w:lang w:val="sq-AL"/>
        </w:rPr>
        <w:t xml:space="preserve"> Burimeve Njer</w:t>
      </w:r>
      <w:r w:rsidR="00A70EFE" w:rsidRPr="00641640">
        <w:rPr>
          <w:rFonts w:ascii="Times New Roman" w:hAnsi="Times New Roman" w:cs="Times New Roman"/>
          <w:noProof/>
          <w:sz w:val="24"/>
          <w:szCs w:val="24"/>
          <w:lang w:val="sq-AL"/>
        </w:rPr>
        <w:t>ë</w:t>
      </w:r>
      <w:r w:rsidR="00737917" w:rsidRPr="00641640">
        <w:rPr>
          <w:rFonts w:ascii="Times New Roman" w:hAnsi="Times New Roman" w:cs="Times New Roman"/>
          <w:noProof/>
          <w:sz w:val="24"/>
          <w:szCs w:val="24"/>
          <w:lang w:val="sq-AL"/>
        </w:rPr>
        <w:t>zore p</w:t>
      </w:r>
      <w:r w:rsidR="00A70EFE" w:rsidRPr="00641640">
        <w:rPr>
          <w:rFonts w:ascii="Times New Roman" w:hAnsi="Times New Roman" w:cs="Times New Roman"/>
          <w:noProof/>
          <w:sz w:val="24"/>
          <w:szCs w:val="24"/>
          <w:lang w:val="sq-AL"/>
        </w:rPr>
        <w:t>ë</w:t>
      </w:r>
      <w:r w:rsidR="00737917" w:rsidRPr="00641640">
        <w:rPr>
          <w:rFonts w:ascii="Times New Roman" w:hAnsi="Times New Roman" w:cs="Times New Roman"/>
          <w:noProof/>
          <w:sz w:val="24"/>
          <w:szCs w:val="24"/>
          <w:lang w:val="sq-AL"/>
        </w:rPr>
        <w:t>r t</w:t>
      </w:r>
      <w:r w:rsidR="00A70EFE" w:rsidRPr="00641640">
        <w:rPr>
          <w:rFonts w:ascii="Times New Roman" w:hAnsi="Times New Roman" w:cs="Times New Roman"/>
          <w:noProof/>
          <w:sz w:val="24"/>
          <w:szCs w:val="24"/>
          <w:lang w:val="sq-AL"/>
        </w:rPr>
        <w:t>ë</w:t>
      </w:r>
      <w:r w:rsidR="00737917" w:rsidRPr="00641640">
        <w:rPr>
          <w:rFonts w:ascii="Times New Roman" w:hAnsi="Times New Roman" w:cs="Times New Roman"/>
          <w:noProof/>
          <w:sz w:val="24"/>
          <w:szCs w:val="24"/>
          <w:lang w:val="sq-AL"/>
        </w:rPr>
        <w:t xml:space="preserve"> monitoruar zbatimin e tyre duhet t</w:t>
      </w:r>
      <w:r w:rsidR="00A70EFE" w:rsidRPr="00641640">
        <w:rPr>
          <w:rFonts w:ascii="Times New Roman" w:hAnsi="Times New Roman" w:cs="Times New Roman"/>
          <w:noProof/>
          <w:sz w:val="24"/>
          <w:szCs w:val="24"/>
          <w:lang w:val="sq-AL"/>
        </w:rPr>
        <w:t>ë</w:t>
      </w:r>
      <w:r w:rsidR="00737917" w:rsidRPr="00641640">
        <w:rPr>
          <w:rFonts w:ascii="Times New Roman" w:hAnsi="Times New Roman" w:cs="Times New Roman"/>
          <w:noProof/>
          <w:sz w:val="24"/>
          <w:szCs w:val="24"/>
          <w:lang w:val="sq-AL"/>
        </w:rPr>
        <w:t xml:space="preserve"> marrin fokus t</w:t>
      </w:r>
      <w:r w:rsidR="00A70EFE" w:rsidRPr="00641640">
        <w:rPr>
          <w:rFonts w:ascii="Times New Roman" w:hAnsi="Times New Roman" w:cs="Times New Roman"/>
          <w:noProof/>
          <w:sz w:val="24"/>
          <w:szCs w:val="24"/>
          <w:lang w:val="sq-AL"/>
        </w:rPr>
        <w:t>ë</w:t>
      </w:r>
      <w:r w:rsidR="00737917" w:rsidRPr="00641640">
        <w:rPr>
          <w:rFonts w:ascii="Times New Roman" w:hAnsi="Times New Roman" w:cs="Times New Roman"/>
          <w:noProof/>
          <w:sz w:val="24"/>
          <w:szCs w:val="24"/>
          <w:lang w:val="sq-AL"/>
        </w:rPr>
        <w:t xml:space="preserve"> veçant</w:t>
      </w:r>
      <w:r w:rsidR="00A70EFE" w:rsidRPr="00641640">
        <w:rPr>
          <w:rFonts w:ascii="Times New Roman" w:hAnsi="Times New Roman" w:cs="Times New Roman"/>
          <w:noProof/>
          <w:sz w:val="24"/>
          <w:szCs w:val="24"/>
          <w:lang w:val="sq-AL"/>
        </w:rPr>
        <w:t>ë</w:t>
      </w:r>
      <w:r w:rsidR="00737917" w:rsidRPr="00641640">
        <w:rPr>
          <w:rFonts w:ascii="Times New Roman" w:hAnsi="Times New Roman" w:cs="Times New Roman"/>
          <w:noProof/>
          <w:sz w:val="24"/>
          <w:szCs w:val="24"/>
          <w:lang w:val="sq-AL"/>
        </w:rPr>
        <w:t xml:space="preserve"> n</w:t>
      </w:r>
      <w:r w:rsidR="00A70EFE" w:rsidRPr="00641640">
        <w:rPr>
          <w:rFonts w:ascii="Times New Roman" w:hAnsi="Times New Roman" w:cs="Times New Roman"/>
          <w:noProof/>
          <w:sz w:val="24"/>
          <w:szCs w:val="24"/>
          <w:lang w:val="sq-AL"/>
        </w:rPr>
        <w:t>ë</w:t>
      </w:r>
      <w:r w:rsidR="00737917" w:rsidRPr="00641640">
        <w:rPr>
          <w:rFonts w:ascii="Times New Roman" w:hAnsi="Times New Roman" w:cs="Times New Roman"/>
          <w:noProof/>
          <w:sz w:val="24"/>
          <w:szCs w:val="24"/>
          <w:lang w:val="sq-AL"/>
        </w:rPr>
        <w:t xml:space="preserve"> k</w:t>
      </w:r>
      <w:r w:rsidR="00A70EFE" w:rsidRPr="00641640">
        <w:rPr>
          <w:rFonts w:ascii="Times New Roman" w:hAnsi="Times New Roman" w:cs="Times New Roman"/>
          <w:noProof/>
          <w:sz w:val="24"/>
          <w:szCs w:val="24"/>
          <w:lang w:val="sq-AL"/>
        </w:rPr>
        <w:t>ë</w:t>
      </w:r>
      <w:r w:rsidR="00737917" w:rsidRPr="00641640">
        <w:rPr>
          <w:rFonts w:ascii="Times New Roman" w:hAnsi="Times New Roman" w:cs="Times New Roman"/>
          <w:noProof/>
          <w:sz w:val="24"/>
          <w:szCs w:val="24"/>
          <w:lang w:val="sq-AL"/>
        </w:rPr>
        <w:t>t</w:t>
      </w:r>
      <w:r w:rsidR="00A70EFE" w:rsidRPr="00641640">
        <w:rPr>
          <w:rFonts w:ascii="Times New Roman" w:hAnsi="Times New Roman" w:cs="Times New Roman"/>
          <w:noProof/>
          <w:sz w:val="24"/>
          <w:szCs w:val="24"/>
          <w:lang w:val="sq-AL"/>
        </w:rPr>
        <w:t>ë</w:t>
      </w:r>
      <w:r w:rsidR="00737917" w:rsidRPr="00641640">
        <w:rPr>
          <w:rFonts w:ascii="Times New Roman" w:hAnsi="Times New Roman" w:cs="Times New Roman"/>
          <w:noProof/>
          <w:sz w:val="24"/>
          <w:szCs w:val="24"/>
          <w:lang w:val="sq-AL"/>
        </w:rPr>
        <w:t xml:space="preserve"> drejtim.</w:t>
      </w:r>
    </w:p>
    <w:p w14:paraId="75AC6F08" w14:textId="75A31C4E" w:rsidR="006A58E7" w:rsidRDefault="006A58E7" w:rsidP="003A395D">
      <w:pPr>
        <w:spacing w:line="276" w:lineRule="auto"/>
        <w:contextualSpacing/>
        <w:jc w:val="both"/>
        <w:rPr>
          <w:rFonts w:ascii="Times New Roman" w:hAnsi="Times New Roman" w:cs="Times New Roman"/>
          <w:noProof/>
          <w:color w:val="C45911" w:themeColor="accent2" w:themeShade="BF"/>
          <w:sz w:val="24"/>
          <w:szCs w:val="24"/>
          <w:lang w:val="sq-AL"/>
        </w:rPr>
      </w:pPr>
    </w:p>
    <w:p w14:paraId="08DAD943" w14:textId="20F45C11" w:rsidR="006A58E7" w:rsidRPr="00641640" w:rsidRDefault="002B7F17" w:rsidP="003A395D">
      <w:pPr>
        <w:pStyle w:val="Heading2"/>
        <w:spacing w:line="276" w:lineRule="auto"/>
        <w:rPr>
          <w:rFonts w:ascii="Times New Roman" w:hAnsi="Times New Roman" w:cs="Times New Roman"/>
          <w:b/>
          <w:bCs/>
          <w:noProof/>
          <w:color w:val="C45911" w:themeColor="accent2" w:themeShade="BF"/>
          <w:sz w:val="24"/>
          <w:szCs w:val="24"/>
          <w:lang w:val="sq-AL"/>
        </w:rPr>
      </w:pPr>
      <w:bookmarkStart w:id="25" w:name="_Toc189510622"/>
      <w:r w:rsidRPr="00641640">
        <w:rPr>
          <w:rFonts w:ascii="Times New Roman" w:hAnsi="Times New Roman" w:cs="Times New Roman"/>
          <w:b/>
          <w:bCs/>
          <w:noProof/>
          <w:color w:val="C45911" w:themeColor="accent2" w:themeShade="BF"/>
          <w:sz w:val="24"/>
          <w:szCs w:val="24"/>
          <w:lang w:val="sq-AL"/>
        </w:rPr>
        <w:t xml:space="preserve">2.5 </w:t>
      </w:r>
      <w:r w:rsidR="006A58E7" w:rsidRPr="00641640">
        <w:rPr>
          <w:rFonts w:ascii="Times New Roman" w:hAnsi="Times New Roman" w:cs="Times New Roman"/>
          <w:b/>
          <w:bCs/>
          <w:noProof/>
          <w:color w:val="C45911" w:themeColor="accent2" w:themeShade="BF"/>
          <w:sz w:val="24"/>
          <w:szCs w:val="24"/>
          <w:lang w:val="sq-AL"/>
        </w:rPr>
        <w:t xml:space="preserve">Arritjet dhe sfidat </w:t>
      </w:r>
      <w:r w:rsidR="00C64AAF" w:rsidRPr="00641640">
        <w:rPr>
          <w:rFonts w:ascii="Times New Roman" w:hAnsi="Times New Roman" w:cs="Times New Roman"/>
          <w:b/>
          <w:bCs/>
          <w:noProof/>
          <w:color w:val="C45911" w:themeColor="accent2" w:themeShade="BF"/>
          <w:sz w:val="24"/>
          <w:szCs w:val="24"/>
          <w:lang w:val="sq-AL"/>
        </w:rPr>
        <w:t>drejt</w:t>
      </w:r>
      <w:r w:rsidR="006A58E7" w:rsidRPr="00641640">
        <w:rPr>
          <w:rFonts w:ascii="Times New Roman" w:hAnsi="Times New Roman" w:cs="Times New Roman"/>
          <w:b/>
          <w:bCs/>
          <w:noProof/>
          <w:color w:val="C45911" w:themeColor="accent2" w:themeShade="BF"/>
          <w:sz w:val="24"/>
          <w:szCs w:val="24"/>
          <w:lang w:val="sq-AL"/>
        </w:rPr>
        <w:t xml:space="preserve"> nj</w:t>
      </w:r>
      <w:r w:rsidR="00C64AAF" w:rsidRPr="00641640">
        <w:rPr>
          <w:rFonts w:ascii="Times New Roman" w:hAnsi="Times New Roman" w:cs="Times New Roman"/>
          <w:b/>
          <w:bCs/>
          <w:noProof/>
          <w:color w:val="C45911" w:themeColor="accent2" w:themeShade="BF"/>
          <w:sz w:val="24"/>
          <w:szCs w:val="24"/>
          <w:lang w:val="sq-AL"/>
        </w:rPr>
        <w:t>ë</w:t>
      </w:r>
      <w:r w:rsidR="006A58E7" w:rsidRPr="00641640">
        <w:rPr>
          <w:rFonts w:ascii="Times New Roman" w:hAnsi="Times New Roman" w:cs="Times New Roman"/>
          <w:b/>
          <w:bCs/>
          <w:noProof/>
          <w:color w:val="C45911" w:themeColor="accent2" w:themeShade="BF"/>
          <w:sz w:val="24"/>
          <w:szCs w:val="24"/>
          <w:lang w:val="sq-AL"/>
        </w:rPr>
        <w:t xml:space="preserve"> administrat</w:t>
      </w:r>
      <w:r w:rsidR="00C64AAF" w:rsidRPr="00641640">
        <w:rPr>
          <w:rFonts w:ascii="Times New Roman" w:hAnsi="Times New Roman" w:cs="Times New Roman"/>
          <w:b/>
          <w:bCs/>
          <w:noProof/>
          <w:color w:val="C45911" w:themeColor="accent2" w:themeShade="BF"/>
          <w:sz w:val="24"/>
          <w:szCs w:val="24"/>
          <w:lang w:val="sq-AL"/>
        </w:rPr>
        <w:t>e</w:t>
      </w:r>
      <w:r w:rsidR="006A58E7" w:rsidRPr="00641640">
        <w:rPr>
          <w:rFonts w:ascii="Times New Roman" w:hAnsi="Times New Roman" w:cs="Times New Roman"/>
          <w:b/>
          <w:bCs/>
          <w:noProof/>
          <w:color w:val="C45911" w:themeColor="accent2" w:themeShade="BF"/>
          <w:sz w:val="24"/>
          <w:szCs w:val="24"/>
          <w:lang w:val="sq-AL"/>
        </w:rPr>
        <w:t xml:space="preserve"> të gjelbër</w:t>
      </w:r>
      <w:r w:rsidR="00C64AAF" w:rsidRPr="00641640">
        <w:rPr>
          <w:rFonts w:ascii="Times New Roman" w:hAnsi="Times New Roman" w:cs="Times New Roman"/>
          <w:b/>
          <w:bCs/>
          <w:noProof/>
          <w:color w:val="C45911" w:themeColor="accent2" w:themeShade="BF"/>
          <w:sz w:val="24"/>
          <w:szCs w:val="24"/>
          <w:lang w:val="sq-AL"/>
        </w:rPr>
        <w:t xml:space="preserve"> publike</w:t>
      </w:r>
      <w:bookmarkEnd w:id="25"/>
      <w:r w:rsidR="006A58E7" w:rsidRPr="00641640">
        <w:rPr>
          <w:rFonts w:ascii="Times New Roman" w:hAnsi="Times New Roman" w:cs="Times New Roman"/>
          <w:b/>
          <w:bCs/>
          <w:noProof/>
          <w:color w:val="C45911" w:themeColor="accent2" w:themeShade="BF"/>
          <w:sz w:val="24"/>
          <w:szCs w:val="24"/>
          <w:lang w:val="sq-AL"/>
        </w:rPr>
        <w:t xml:space="preserve"> </w:t>
      </w:r>
    </w:p>
    <w:p w14:paraId="0D81C637" w14:textId="05E83023" w:rsidR="006A58E7" w:rsidRPr="00641640" w:rsidRDefault="006A58E7" w:rsidP="003A395D">
      <w:pPr>
        <w:spacing w:line="276" w:lineRule="auto"/>
        <w:contextualSpacing/>
        <w:jc w:val="both"/>
        <w:rPr>
          <w:rFonts w:ascii="Times New Roman" w:hAnsi="Times New Roman" w:cs="Times New Roman"/>
          <w:noProof/>
          <w:color w:val="C45911" w:themeColor="accent2" w:themeShade="BF"/>
          <w:sz w:val="24"/>
          <w:szCs w:val="24"/>
          <w:lang w:val="sq-AL"/>
        </w:rPr>
      </w:pPr>
    </w:p>
    <w:p w14:paraId="51E13AD6" w14:textId="0AF64510" w:rsidR="00540288" w:rsidRPr="00641640" w:rsidRDefault="00540288"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Koncepti i </w:t>
      </w:r>
      <w:r w:rsidRPr="00641640">
        <w:rPr>
          <w:rFonts w:ascii="Times New Roman" w:hAnsi="Times New Roman" w:cs="Times New Roman"/>
          <w:i/>
          <w:noProof/>
          <w:sz w:val="24"/>
          <w:szCs w:val="24"/>
          <w:lang w:val="sq-AL"/>
        </w:rPr>
        <w:t>“Administrat</w:t>
      </w:r>
      <w:r w:rsidR="00C64AAF" w:rsidRPr="00641640">
        <w:rPr>
          <w:rFonts w:ascii="Times New Roman" w:hAnsi="Times New Roman" w:cs="Times New Roman"/>
          <w:i/>
          <w:noProof/>
          <w:sz w:val="24"/>
          <w:szCs w:val="24"/>
          <w:lang w:val="sq-AL"/>
        </w:rPr>
        <w:t>ë</w:t>
      </w:r>
      <w:r w:rsidRPr="00641640">
        <w:rPr>
          <w:rFonts w:ascii="Times New Roman" w:hAnsi="Times New Roman" w:cs="Times New Roman"/>
          <w:i/>
          <w:noProof/>
          <w:sz w:val="24"/>
          <w:szCs w:val="24"/>
          <w:lang w:val="sq-AL"/>
        </w:rPr>
        <w:t>s s</w:t>
      </w:r>
      <w:r w:rsidR="00C64AAF" w:rsidRPr="00641640">
        <w:rPr>
          <w:rFonts w:ascii="Times New Roman" w:hAnsi="Times New Roman" w:cs="Times New Roman"/>
          <w:i/>
          <w:noProof/>
          <w:sz w:val="24"/>
          <w:szCs w:val="24"/>
          <w:lang w:val="sq-AL"/>
        </w:rPr>
        <w:t>ë</w:t>
      </w:r>
      <w:r w:rsidRPr="00641640">
        <w:rPr>
          <w:rFonts w:ascii="Times New Roman" w:hAnsi="Times New Roman" w:cs="Times New Roman"/>
          <w:i/>
          <w:noProof/>
          <w:sz w:val="24"/>
          <w:szCs w:val="24"/>
          <w:lang w:val="sq-AL"/>
        </w:rPr>
        <w:t xml:space="preserve"> Gjelbër Publike”</w:t>
      </w:r>
      <w:r w:rsidRPr="00641640">
        <w:rPr>
          <w:rFonts w:ascii="Times New Roman" w:hAnsi="Times New Roman" w:cs="Times New Roman"/>
          <w:noProof/>
          <w:sz w:val="24"/>
          <w:szCs w:val="24"/>
          <w:lang w:val="sq-AL"/>
        </w:rPr>
        <w:t xml:space="preserve"> u referohet proceseve të vendimmarrjes në të gjitha nivelet e qeverisjes (ndërkombëtare, kombëtare dhe lokale) të cilat integrojnë çështjet mjedisore dhe të ndryshimeve klimatike, me synimin p</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kontribuar n</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arritjen e një mjedisi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pastër,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shëndetshëm dhe q</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zhvillohet n</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m</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nyr</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q</w:t>
      </w:r>
      <w:r w:rsidR="009A7E01"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ndrueshme për të gjithë, në përputhje me Objektivat e Zhvillimit të Q</w:t>
      </w:r>
      <w:r w:rsidR="009A7E01"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ndrueshëm dhe detyrimet e vendit sipas Marrëveshjes së Parisit.Vet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termi është pjesë integrale e Rekomandimit të Këshillit të Evropës CM/Rec(2023)5 mbi </w:t>
      </w:r>
      <w:r w:rsidRPr="00641640">
        <w:rPr>
          <w:rFonts w:ascii="Times New Roman" w:hAnsi="Times New Roman" w:cs="Times New Roman"/>
          <w:i/>
          <w:noProof/>
          <w:sz w:val="24"/>
          <w:szCs w:val="24"/>
          <w:lang w:val="sq-AL"/>
        </w:rPr>
        <w:t>“Parimet e Qeverisjes së Mirë Demokratike”,</w:t>
      </w:r>
      <w:r w:rsidRPr="00641640">
        <w:rPr>
          <w:rFonts w:ascii="Times New Roman" w:hAnsi="Times New Roman" w:cs="Times New Roman"/>
          <w:noProof/>
          <w:sz w:val="24"/>
          <w:szCs w:val="24"/>
          <w:vertAlign w:val="superscript"/>
          <w:lang w:val="sq-AL"/>
        </w:rPr>
        <w:footnoteReference w:id="62"/>
      </w:r>
      <w:r w:rsidRPr="00641640">
        <w:rPr>
          <w:rFonts w:ascii="Times New Roman" w:hAnsi="Times New Roman" w:cs="Times New Roman"/>
          <w:noProof/>
          <w:sz w:val="24"/>
          <w:szCs w:val="24"/>
          <w:lang w:val="sq-AL"/>
        </w:rPr>
        <w:t xml:space="preserve"> ku parimi i q</w:t>
      </w:r>
      <w:r w:rsidR="009A7E01"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ndrueshmërisë dhe qasja afatgjatë (Parimi 11) parashikon shprehimisht se vendet duhet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rpiqen të maksimizojn</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vendimet dhe veprimet e q</w:t>
      </w:r>
      <w:r w:rsidR="009A7E01"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ndrueshme të qeverisë, institucioneve publike dhe zyrtarëve publikë, duke marrë në konsideratë ndikimin e tyre te brezat e ardhshëm. </w:t>
      </w:r>
    </w:p>
    <w:p w14:paraId="489AFDA8" w14:textId="61CBFF63" w:rsidR="00540288" w:rsidRPr="00641640" w:rsidRDefault="00540288"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lastRenderedPageBreak/>
        <w:t>N</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ndv</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shtrim, reduktimi i gjurmës mjedisore të aseteve, investimeve dhe burimeve nën menaxhim nga shteti mund të ketë ndikim thelbësor në klimë dhe q</w:t>
      </w:r>
      <w:r w:rsidR="00807C36"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ndrueshmëri. Menaxhimi i gjelbër i financave publike shërben si një lehtësues thelbësor për një strategji të unifikuar të Qeverisë Shqiptare në adresimin e ndryshimeve klimatike. </w:t>
      </w:r>
      <w:r w:rsidRPr="00641640">
        <w:rPr>
          <w:rFonts w:ascii="Times New Roman" w:hAnsi="Times New Roman" w:cs="Times New Roman"/>
          <w:iCs/>
          <w:noProof/>
          <w:sz w:val="24"/>
          <w:szCs w:val="24"/>
          <w:lang w:val="sq-AL"/>
        </w:rPr>
        <w:t>Një përdorim më i madh i mjeteve të buxhetimit të gjelbër do të ndihmojë në ridrejtimin e investimeve publike, konsumit dhe taksave drejt prioriteteve të gjelbra dhe larg subvencioneve të dëmshme</w:t>
      </w:r>
      <w:r w:rsidRPr="00641640">
        <w:rPr>
          <w:rFonts w:ascii="Times New Roman" w:hAnsi="Times New Roman" w:cs="Times New Roman"/>
          <w:noProof/>
          <w:sz w:val="24"/>
          <w:szCs w:val="24"/>
          <w:lang w:val="sq-AL"/>
        </w:rPr>
        <w:t>. Krahas kësaj, gjelbërimi i administratës publike ka potencialin të ketë efekte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ndjeshme në promovimin e inovacionit, efikasitetit, efektivitetit, reduktimit të kostove, si dhe ofrimit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shërbimeve më cil</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sore p</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 qytetarin.  </w:t>
      </w:r>
    </w:p>
    <w:p w14:paraId="67400172" w14:textId="2BAC000D" w:rsidR="00C64AAF" w:rsidRPr="00641640" w:rsidRDefault="00540288"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Në Shqipëri, ligji aktual nr. 162/2020 “P</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prokurimin publik”, i ndryshuar n</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vitin 2024, vendos detyrime p</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autoritetet kontraktore q</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të respektojnë kërkesat e legjislacionit mjedisor, social dhe të punës. Për sa i përket aspektit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politikave, Agjencia e Prokurimit Publik publikoi një Udhërrëfyes të prokurimit të Gjelbër (që përshkruan rregullat për zbatimin vullnetar), si dhe një metodologji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dedikuar</w:t>
      </w:r>
      <w:r w:rsidRPr="00641640">
        <w:rPr>
          <w:rFonts w:ascii="Times New Roman" w:hAnsi="Times New Roman" w:cs="Times New Roman"/>
          <w:noProof/>
          <w:sz w:val="24"/>
          <w:szCs w:val="24"/>
          <w:vertAlign w:val="superscript"/>
          <w:lang w:val="sq-AL"/>
        </w:rPr>
        <w:footnoteReference w:id="63"/>
      </w:r>
      <w:r w:rsidRPr="00641640">
        <w:rPr>
          <w:rFonts w:ascii="Times New Roman" w:hAnsi="Times New Roman" w:cs="Times New Roman"/>
          <w:noProof/>
          <w:sz w:val="24"/>
          <w:szCs w:val="24"/>
          <w:lang w:val="sq-AL"/>
        </w:rPr>
        <w:t xml:space="preserve"> në lidhje me GPP-të, e cila ofron udhëzime të përgjithshme dhe udhëzime për kërkesat minimale q</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duhet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plot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sohen. K</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to dokumente udh</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zuese u miratuan n</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zbatim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Strategjis</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par</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gjith</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p</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rfshir</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se Kombëtare të Prokurimit Publik 2020-2023</w:t>
      </w:r>
      <w:r w:rsidR="00C64AAF" w:rsidRPr="00641640">
        <w:rPr>
          <w:rFonts w:ascii="Times New Roman" w:hAnsi="Times New Roman" w:cs="Times New Roman"/>
          <w:noProof/>
          <w:sz w:val="24"/>
          <w:szCs w:val="24"/>
          <w:lang w:val="sq-AL"/>
        </w:rPr>
        <w:t xml:space="preserve"> të miratuar</w:t>
      </w:r>
      <w:r w:rsidRPr="00641640">
        <w:rPr>
          <w:rFonts w:ascii="Times New Roman" w:hAnsi="Times New Roman" w:cs="Times New Roman"/>
          <w:noProof/>
          <w:sz w:val="24"/>
          <w:szCs w:val="24"/>
          <w:lang w:val="sq-AL"/>
        </w:rPr>
        <w:t xml:space="preserve"> në nëntor 2020. </w:t>
      </w:r>
    </w:p>
    <w:p w14:paraId="4E2E11C1" w14:textId="0105CC7F" w:rsidR="00540288" w:rsidRPr="00641640" w:rsidRDefault="00540288"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Gjithashtu, </w:t>
      </w:r>
      <w:r w:rsidR="00C64AAF" w:rsidRPr="00641640">
        <w:rPr>
          <w:rFonts w:ascii="Times New Roman" w:hAnsi="Times New Roman" w:cs="Times New Roman"/>
          <w:noProof/>
          <w:sz w:val="24"/>
          <w:szCs w:val="24"/>
          <w:lang w:val="sq-AL"/>
        </w:rPr>
        <w:t xml:space="preserve">me rishikimin e kuadrit kombëtar strategjik për prokurimin publik, </w:t>
      </w:r>
      <w:r w:rsidRPr="00641640">
        <w:rPr>
          <w:rFonts w:ascii="Times New Roman" w:hAnsi="Times New Roman" w:cs="Times New Roman"/>
          <w:noProof/>
          <w:sz w:val="24"/>
          <w:szCs w:val="24"/>
          <w:lang w:val="sq-AL"/>
        </w:rPr>
        <w:t>Strategjia Kombëtare e Prokurimit Publik 2024-2030 përfshin objektiva dhe masa të qarta për promovimin dhe zbatimin e prokurimit të gjelbër. Kuadri ligjor në fuqi mbështet kryerjen e prokurimeve të gjelbra, sociale dhe inovative, duke lejuar autoritetet kontraktore të marrin në konsideratë një gamë të gjerë aspektesh gjatë prokurimit të mallrave dhe shërbimeve. Këto aspekte përfshijnë mbrojtjen e mjedisit, përkrahjen e perspektivës sociale, nxitjen e inovacionit dhe rritjen e eficencës energjitike. Prokurimi i q</w:t>
      </w:r>
      <w:r w:rsidR="00D70095"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ndrueshëm mbetet një objektiv qendror në Strategjinë Kombëtare të Prokurimit Publik 2024-2030,</w:t>
      </w:r>
      <w:r w:rsidR="00C64AAF" w:rsidRPr="00641640">
        <w:rPr>
          <w:rStyle w:val="FootnoteReference"/>
          <w:rFonts w:ascii="Times New Roman" w:hAnsi="Times New Roman" w:cs="Times New Roman"/>
          <w:noProof/>
          <w:sz w:val="24"/>
          <w:szCs w:val="24"/>
          <w:lang w:val="sq-AL"/>
        </w:rPr>
        <w:footnoteReference w:id="64"/>
      </w:r>
      <w:r w:rsidR="00C64AAF" w:rsidRPr="00641640">
        <w:rPr>
          <w:rFonts w:ascii="Times New Roman" w:hAnsi="Times New Roman" w:cs="Times New Roman"/>
          <w:noProof/>
          <w:sz w:val="24"/>
          <w:szCs w:val="24"/>
          <w:lang w:val="sq-AL"/>
        </w:rPr>
        <w:t xml:space="preserve"> në</w:t>
      </w:r>
      <w:r w:rsidRPr="00641640">
        <w:rPr>
          <w:rFonts w:ascii="Times New Roman" w:hAnsi="Times New Roman" w:cs="Times New Roman"/>
          <w:noProof/>
          <w:sz w:val="24"/>
          <w:szCs w:val="24"/>
          <w:lang w:val="sq-AL"/>
        </w:rPr>
        <w:t xml:space="preserve"> zbatim të të cilit do të ndërmerren përpjekje të targetuara për ndërgjegjësimin dhe mbështetjen e autoriteteve kontraktore në zbatimin efektiv të kritereve të prokurimit të gjelbër.  </w:t>
      </w:r>
    </w:p>
    <w:p w14:paraId="586BE7DD" w14:textId="03370F32" w:rsidR="00540288" w:rsidRPr="00641640" w:rsidRDefault="00540288" w:rsidP="003A395D">
      <w:pPr>
        <w:spacing w:line="276" w:lineRule="auto"/>
        <w:jc w:val="both"/>
        <w:rPr>
          <w:rFonts w:ascii="Times New Roman" w:hAnsi="Times New Roman" w:cs="Times New Roman"/>
          <w:noProof/>
          <w:sz w:val="24"/>
          <w:szCs w:val="24"/>
          <w:lang w:val="sq-AL"/>
        </w:rPr>
      </w:pPr>
      <w:bookmarkStart w:id="26" w:name="_Hlk189200432"/>
      <w:r w:rsidRPr="00641640">
        <w:rPr>
          <w:rFonts w:ascii="Times New Roman" w:hAnsi="Times New Roman" w:cs="Times New Roman"/>
          <w:noProof/>
          <w:sz w:val="24"/>
          <w:szCs w:val="24"/>
          <w:lang w:val="sq-AL"/>
        </w:rPr>
        <w:t>Teksa Shqip</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ria përparon drejt anëtarësimit në BE, p</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rafrimi në mënyrë strategjike i politikave dhe praktikave </w:t>
      </w:r>
      <w:r w:rsidR="00955DB8" w:rsidRPr="00641640">
        <w:rPr>
          <w:rFonts w:ascii="Times New Roman" w:hAnsi="Times New Roman" w:cs="Times New Roman"/>
          <w:noProof/>
          <w:sz w:val="24"/>
          <w:szCs w:val="24"/>
          <w:lang w:val="sq-AL"/>
        </w:rPr>
        <w:t>të</w:t>
      </w:r>
      <w:r w:rsidRPr="00641640">
        <w:rPr>
          <w:rFonts w:ascii="Times New Roman" w:hAnsi="Times New Roman" w:cs="Times New Roman"/>
          <w:noProof/>
          <w:sz w:val="24"/>
          <w:szCs w:val="24"/>
          <w:lang w:val="sq-AL"/>
        </w:rPr>
        <w:t xml:space="preserve"> saj mjedisore me standardet dhe rregulloret e BE-së vijon intensivisht. Përpjekjet për të rritur efikasitetin e përdorimit të energjisë dhe të burimeve, reduktimin e mbetjeve, promovimin e riciklimit dhe zbatimi i nismave miqësore me mjedisin po marrin vemendje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shtuar me çdo cikël politik</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b</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rjeje, duke reflektuar një angazhim kolektiv për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zbutur gjurm</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n mjedisore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çdo veprimtarie publike dhe private. Megjithatë, nevojitet që këto përpjekje të intensifikohen p</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garantuar përafrimin e mëtejshëm të kuadrit ligjor me standardet e BE-së </w:t>
      </w:r>
      <w:r w:rsidRPr="00641640">
        <w:rPr>
          <w:rFonts w:ascii="Times New Roman" w:hAnsi="Times New Roman" w:cs="Times New Roman"/>
          <w:noProof/>
          <w:sz w:val="24"/>
          <w:szCs w:val="24"/>
          <w:lang w:val="sq-AL"/>
        </w:rPr>
        <w:lastRenderedPageBreak/>
        <w:t>(ekoetiketimi, vendosjen e kërkesave të projektimit ekologjik për produktet që lidhen me energjinë, skemat EMAS) për të mbështetur sektorin privat në ofrimin e mallra dhe shërbimeve me një ndikim të reduktuar mjedisor gjatë gjithë ciklit të tyre jetësor, si dhe duke ndihmuar sektorin publik të bëjë zgjedhje vërtet të q</w:t>
      </w:r>
      <w:r w:rsidR="00847A41"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ndrueshme.</w:t>
      </w:r>
    </w:p>
    <w:bookmarkEnd w:id="26"/>
    <w:p w14:paraId="3EAADF74" w14:textId="01B91F28" w:rsidR="00540288" w:rsidRPr="00641640" w:rsidRDefault="00540288"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Për të përfituar nga fuqia blerëse e autoriteteve publike duke rritur ofertën e produkteve dhe shërbimeve miqësore ndaj mjedisit, masat e nd</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rmarra n</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vijim do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duhet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rqendrohen në drejtim të trajnimit dhe rritjes s</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shtuar të kapaciteteve institucionale, si dhe zhvillimit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mëtejshëm të kuadrit ligjor që mbështet sektorin privat, me qëllimin afatgjatë krijimin e një sistemi efektiv të prokurimit të gjelbër publik.  </w:t>
      </w:r>
    </w:p>
    <w:p w14:paraId="60341483" w14:textId="6713C157" w:rsidR="00133CCB" w:rsidRDefault="00540288" w:rsidP="00133CCB">
      <w:pPr>
        <w:spacing w:after="0" w:line="276" w:lineRule="auto"/>
        <w:jc w:val="both"/>
        <w:rPr>
          <w:rFonts w:ascii="Times New Roman" w:hAnsi="Times New Roman" w:cs="Times New Roman"/>
          <w:noProof/>
          <w:sz w:val="24"/>
          <w:szCs w:val="24"/>
          <w:lang w:val="sq-AL"/>
        </w:rPr>
      </w:pPr>
      <w:bookmarkStart w:id="27" w:name="_Hlk189197200"/>
      <w:bookmarkStart w:id="28" w:name="_Hlk189192614"/>
      <w:r w:rsidRPr="00641640">
        <w:rPr>
          <w:rFonts w:ascii="Times New Roman" w:hAnsi="Times New Roman" w:cs="Times New Roman"/>
          <w:noProof/>
          <w:sz w:val="24"/>
          <w:szCs w:val="24"/>
          <w:lang w:val="sq-AL"/>
        </w:rPr>
        <w:t>Një tjetër aspekt i rëndësishëm q</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rkon v</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mendje n</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drejtim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rpjekjeve p</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konsolidimin e dimensionit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gjelb</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veprimtaris</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institucioneve publike është edhe përdorimi i teknologjisë së informacionit. Digjitalizimi i proceseve të brendshme të qeverisjes mund të zvogëlojë ndjesh</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m konsumin e letrës, energjisë dhe transportit q</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shoq</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ron procedurat administrative. P</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një sektor publik q</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redukton p</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rdorimin e letr</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 fizike vetiu lind detyra p</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t’iu p</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rgjigjur m</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shpejt kërkesave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qytetarëve dhe biznesit, n</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m</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nyr</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m</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efikase dhe duke shpenzuar më pak burime. Megjithatë, nga ana tjet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digjitalizimi mund të çojë në nevojën për më shumë pajisje teknologjike dhe konsum më të lartë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energjisë dhe</w:t>
      </w:r>
      <w:r w:rsidR="00165620"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për rrjedhojë edhe rritje të emetimeve të gazeve me efekt serrë. P</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 k</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arsye, është thelbësore që p</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rpjekjet e nd</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rmarra dhe ato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parashikuara në drejtim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rritjes s</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digjitalizimit t</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veprimtaris</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institucionale të shoq</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rohen edhe me veprime zbutëse për të promovuar, s</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pari, zgjerimin e përdorimit të energjisë së rinovueshme për të gjeneruar energji elektrike në sektorin TIK,  dhe s</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dyti, përdorimin e zgjidhjeve digjitale të gjelbra më efikase për konsumimin e energjis</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n</w:t>
      </w:r>
      <w:r w:rsidR="00C64AAF"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institucionet publike. </w:t>
      </w:r>
      <w:bookmarkEnd w:id="27"/>
      <w:bookmarkEnd w:id="28"/>
    </w:p>
    <w:p w14:paraId="4BCBDE16" w14:textId="6C07C6E2" w:rsidR="00600859" w:rsidRPr="00641640" w:rsidRDefault="00133CCB" w:rsidP="00133CCB">
      <w:pPr>
        <w:rPr>
          <w:rFonts w:ascii="Times New Roman" w:hAnsi="Times New Roman" w:cs="Times New Roman"/>
          <w:noProof/>
          <w:sz w:val="24"/>
          <w:szCs w:val="24"/>
          <w:lang w:val="sq-AL"/>
        </w:rPr>
      </w:pPr>
      <w:r>
        <w:rPr>
          <w:rFonts w:ascii="Times New Roman" w:hAnsi="Times New Roman" w:cs="Times New Roman"/>
          <w:noProof/>
          <w:sz w:val="24"/>
          <w:szCs w:val="24"/>
          <w:lang w:val="sq-AL"/>
        </w:rPr>
        <w:br w:type="page"/>
      </w:r>
    </w:p>
    <w:p w14:paraId="23A398EB" w14:textId="3ED57F6E" w:rsidR="00916381" w:rsidRPr="00641640" w:rsidRDefault="003631A3" w:rsidP="003A395D">
      <w:pPr>
        <w:pStyle w:val="Heading1"/>
        <w:spacing w:line="276" w:lineRule="auto"/>
        <w:rPr>
          <w:rFonts w:ascii="Times New Roman" w:hAnsi="Times New Roman" w:cs="Times New Roman"/>
          <w:b/>
          <w:noProof/>
          <w:color w:val="auto"/>
          <w:sz w:val="28"/>
          <w:szCs w:val="28"/>
          <w:lang w:val="sq-AL"/>
        </w:rPr>
      </w:pPr>
      <w:bookmarkStart w:id="29" w:name="_Toc189510623"/>
      <w:r w:rsidRPr="00641640">
        <w:rPr>
          <w:rFonts w:ascii="Times New Roman" w:hAnsi="Times New Roman" w:cs="Times New Roman"/>
          <w:b/>
          <w:noProof/>
          <w:color w:val="auto"/>
          <w:sz w:val="28"/>
          <w:szCs w:val="28"/>
          <w:lang w:val="sq-AL"/>
        </w:rPr>
        <w:lastRenderedPageBreak/>
        <w:t>3</w:t>
      </w:r>
      <w:r w:rsidR="00A20DBA" w:rsidRPr="00641640">
        <w:rPr>
          <w:rFonts w:ascii="Times New Roman" w:hAnsi="Times New Roman" w:cs="Times New Roman"/>
          <w:b/>
          <w:noProof/>
          <w:color w:val="auto"/>
          <w:sz w:val="28"/>
          <w:szCs w:val="28"/>
          <w:lang w:val="sq-AL"/>
        </w:rPr>
        <w:t>.</w:t>
      </w:r>
      <w:r w:rsidRPr="00641640">
        <w:rPr>
          <w:rFonts w:ascii="Times New Roman" w:hAnsi="Times New Roman" w:cs="Times New Roman"/>
          <w:b/>
          <w:noProof/>
          <w:color w:val="auto"/>
          <w:sz w:val="28"/>
          <w:szCs w:val="28"/>
          <w:lang w:val="sq-AL"/>
        </w:rPr>
        <w:t xml:space="preserve"> VIZIONI</w:t>
      </w:r>
      <w:r w:rsidR="00527F46" w:rsidRPr="00641640">
        <w:rPr>
          <w:rFonts w:ascii="Times New Roman" w:hAnsi="Times New Roman" w:cs="Times New Roman"/>
          <w:b/>
          <w:noProof/>
          <w:color w:val="auto"/>
          <w:sz w:val="28"/>
          <w:szCs w:val="28"/>
          <w:lang w:val="sq-AL"/>
        </w:rPr>
        <w:t xml:space="preserve"> DHE MISIONI</w:t>
      </w:r>
      <w:r w:rsidRPr="00641640">
        <w:rPr>
          <w:rFonts w:ascii="Times New Roman" w:hAnsi="Times New Roman" w:cs="Times New Roman"/>
          <w:b/>
          <w:noProof/>
          <w:color w:val="auto"/>
          <w:sz w:val="28"/>
          <w:szCs w:val="28"/>
          <w:lang w:val="sq-AL"/>
        </w:rPr>
        <w:t xml:space="preserve"> I STRATEGJISË</w:t>
      </w:r>
      <w:bookmarkEnd w:id="29"/>
    </w:p>
    <w:p w14:paraId="4F65BA78" w14:textId="185154AC" w:rsidR="00BC4368" w:rsidRPr="00641640" w:rsidRDefault="00BC4368" w:rsidP="003A395D">
      <w:pPr>
        <w:spacing w:after="0" w:line="276" w:lineRule="auto"/>
        <w:rPr>
          <w:rFonts w:ascii="Times New Roman" w:hAnsi="Times New Roman" w:cs="Times New Roman"/>
          <w:b/>
          <w:noProof/>
          <w:sz w:val="24"/>
          <w:szCs w:val="24"/>
          <w:lang w:val="sq-AL"/>
        </w:rPr>
      </w:pPr>
    </w:p>
    <w:p w14:paraId="3529EA15" w14:textId="571CA1D8" w:rsidR="000F53EE" w:rsidRPr="00641640" w:rsidRDefault="000F53EE" w:rsidP="003A395D">
      <w:pPr>
        <w:spacing w:after="0" w:line="276" w:lineRule="auto"/>
        <w:rPr>
          <w:rFonts w:ascii="Times New Roman" w:hAnsi="Times New Roman" w:cs="Times New Roman"/>
          <w:b/>
          <w:noProof/>
          <w:sz w:val="24"/>
          <w:szCs w:val="24"/>
          <w:lang w:val="sq-AL"/>
        </w:rPr>
      </w:pPr>
      <w:r w:rsidRPr="00641640">
        <w:rPr>
          <w:rFonts w:ascii="Times New Roman" w:hAnsi="Times New Roman" w:cs="Times New Roman"/>
          <w:b/>
          <w:noProof/>
          <w:color w:val="C45911" w:themeColor="accent2" w:themeShade="BF"/>
          <w:sz w:val="24"/>
          <w:szCs w:val="24"/>
          <w:lang w:val="sq-AL"/>
        </w:rPr>
        <w:t>Vizioni</w:t>
      </w:r>
    </w:p>
    <w:p w14:paraId="57A64F73" w14:textId="77777777" w:rsidR="000F53EE" w:rsidRPr="00641640" w:rsidRDefault="000F53EE" w:rsidP="003A395D">
      <w:pPr>
        <w:spacing w:after="0" w:line="276" w:lineRule="auto"/>
        <w:rPr>
          <w:rFonts w:ascii="Times New Roman" w:hAnsi="Times New Roman" w:cs="Times New Roman"/>
          <w:b/>
          <w:noProof/>
          <w:sz w:val="24"/>
          <w:szCs w:val="24"/>
          <w:lang w:val="sq-AL"/>
        </w:rPr>
      </w:pPr>
    </w:p>
    <w:p w14:paraId="78344E41" w14:textId="7DA20FAC" w:rsidR="00BC4368" w:rsidRPr="00641640" w:rsidRDefault="00BC4368"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Vizioni </w:t>
      </w:r>
      <w:r w:rsidR="00E479F0" w:rsidRPr="00641640">
        <w:rPr>
          <w:rFonts w:ascii="Times New Roman" w:hAnsi="Times New Roman" w:cs="Times New Roman"/>
          <w:noProof/>
          <w:sz w:val="24"/>
          <w:szCs w:val="24"/>
          <w:lang w:val="sq-AL"/>
        </w:rPr>
        <w:t xml:space="preserve">i </w:t>
      </w:r>
      <w:r w:rsidR="00A70EFE" w:rsidRPr="00641640">
        <w:rPr>
          <w:rFonts w:ascii="Times New Roman" w:hAnsi="Times New Roman" w:cs="Times New Roman"/>
          <w:noProof/>
          <w:sz w:val="24"/>
          <w:szCs w:val="24"/>
          <w:lang w:val="sq-AL"/>
        </w:rPr>
        <w:t>Strategjisë Ndërsektoriale të Reformës në Administratën Publike 202</w:t>
      </w:r>
      <w:r w:rsidR="0073402E" w:rsidRPr="00641640">
        <w:rPr>
          <w:rFonts w:ascii="Times New Roman" w:hAnsi="Times New Roman" w:cs="Times New Roman"/>
          <w:noProof/>
          <w:sz w:val="24"/>
          <w:szCs w:val="24"/>
          <w:lang w:val="sq-AL"/>
        </w:rPr>
        <w:t>5</w:t>
      </w:r>
      <w:r w:rsidR="00A70EFE" w:rsidRPr="00641640">
        <w:rPr>
          <w:rFonts w:ascii="Times New Roman" w:hAnsi="Times New Roman" w:cs="Times New Roman"/>
          <w:noProof/>
          <w:sz w:val="24"/>
          <w:szCs w:val="24"/>
          <w:lang w:val="sq-AL"/>
        </w:rPr>
        <w:t xml:space="preserve">-2030 është </w:t>
      </w:r>
      <w:r w:rsidR="00A70EFE" w:rsidRPr="00641640">
        <w:rPr>
          <w:rFonts w:ascii="Times New Roman" w:hAnsi="Times New Roman" w:cs="Times New Roman"/>
          <w:b/>
          <w:noProof/>
          <w:sz w:val="24"/>
          <w:szCs w:val="24"/>
          <w:lang w:val="sq-AL"/>
        </w:rPr>
        <w:t xml:space="preserve">konsolidimi i </w:t>
      </w:r>
      <w:r w:rsidRPr="00641640">
        <w:rPr>
          <w:rFonts w:ascii="Times New Roman" w:hAnsi="Times New Roman" w:cs="Times New Roman"/>
          <w:b/>
          <w:bCs/>
          <w:noProof/>
          <w:sz w:val="24"/>
          <w:szCs w:val="24"/>
          <w:lang w:val="sq-AL"/>
        </w:rPr>
        <w:t>një administrat</w:t>
      </w:r>
      <w:r w:rsidR="0073402E" w:rsidRPr="00641640">
        <w:rPr>
          <w:rFonts w:ascii="Times New Roman" w:hAnsi="Times New Roman" w:cs="Times New Roman"/>
          <w:b/>
          <w:bCs/>
          <w:noProof/>
          <w:sz w:val="24"/>
          <w:szCs w:val="24"/>
          <w:lang w:val="sq-AL"/>
        </w:rPr>
        <w:t>e</w:t>
      </w:r>
      <w:r w:rsidRPr="00641640">
        <w:rPr>
          <w:rFonts w:ascii="Times New Roman" w:hAnsi="Times New Roman" w:cs="Times New Roman"/>
          <w:b/>
          <w:bCs/>
          <w:noProof/>
          <w:sz w:val="24"/>
          <w:szCs w:val="24"/>
          <w:lang w:val="sq-AL"/>
        </w:rPr>
        <w:t xml:space="preserve"> </w:t>
      </w:r>
      <w:r w:rsidR="00A017D6" w:rsidRPr="00641640">
        <w:rPr>
          <w:rFonts w:ascii="Times New Roman" w:hAnsi="Times New Roman" w:cs="Times New Roman"/>
          <w:b/>
          <w:bCs/>
          <w:noProof/>
          <w:sz w:val="24"/>
          <w:szCs w:val="24"/>
          <w:lang w:val="sq-AL"/>
        </w:rPr>
        <w:t xml:space="preserve">publike </w:t>
      </w:r>
      <w:r w:rsidRPr="00641640">
        <w:rPr>
          <w:rFonts w:ascii="Times New Roman" w:hAnsi="Times New Roman" w:cs="Times New Roman"/>
          <w:b/>
          <w:bCs/>
          <w:noProof/>
          <w:sz w:val="24"/>
          <w:szCs w:val="24"/>
          <w:lang w:val="sq-AL"/>
        </w:rPr>
        <w:t xml:space="preserve">profesionale, </w:t>
      </w:r>
      <w:r w:rsidR="00C966B3" w:rsidRPr="00641640">
        <w:rPr>
          <w:rFonts w:ascii="Times New Roman" w:hAnsi="Times New Roman" w:cs="Times New Roman"/>
          <w:b/>
          <w:bCs/>
          <w:noProof/>
          <w:sz w:val="24"/>
          <w:szCs w:val="24"/>
          <w:lang w:val="sq-AL"/>
        </w:rPr>
        <w:t>efikase</w:t>
      </w:r>
      <w:r w:rsidR="00E479F0" w:rsidRPr="00641640">
        <w:rPr>
          <w:rFonts w:ascii="Times New Roman" w:hAnsi="Times New Roman" w:cs="Times New Roman"/>
          <w:b/>
          <w:bCs/>
          <w:noProof/>
          <w:sz w:val="24"/>
          <w:szCs w:val="24"/>
          <w:lang w:val="sq-AL"/>
        </w:rPr>
        <w:t>, i</w:t>
      </w:r>
      <w:r w:rsidR="00E72046" w:rsidRPr="00641640">
        <w:rPr>
          <w:rFonts w:ascii="Times New Roman" w:hAnsi="Times New Roman" w:cs="Times New Roman"/>
          <w:b/>
          <w:bCs/>
          <w:noProof/>
          <w:sz w:val="24"/>
          <w:szCs w:val="24"/>
          <w:lang w:val="sq-AL"/>
        </w:rPr>
        <w:t>n</w:t>
      </w:r>
      <w:r w:rsidRPr="00641640">
        <w:rPr>
          <w:rFonts w:ascii="Times New Roman" w:hAnsi="Times New Roman" w:cs="Times New Roman"/>
          <w:b/>
          <w:bCs/>
          <w:noProof/>
          <w:sz w:val="24"/>
          <w:szCs w:val="24"/>
          <w:lang w:val="sq-AL"/>
        </w:rPr>
        <w:t xml:space="preserve">ovative </w:t>
      </w:r>
      <w:r w:rsidR="00E479F0" w:rsidRPr="00641640">
        <w:rPr>
          <w:rFonts w:ascii="Times New Roman" w:hAnsi="Times New Roman" w:cs="Times New Roman"/>
          <w:b/>
          <w:bCs/>
          <w:noProof/>
          <w:sz w:val="24"/>
          <w:szCs w:val="24"/>
          <w:lang w:val="sq-AL"/>
        </w:rPr>
        <w:t>dhe e</w:t>
      </w:r>
      <w:r w:rsidRPr="00641640">
        <w:rPr>
          <w:rFonts w:ascii="Times New Roman" w:hAnsi="Times New Roman" w:cs="Times New Roman"/>
          <w:b/>
          <w:bCs/>
          <w:noProof/>
          <w:sz w:val="24"/>
          <w:szCs w:val="24"/>
          <w:lang w:val="sq-AL"/>
        </w:rPr>
        <w:t xml:space="preserve"> motivuar,  </w:t>
      </w:r>
      <w:r w:rsidR="00E72046" w:rsidRPr="00641640">
        <w:rPr>
          <w:rFonts w:ascii="Times New Roman" w:hAnsi="Times New Roman" w:cs="Times New Roman"/>
          <w:b/>
          <w:bCs/>
          <w:noProof/>
          <w:sz w:val="24"/>
          <w:szCs w:val="24"/>
          <w:lang w:val="sq-AL"/>
        </w:rPr>
        <w:t>q</w:t>
      </w:r>
      <w:r w:rsidR="00D00916" w:rsidRPr="00641640">
        <w:rPr>
          <w:rFonts w:ascii="Times New Roman" w:hAnsi="Times New Roman" w:cs="Times New Roman"/>
          <w:b/>
          <w:bCs/>
          <w:noProof/>
          <w:sz w:val="24"/>
          <w:szCs w:val="24"/>
          <w:lang w:val="sq-AL"/>
        </w:rPr>
        <w:t>ë</w:t>
      </w:r>
      <w:r w:rsidR="00E72046" w:rsidRPr="00641640">
        <w:rPr>
          <w:rFonts w:ascii="Times New Roman" w:hAnsi="Times New Roman" w:cs="Times New Roman"/>
          <w:b/>
          <w:bCs/>
          <w:noProof/>
          <w:sz w:val="24"/>
          <w:szCs w:val="24"/>
          <w:lang w:val="sq-AL"/>
        </w:rPr>
        <w:t xml:space="preserve"> vepron n</w:t>
      </w:r>
      <w:r w:rsidR="00D00916" w:rsidRPr="00641640">
        <w:rPr>
          <w:rFonts w:ascii="Times New Roman" w:hAnsi="Times New Roman" w:cs="Times New Roman"/>
          <w:b/>
          <w:bCs/>
          <w:noProof/>
          <w:sz w:val="24"/>
          <w:szCs w:val="24"/>
          <w:lang w:val="sq-AL"/>
        </w:rPr>
        <w:t>ë</w:t>
      </w:r>
      <w:r w:rsidR="00E72046" w:rsidRPr="00641640">
        <w:rPr>
          <w:rFonts w:ascii="Times New Roman" w:hAnsi="Times New Roman" w:cs="Times New Roman"/>
          <w:b/>
          <w:bCs/>
          <w:noProof/>
          <w:sz w:val="24"/>
          <w:szCs w:val="24"/>
          <w:lang w:val="sq-AL"/>
        </w:rPr>
        <w:t xml:space="preserve"> p</w:t>
      </w:r>
      <w:r w:rsidR="00D00916" w:rsidRPr="00641640">
        <w:rPr>
          <w:rFonts w:ascii="Times New Roman" w:hAnsi="Times New Roman" w:cs="Times New Roman"/>
          <w:b/>
          <w:bCs/>
          <w:noProof/>
          <w:sz w:val="24"/>
          <w:szCs w:val="24"/>
          <w:lang w:val="sq-AL"/>
        </w:rPr>
        <w:t>ë</w:t>
      </w:r>
      <w:r w:rsidR="00E72046" w:rsidRPr="00641640">
        <w:rPr>
          <w:rFonts w:ascii="Times New Roman" w:hAnsi="Times New Roman" w:cs="Times New Roman"/>
          <w:b/>
          <w:bCs/>
          <w:noProof/>
          <w:sz w:val="24"/>
          <w:szCs w:val="24"/>
          <w:lang w:val="sq-AL"/>
        </w:rPr>
        <w:t xml:space="preserve">rputhje me </w:t>
      </w:r>
      <w:r w:rsidR="00A017D6" w:rsidRPr="00641640">
        <w:rPr>
          <w:rFonts w:ascii="Times New Roman" w:hAnsi="Times New Roman" w:cs="Times New Roman"/>
          <w:b/>
          <w:bCs/>
          <w:noProof/>
          <w:sz w:val="24"/>
          <w:szCs w:val="24"/>
          <w:lang w:val="sq-AL"/>
        </w:rPr>
        <w:t xml:space="preserve">standardet evropiane dhe </w:t>
      </w:r>
      <w:r w:rsidR="00E72046" w:rsidRPr="00641640">
        <w:rPr>
          <w:rFonts w:ascii="Times New Roman" w:hAnsi="Times New Roman" w:cs="Times New Roman"/>
          <w:b/>
          <w:bCs/>
          <w:noProof/>
          <w:sz w:val="24"/>
          <w:szCs w:val="24"/>
          <w:lang w:val="sq-AL"/>
        </w:rPr>
        <w:t>parimet e zhvillimit t</w:t>
      </w:r>
      <w:r w:rsidR="00D00916" w:rsidRPr="00641640">
        <w:rPr>
          <w:rFonts w:ascii="Times New Roman" w:hAnsi="Times New Roman" w:cs="Times New Roman"/>
          <w:b/>
          <w:bCs/>
          <w:noProof/>
          <w:sz w:val="24"/>
          <w:szCs w:val="24"/>
          <w:lang w:val="sq-AL"/>
        </w:rPr>
        <w:t>ë</w:t>
      </w:r>
      <w:r w:rsidR="00E72046" w:rsidRPr="00641640">
        <w:rPr>
          <w:rFonts w:ascii="Times New Roman" w:hAnsi="Times New Roman" w:cs="Times New Roman"/>
          <w:b/>
          <w:bCs/>
          <w:noProof/>
          <w:sz w:val="24"/>
          <w:szCs w:val="24"/>
          <w:lang w:val="sq-AL"/>
        </w:rPr>
        <w:t xml:space="preserve"> q</w:t>
      </w:r>
      <w:r w:rsidR="0073402E" w:rsidRPr="00641640">
        <w:rPr>
          <w:rFonts w:ascii="Times New Roman" w:hAnsi="Times New Roman" w:cs="Times New Roman"/>
          <w:b/>
          <w:bCs/>
          <w:noProof/>
          <w:sz w:val="24"/>
          <w:szCs w:val="24"/>
          <w:lang w:val="sq-AL"/>
        </w:rPr>
        <w:t>e</w:t>
      </w:r>
      <w:r w:rsidR="00E72046" w:rsidRPr="00641640">
        <w:rPr>
          <w:rFonts w:ascii="Times New Roman" w:hAnsi="Times New Roman" w:cs="Times New Roman"/>
          <w:b/>
          <w:bCs/>
          <w:noProof/>
          <w:sz w:val="24"/>
          <w:szCs w:val="24"/>
          <w:lang w:val="sq-AL"/>
        </w:rPr>
        <w:t>ndruesh</w:t>
      </w:r>
      <w:r w:rsidR="00D00916" w:rsidRPr="00641640">
        <w:rPr>
          <w:rFonts w:ascii="Times New Roman" w:hAnsi="Times New Roman" w:cs="Times New Roman"/>
          <w:b/>
          <w:bCs/>
          <w:noProof/>
          <w:sz w:val="24"/>
          <w:szCs w:val="24"/>
          <w:lang w:val="sq-AL"/>
        </w:rPr>
        <w:t>ë</w:t>
      </w:r>
      <w:r w:rsidR="00E72046" w:rsidRPr="00641640">
        <w:rPr>
          <w:rFonts w:ascii="Times New Roman" w:hAnsi="Times New Roman" w:cs="Times New Roman"/>
          <w:b/>
          <w:bCs/>
          <w:noProof/>
          <w:sz w:val="24"/>
          <w:szCs w:val="24"/>
          <w:lang w:val="sq-AL"/>
        </w:rPr>
        <w:t>m</w:t>
      </w:r>
      <w:r w:rsidR="00A017D6" w:rsidRPr="00641640">
        <w:rPr>
          <w:rFonts w:ascii="Times New Roman" w:hAnsi="Times New Roman" w:cs="Times New Roman"/>
          <w:b/>
          <w:bCs/>
          <w:noProof/>
          <w:sz w:val="24"/>
          <w:szCs w:val="24"/>
          <w:lang w:val="sq-AL"/>
        </w:rPr>
        <w:t>,</w:t>
      </w:r>
      <w:r w:rsidR="00E72046" w:rsidRPr="00641640">
        <w:rPr>
          <w:rFonts w:ascii="Times New Roman" w:hAnsi="Times New Roman" w:cs="Times New Roman"/>
          <w:b/>
          <w:bCs/>
          <w:noProof/>
          <w:sz w:val="24"/>
          <w:szCs w:val="24"/>
          <w:lang w:val="sq-AL"/>
        </w:rPr>
        <w:t xml:space="preserve"> dhe q</w:t>
      </w:r>
      <w:r w:rsidR="00D00916" w:rsidRPr="00641640">
        <w:rPr>
          <w:rFonts w:ascii="Times New Roman" w:hAnsi="Times New Roman" w:cs="Times New Roman"/>
          <w:b/>
          <w:bCs/>
          <w:noProof/>
          <w:sz w:val="24"/>
          <w:szCs w:val="24"/>
          <w:lang w:val="sq-AL"/>
        </w:rPr>
        <w:t>ë</w:t>
      </w:r>
      <w:r w:rsidR="00E72046" w:rsidRPr="00641640">
        <w:rPr>
          <w:rFonts w:ascii="Times New Roman" w:hAnsi="Times New Roman" w:cs="Times New Roman"/>
          <w:b/>
          <w:bCs/>
          <w:noProof/>
          <w:sz w:val="24"/>
          <w:szCs w:val="24"/>
          <w:lang w:val="sq-AL"/>
        </w:rPr>
        <w:t xml:space="preserve"> ka</w:t>
      </w:r>
      <w:r w:rsidR="00E479F0" w:rsidRPr="00641640">
        <w:rPr>
          <w:rFonts w:ascii="Times New Roman" w:hAnsi="Times New Roman" w:cs="Times New Roman"/>
          <w:b/>
          <w:bCs/>
          <w:noProof/>
          <w:sz w:val="24"/>
          <w:szCs w:val="24"/>
          <w:lang w:val="sq-AL"/>
        </w:rPr>
        <w:t xml:space="preserve"> </w:t>
      </w:r>
      <w:r w:rsidRPr="00641640">
        <w:rPr>
          <w:rFonts w:ascii="Times New Roman" w:hAnsi="Times New Roman" w:cs="Times New Roman"/>
          <w:b/>
          <w:bCs/>
          <w:noProof/>
          <w:sz w:val="24"/>
          <w:szCs w:val="24"/>
          <w:lang w:val="sq-AL"/>
        </w:rPr>
        <w:t>aftësinë dhe mjetet e nevojshme në dispozicion për t</w:t>
      </w:r>
      <w:r w:rsidR="00A70EFE" w:rsidRPr="00641640">
        <w:rPr>
          <w:rFonts w:ascii="Times New Roman" w:hAnsi="Times New Roman" w:cs="Times New Roman"/>
          <w:b/>
          <w:bCs/>
          <w:noProof/>
          <w:sz w:val="24"/>
          <w:szCs w:val="24"/>
          <w:lang w:val="sq-AL"/>
        </w:rPr>
        <w:t>a</w:t>
      </w:r>
      <w:r w:rsidRPr="00641640">
        <w:rPr>
          <w:rFonts w:ascii="Times New Roman" w:hAnsi="Times New Roman" w:cs="Times New Roman"/>
          <w:b/>
          <w:bCs/>
          <w:noProof/>
          <w:sz w:val="24"/>
          <w:szCs w:val="24"/>
          <w:lang w:val="sq-AL"/>
        </w:rPr>
        <w:t xml:space="preserve"> </w:t>
      </w:r>
      <w:r w:rsidR="00E479F0" w:rsidRPr="00641640">
        <w:rPr>
          <w:rFonts w:ascii="Times New Roman" w:hAnsi="Times New Roman" w:cs="Times New Roman"/>
          <w:b/>
          <w:bCs/>
          <w:noProof/>
          <w:sz w:val="24"/>
          <w:szCs w:val="24"/>
          <w:lang w:val="sq-AL"/>
        </w:rPr>
        <w:t xml:space="preserve">përgatitur Shqipërinë për </w:t>
      </w:r>
      <w:r w:rsidR="00A017D6" w:rsidRPr="00641640">
        <w:rPr>
          <w:rFonts w:ascii="Times New Roman" w:hAnsi="Times New Roman" w:cs="Times New Roman"/>
          <w:b/>
          <w:bCs/>
          <w:noProof/>
          <w:sz w:val="24"/>
          <w:szCs w:val="24"/>
          <w:lang w:val="sq-AL"/>
        </w:rPr>
        <w:t>procesin historik t</w:t>
      </w:r>
      <w:r w:rsidR="00A70EFE" w:rsidRPr="00641640">
        <w:rPr>
          <w:rFonts w:ascii="Times New Roman" w:hAnsi="Times New Roman" w:cs="Times New Roman"/>
          <w:b/>
          <w:bCs/>
          <w:noProof/>
          <w:sz w:val="24"/>
          <w:szCs w:val="24"/>
          <w:lang w:val="sq-AL"/>
        </w:rPr>
        <w:t>ë</w:t>
      </w:r>
      <w:r w:rsidR="00A017D6" w:rsidRPr="00641640">
        <w:rPr>
          <w:rFonts w:ascii="Times New Roman" w:hAnsi="Times New Roman" w:cs="Times New Roman"/>
          <w:b/>
          <w:bCs/>
          <w:noProof/>
          <w:sz w:val="24"/>
          <w:szCs w:val="24"/>
          <w:lang w:val="sq-AL"/>
        </w:rPr>
        <w:t xml:space="preserve"> </w:t>
      </w:r>
      <w:r w:rsidR="00E479F0" w:rsidRPr="00641640">
        <w:rPr>
          <w:rFonts w:ascii="Times New Roman" w:hAnsi="Times New Roman" w:cs="Times New Roman"/>
          <w:b/>
          <w:bCs/>
          <w:noProof/>
          <w:sz w:val="24"/>
          <w:szCs w:val="24"/>
          <w:lang w:val="sq-AL"/>
        </w:rPr>
        <w:t>aderimi</w:t>
      </w:r>
      <w:r w:rsidR="00A017D6" w:rsidRPr="00641640">
        <w:rPr>
          <w:rFonts w:ascii="Times New Roman" w:hAnsi="Times New Roman" w:cs="Times New Roman"/>
          <w:b/>
          <w:bCs/>
          <w:noProof/>
          <w:sz w:val="24"/>
          <w:szCs w:val="24"/>
          <w:lang w:val="sq-AL"/>
        </w:rPr>
        <w:t>t</w:t>
      </w:r>
      <w:r w:rsidR="00E479F0" w:rsidRPr="00641640">
        <w:rPr>
          <w:rFonts w:ascii="Times New Roman" w:hAnsi="Times New Roman" w:cs="Times New Roman"/>
          <w:b/>
          <w:bCs/>
          <w:noProof/>
          <w:sz w:val="24"/>
          <w:szCs w:val="24"/>
          <w:lang w:val="sq-AL"/>
        </w:rPr>
        <w:t xml:space="preserve"> në Bashkimin Evropian</w:t>
      </w:r>
      <w:r w:rsidR="00E479F0" w:rsidRPr="00641640">
        <w:rPr>
          <w:rFonts w:ascii="Times New Roman" w:hAnsi="Times New Roman" w:cs="Times New Roman"/>
          <w:noProof/>
          <w:sz w:val="24"/>
          <w:szCs w:val="24"/>
          <w:lang w:val="sq-AL"/>
        </w:rPr>
        <w:t xml:space="preserve">. </w:t>
      </w:r>
    </w:p>
    <w:p w14:paraId="45C5D8FB" w14:textId="77777777" w:rsidR="001A4379" w:rsidRPr="00641640" w:rsidRDefault="001A4379" w:rsidP="003A395D">
      <w:pPr>
        <w:spacing w:line="276" w:lineRule="auto"/>
        <w:jc w:val="both"/>
        <w:rPr>
          <w:rFonts w:ascii="Times New Roman" w:hAnsi="Times New Roman" w:cs="Times New Roman"/>
          <w:noProof/>
          <w:sz w:val="24"/>
          <w:szCs w:val="24"/>
          <w:lang w:val="sq-AL"/>
        </w:rPr>
      </w:pPr>
    </w:p>
    <w:p w14:paraId="774DD013" w14:textId="2E88C176" w:rsidR="000F53EE" w:rsidRPr="00641640" w:rsidRDefault="000F53EE" w:rsidP="003A395D">
      <w:pPr>
        <w:spacing w:line="276" w:lineRule="auto"/>
        <w:jc w:val="both"/>
        <w:rPr>
          <w:rFonts w:ascii="Times New Roman" w:hAnsi="Times New Roman" w:cs="Times New Roman"/>
          <w:b/>
          <w:noProof/>
          <w:color w:val="C45911" w:themeColor="accent2" w:themeShade="BF"/>
          <w:sz w:val="24"/>
          <w:szCs w:val="24"/>
          <w:lang w:val="sq-AL"/>
        </w:rPr>
      </w:pPr>
      <w:r w:rsidRPr="00641640">
        <w:rPr>
          <w:rFonts w:ascii="Times New Roman" w:hAnsi="Times New Roman" w:cs="Times New Roman"/>
          <w:b/>
          <w:noProof/>
          <w:color w:val="C45911" w:themeColor="accent2" w:themeShade="BF"/>
          <w:sz w:val="24"/>
          <w:szCs w:val="24"/>
          <w:lang w:val="sq-AL"/>
        </w:rPr>
        <w:t>Misioni</w:t>
      </w:r>
    </w:p>
    <w:p w14:paraId="183AF495" w14:textId="680CE7E5" w:rsidR="00737917" w:rsidRPr="00641640" w:rsidRDefault="00A017D6" w:rsidP="003A395D">
      <w:pPr>
        <w:spacing w:line="276" w:lineRule="auto"/>
        <w:jc w:val="both"/>
        <w:rPr>
          <w:rFonts w:ascii="Times New Roman" w:hAnsi="Times New Roman" w:cs="Times New Roman"/>
          <w:noProof/>
          <w:sz w:val="24"/>
          <w:szCs w:val="24"/>
          <w:lang w:val="sq-AL"/>
        </w:rPr>
        <w:sectPr w:rsidR="00737917" w:rsidRPr="00641640" w:rsidSect="00DB3F48">
          <w:pgSz w:w="12240" w:h="15840"/>
          <w:pgMar w:top="1440" w:right="1440" w:bottom="1440" w:left="1440" w:header="720" w:footer="720" w:gutter="0"/>
          <w:cols w:space="720"/>
          <w:docGrid w:linePitch="360"/>
        </w:sectPr>
      </w:pPr>
      <w:r w:rsidRPr="00641640">
        <w:rPr>
          <w:rFonts w:ascii="Times New Roman" w:hAnsi="Times New Roman" w:cs="Times New Roman"/>
          <w:bCs/>
          <w:noProof/>
          <w:sz w:val="24"/>
          <w:szCs w:val="24"/>
          <w:lang w:val="sq-AL"/>
        </w:rPr>
        <w:t xml:space="preserve">Misioni </w:t>
      </w:r>
      <w:r w:rsidR="00A70EFE" w:rsidRPr="00641640">
        <w:rPr>
          <w:rFonts w:ascii="Times New Roman" w:hAnsi="Times New Roman" w:cs="Times New Roman"/>
          <w:noProof/>
          <w:sz w:val="24"/>
          <w:szCs w:val="24"/>
          <w:lang w:val="sq-AL"/>
        </w:rPr>
        <w:t xml:space="preserve">i Qeverisë Shqiptare drejt realizimit të këtij vizioni është avancimi strategjik i Reformës në Administratën Publike drejt brendësimit gradual të standardeve evropiane </w:t>
      </w:r>
      <w:r w:rsidR="009D6C2C" w:rsidRPr="00641640">
        <w:rPr>
          <w:rFonts w:ascii="Times New Roman" w:hAnsi="Times New Roman" w:cs="Times New Roman"/>
          <w:noProof/>
          <w:sz w:val="24"/>
          <w:szCs w:val="24"/>
          <w:lang w:val="sq-AL"/>
        </w:rPr>
        <w:t>n</w:t>
      </w:r>
      <w:r w:rsidR="00414343" w:rsidRPr="00641640">
        <w:rPr>
          <w:rFonts w:ascii="Times New Roman" w:hAnsi="Times New Roman" w:cs="Times New Roman"/>
          <w:noProof/>
          <w:sz w:val="24"/>
          <w:szCs w:val="24"/>
          <w:lang w:val="sq-AL"/>
        </w:rPr>
        <w:t>ë</w:t>
      </w:r>
      <w:r w:rsidR="00A70EFE" w:rsidRPr="00641640">
        <w:rPr>
          <w:rFonts w:ascii="Times New Roman" w:hAnsi="Times New Roman" w:cs="Times New Roman"/>
          <w:noProof/>
          <w:sz w:val="24"/>
          <w:szCs w:val="24"/>
          <w:lang w:val="sq-AL"/>
        </w:rPr>
        <w:t xml:space="preserve"> funksionimin e</w:t>
      </w:r>
      <w:r w:rsidR="009D6C2C" w:rsidRPr="00641640">
        <w:rPr>
          <w:rFonts w:ascii="Times New Roman" w:hAnsi="Times New Roman" w:cs="Times New Roman"/>
          <w:noProof/>
          <w:sz w:val="24"/>
          <w:szCs w:val="24"/>
          <w:lang w:val="sq-AL"/>
        </w:rPr>
        <w:t xml:space="preserve"> p</w:t>
      </w:r>
      <w:r w:rsidR="00414343" w:rsidRPr="00641640">
        <w:rPr>
          <w:rFonts w:ascii="Times New Roman" w:hAnsi="Times New Roman" w:cs="Times New Roman"/>
          <w:noProof/>
          <w:sz w:val="24"/>
          <w:szCs w:val="24"/>
          <w:lang w:val="sq-AL"/>
        </w:rPr>
        <w:t>ë</w:t>
      </w:r>
      <w:r w:rsidR="009D6C2C" w:rsidRPr="00641640">
        <w:rPr>
          <w:rFonts w:ascii="Times New Roman" w:hAnsi="Times New Roman" w:cs="Times New Roman"/>
          <w:noProof/>
          <w:sz w:val="24"/>
          <w:szCs w:val="24"/>
          <w:lang w:val="sq-AL"/>
        </w:rPr>
        <w:t>rditsh</w:t>
      </w:r>
      <w:r w:rsidR="00414343" w:rsidRPr="00641640">
        <w:rPr>
          <w:rFonts w:ascii="Times New Roman" w:hAnsi="Times New Roman" w:cs="Times New Roman"/>
          <w:noProof/>
          <w:sz w:val="24"/>
          <w:szCs w:val="24"/>
          <w:lang w:val="sq-AL"/>
        </w:rPr>
        <w:t>ë</w:t>
      </w:r>
      <w:r w:rsidR="009D6C2C" w:rsidRPr="00641640">
        <w:rPr>
          <w:rFonts w:ascii="Times New Roman" w:hAnsi="Times New Roman" w:cs="Times New Roman"/>
          <w:noProof/>
          <w:sz w:val="24"/>
          <w:szCs w:val="24"/>
          <w:lang w:val="sq-AL"/>
        </w:rPr>
        <w:t>m t</w:t>
      </w:r>
      <w:r w:rsidR="00414343" w:rsidRPr="00641640">
        <w:rPr>
          <w:rFonts w:ascii="Times New Roman" w:hAnsi="Times New Roman" w:cs="Times New Roman"/>
          <w:noProof/>
          <w:sz w:val="24"/>
          <w:szCs w:val="24"/>
          <w:lang w:val="sq-AL"/>
        </w:rPr>
        <w:t>ë</w:t>
      </w:r>
      <w:r w:rsidR="00A70EFE" w:rsidRPr="00641640">
        <w:rPr>
          <w:rFonts w:ascii="Times New Roman" w:hAnsi="Times New Roman" w:cs="Times New Roman"/>
          <w:noProof/>
          <w:sz w:val="24"/>
          <w:szCs w:val="24"/>
          <w:lang w:val="sq-AL"/>
        </w:rPr>
        <w:t xml:space="preserve"> institucioneve publike. Ky mision do të përmbushet përmes zbatimit të </w:t>
      </w:r>
      <w:r w:rsidRPr="00641640">
        <w:rPr>
          <w:rFonts w:ascii="Times New Roman" w:hAnsi="Times New Roman" w:cs="Times New Roman"/>
          <w:noProof/>
          <w:sz w:val="24"/>
          <w:szCs w:val="24"/>
          <w:lang w:val="sq-AL"/>
        </w:rPr>
        <w:t>nj</w:t>
      </w:r>
      <w:r w:rsidR="00A70EF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harte</w:t>
      </w:r>
      <w:r w:rsidR="00737917" w:rsidRPr="00641640">
        <w:rPr>
          <w:rFonts w:ascii="Times New Roman" w:hAnsi="Times New Roman" w:cs="Times New Roman"/>
          <w:noProof/>
          <w:sz w:val="24"/>
          <w:szCs w:val="24"/>
          <w:lang w:val="sq-AL"/>
        </w:rPr>
        <w:t xml:space="preserve"> masash n</w:t>
      </w:r>
      <w:r w:rsidR="00A70EFE" w:rsidRPr="00641640">
        <w:rPr>
          <w:rFonts w:ascii="Times New Roman" w:hAnsi="Times New Roman" w:cs="Times New Roman"/>
          <w:noProof/>
          <w:sz w:val="24"/>
          <w:szCs w:val="24"/>
          <w:lang w:val="sq-AL"/>
        </w:rPr>
        <w:t>ë</w:t>
      </w:r>
      <w:r w:rsidR="00737917" w:rsidRPr="00641640">
        <w:rPr>
          <w:rFonts w:ascii="Times New Roman" w:hAnsi="Times New Roman" w:cs="Times New Roman"/>
          <w:noProof/>
          <w:sz w:val="24"/>
          <w:szCs w:val="24"/>
          <w:lang w:val="sq-AL"/>
        </w:rPr>
        <w:t>n</w:t>
      </w:r>
      <w:r w:rsidR="0077416D" w:rsidRPr="00641640">
        <w:rPr>
          <w:rFonts w:ascii="Times New Roman" w:hAnsi="Times New Roman" w:cs="Times New Roman"/>
          <w:noProof/>
          <w:sz w:val="24"/>
          <w:szCs w:val="24"/>
          <w:lang w:val="sq-AL"/>
        </w:rPr>
        <w:t xml:space="preserve"> 5</w:t>
      </w:r>
      <w:r w:rsidR="00CF304D">
        <w:rPr>
          <w:rFonts w:ascii="Times New Roman" w:hAnsi="Times New Roman" w:cs="Times New Roman"/>
          <w:noProof/>
          <w:sz w:val="24"/>
          <w:szCs w:val="24"/>
          <w:lang w:val="sq-AL"/>
        </w:rPr>
        <w:t xml:space="preserve"> (pesë)</w:t>
      </w:r>
      <w:r w:rsidR="00737917" w:rsidRPr="00641640">
        <w:rPr>
          <w:rFonts w:ascii="Times New Roman" w:hAnsi="Times New Roman" w:cs="Times New Roman"/>
          <w:noProof/>
          <w:sz w:val="24"/>
          <w:szCs w:val="24"/>
          <w:lang w:val="sq-AL"/>
        </w:rPr>
        <w:t xml:space="preserve"> Q</w:t>
      </w:r>
      <w:r w:rsidR="00A70EFE" w:rsidRPr="00641640">
        <w:rPr>
          <w:rFonts w:ascii="Times New Roman" w:hAnsi="Times New Roman" w:cs="Times New Roman"/>
          <w:noProof/>
          <w:sz w:val="24"/>
          <w:szCs w:val="24"/>
          <w:lang w:val="sq-AL"/>
        </w:rPr>
        <w:t>ë</w:t>
      </w:r>
      <w:r w:rsidR="00737917" w:rsidRPr="00641640">
        <w:rPr>
          <w:rFonts w:ascii="Times New Roman" w:hAnsi="Times New Roman" w:cs="Times New Roman"/>
          <w:noProof/>
          <w:sz w:val="24"/>
          <w:szCs w:val="24"/>
          <w:lang w:val="sq-AL"/>
        </w:rPr>
        <w:t>llime</w:t>
      </w:r>
      <w:r w:rsidR="00A70EFE" w:rsidRPr="00641640">
        <w:rPr>
          <w:rFonts w:ascii="Times New Roman" w:hAnsi="Times New Roman" w:cs="Times New Roman"/>
          <w:noProof/>
          <w:sz w:val="24"/>
          <w:szCs w:val="24"/>
          <w:lang w:val="sq-AL"/>
        </w:rPr>
        <w:t xml:space="preserve"> kryesore</w:t>
      </w:r>
      <w:r w:rsidR="00737917" w:rsidRPr="00641640">
        <w:rPr>
          <w:rFonts w:ascii="Times New Roman" w:hAnsi="Times New Roman" w:cs="Times New Roman"/>
          <w:noProof/>
          <w:sz w:val="24"/>
          <w:szCs w:val="24"/>
          <w:lang w:val="sq-AL"/>
        </w:rPr>
        <w:t xml:space="preserve"> </w:t>
      </w:r>
      <w:r w:rsidR="00A70EFE" w:rsidRPr="00641640">
        <w:rPr>
          <w:rFonts w:ascii="Times New Roman" w:hAnsi="Times New Roman" w:cs="Times New Roman"/>
          <w:noProof/>
          <w:sz w:val="24"/>
          <w:szCs w:val="24"/>
          <w:lang w:val="sq-AL"/>
        </w:rPr>
        <w:t>të Politikës, detajuar në pjesën e dytë të këtij dokumenti.</w:t>
      </w:r>
    </w:p>
    <w:p w14:paraId="6E7C8374" w14:textId="0A1F0BDA" w:rsidR="00E36DBB" w:rsidRPr="00641640" w:rsidRDefault="00E36DBB" w:rsidP="00B222B9">
      <w:pPr>
        <w:pBdr>
          <w:bottom w:val="single" w:sz="24" w:space="1" w:color="F0CDA1"/>
        </w:pBdr>
        <w:spacing w:before="120" w:after="120"/>
        <w:jc w:val="center"/>
        <w:rPr>
          <w:rFonts w:ascii="Times New Roman" w:eastAsia="Arial" w:hAnsi="Times New Roman" w:cs="Times New Roman"/>
          <w:b/>
          <w:noProof/>
          <w:color w:val="003300"/>
          <w:sz w:val="36"/>
          <w:szCs w:val="36"/>
          <w:lang w:val="sq-AL"/>
        </w:rPr>
      </w:pPr>
      <w:bookmarkStart w:id="30" w:name="_Toc118282608"/>
      <w:r w:rsidRPr="00641640">
        <w:rPr>
          <w:rFonts w:ascii="Times New Roman" w:eastAsia="Arial" w:hAnsi="Times New Roman" w:cs="Times New Roman"/>
          <w:b/>
          <w:noProof/>
          <w:color w:val="003300"/>
          <w:sz w:val="36"/>
          <w:szCs w:val="36"/>
          <w:lang w:val="sq-AL"/>
        </w:rPr>
        <w:lastRenderedPageBreak/>
        <w:t>PJESA II – QËLLIMI I POLITIKAVE, OBJEKTIVAT SPECIFIK</w:t>
      </w:r>
      <w:r w:rsidR="008C2A55" w:rsidRPr="00641640">
        <w:rPr>
          <w:rFonts w:ascii="Times New Roman" w:eastAsia="Arial" w:hAnsi="Times New Roman" w:cs="Times New Roman"/>
          <w:b/>
          <w:noProof/>
          <w:color w:val="003300"/>
          <w:sz w:val="36"/>
          <w:szCs w:val="36"/>
          <w:lang w:val="sq-AL"/>
        </w:rPr>
        <w:t>Ë</w:t>
      </w:r>
      <w:r w:rsidRPr="00641640">
        <w:rPr>
          <w:rFonts w:ascii="Times New Roman" w:eastAsia="Arial" w:hAnsi="Times New Roman" w:cs="Times New Roman"/>
          <w:b/>
          <w:noProof/>
          <w:color w:val="003300"/>
          <w:sz w:val="36"/>
          <w:szCs w:val="36"/>
          <w:lang w:val="sq-AL"/>
        </w:rPr>
        <w:t xml:space="preserve">, MASAT </w:t>
      </w:r>
      <w:r w:rsidR="00DB2AE7" w:rsidRPr="00641640">
        <w:rPr>
          <w:rFonts w:ascii="Times New Roman" w:eastAsia="Arial" w:hAnsi="Times New Roman" w:cs="Times New Roman"/>
          <w:b/>
          <w:noProof/>
          <w:color w:val="003300"/>
          <w:sz w:val="36"/>
          <w:szCs w:val="36"/>
          <w:lang w:val="sq-AL"/>
        </w:rPr>
        <w:t>DHE TREGUESIT E</w:t>
      </w:r>
      <w:r w:rsidR="008C2A55" w:rsidRPr="00641640">
        <w:rPr>
          <w:rFonts w:ascii="Times New Roman" w:eastAsia="Arial" w:hAnsi="Times New Roman" w:cs="Times New Roman"/>
          <w:b/>
          <w:noProof/>
          <w:color w:val="003300"/>
          <w:sz w:val="36"/>
          <w:szCs w:val="36"/>
          <w:lang w:val="sq-AL"/>
        </w:rPr>
        <w:t xml:space="preserve"> PERFORMANCËS TË</w:t>
      </w:r>
      <w:r w:rsidR="00DB2AE7" w:rsidRPr="00641640">
        <w:rPr>
          <w:rFonts w:ascii="Times New Roman" w:eastAsia="Arial" w:hAnsi="Times New Roman" w:cs="Times New Roman"/>
          <w:b/>
          <w:noProof/>
          <w:color w:val="003300"/>
          <w:sz w:val="36"/>
          <w:szCs w:val="36"/>
          <w:lang w:val="sq-AL"/>
        </w:rPr>
        <w:t xml:space="preserve"> </w:t>
      </w:r>
      <w:r w:rsidR="00D948ED" w:rsidRPr="00641640">
        <w:rPr>
          <w:rFonts w:ascii="Times New Roman" w:eastAsia="Arial" w:hAnsi="Times New Roman" w:cs="Times New Roman"/>
          <w:b/>
          <w:noProof/>
          <w:color w:val="003300"/>
          <w:sz w:val="36"/>
          <w:szCs w:val="36"/>
          <w:lang w:val="sq-AL"/>
        </w:rPr>
        <w:t>SNRAP</w:t>
      </w:r>
      <w:r w:rsidRPr="00641640">
        <w:rPr>
          <w:rFonts w:ascii="Times New Roman" w:eastAsia="Arial" w:hAnsi="Times New Roman" w:cs="Times New Roman"/>
          <w:b/>
          <w:noProof/>
          <w:color w:val="003300"/>
          <w:sz w:val="36"/>
          <w:szCs w:val="36"/>
          <w:lang w:val="sq-AL"/>
        </w:rPr>
        <w:t xml:space="preserve"> 202</w:t>
      </w:r>
      <w:r w:rsidR="008C2A55" w:rsidRPr="00641640">
        <w:rPr>
          <w:rFonts w:ascii="Times New Roman" w:eastAsia="Arial" w:hAnsi="Times New Roman" w:cs="Times New Roman"/>
          <w:b/>
          <w:noProof/>
          <w:color w:val="003300"/>
          <w:sz w:val="36"/>
          <w:szCs w:val="36"/>
          <w:lang w:val="sq-AL"/>
        </w:rPr>
        <w:t>5</w:t>
      </w:r>
      <w:r w:rsidRPr="00641640">
        <w:rPr>
          <w:rFonts w:ascii="Times New Roman" w:eastAsia="Arial" w:hAnsi="Times New Roman" w:cs="Times New Roman"/>
          <w:b/>
          <w:noProof/>
          <w:color w:val="003300"/>
          <w:sz w:val="36"/>
          <w:szCs w:val="36"/>
          <w:lang w:val="sq-AL"/>
        </w:rPr>
        <w:t xml:space="preserve"> – 2030</w:t>
      </w:r>
    </w:p>
    <w:p w14:paraId="39CBF24D" w14:textId="77777777" w:rsidR="00E36DBB" w:rsidRPr="00641640" w:rsidRDefault="00E36DBB" w:rsidP="00E36DBB">
      <w:pPr>
        <w:spacing w:line="276" w:lineRule="auto"/>
        <w:jc w:val="both"/>
        <w:rPr>
          <w:rFonts w:ascii="Times New Roman" w:eastAsia="Calibri" w:hAnsi="Times New Roman" w:cs="Times New Roman"/>
          <w:noProof/>
          <w:sz w:val="24"/>
          <w:szCs w:val="24"/>
          <w:lang w:val="sq-AL"/>
        </w:rPr>
      </w:pPr>
    </w:p>
    <w:p w14:paraId="601B42DF" w14:textId="4BDB4E93" w:rsidR="00E36DBB" w:rsidRPr="00641640" w:rsidRDefault="00E36DBB" w:rsidP="00E36DBB">
      <w:pPr>
        <w:spacing w:after="0" w:line="276" w:lineRule="auto"/>
        <w:jc w:val="center"/>
        <w:rPr>
          <w:rFonts w:ascii="Times New Roman" w:eastAsia="Calibri" w:hAnsi="Times New Roman" w:cs="Times New Roman"/>
          <w:noProof/>
          <w:sz w:val="24"/>
          <w:szCs w:val="24"/>
          <w:lang w:val="sq-AL"/>
        </w:rPr>
      </w:pPr>
      <w:r w:rsidRPr="00641640">
        <w:rPr>
          <w:rFonts w:ascii="Times New Roman" w:eastAsia="Calibri" w:hAnsi="Times New Roman" w:cs="Times New Roman"/>
          <w:noProof/>
          <w:sz w:val="24"/>
          <w:szCs w:val="24"/>
          <w:lang w:val="sq-AL"/>
        </w:rPr>
        <w:t xml:space="preserve">Qëllimet e Politikës së </w:t>
      </w:r>
      <w:bookmarkEnd w:id="30"/>
      <w:r w:rsidR="00626196" w:rsidRPr="00641640">
        <w:rPr>
          <w:rFonts w:ascii="Times New Roman" w:eastAsia="Calibri" w:hAnsi="Times New Roman" w:cs="Times New Roman"/>
          <w:noProof/>
          <w:sz w:val="24"/>
          <w:szCs w:val="24"/>
          <w:lang w:val="sq-AL"/>
        </w:rPr>
        <w:t>SNRAP</w:t>
      </w:r>
      <w:r w:rsidRPr="00641640">
        <w:rPr>
          <w:rFonts w:ascii="Times New Roman" w:eastAsia="Calibri" w:hAnsi="Times New Roman" w:cs="Times New Roman"/>
          <w:noProof/>
          <w:sz w:val="24"/>
          <w:szCs w:val="24"/>
          <w:lang w:val="sq-AL"/>
        </w:rPr>
        <w:t xml:space="preserve"> 202</w:t>
      </w:r>
      <w:r w:rsidR="00626196" w:rsidRPr="00641640">
        <w:rPr>
          <w:rFonts w:ascii="Times New Roman" w:eastAsia="Calibri" w:hAnsi="Times New Roman" w:cs="Times New Roman"/>
          <w:noProof/>
          <w:sz w:val="24"/>
          <w:szCs w:val="24"/>
          <w:lang w:val="sq-AL"/>
        </w:rPr>
        <w:t>5</w:t>
      </w:r>
      <w:r w:rsidRPr="00641640">
        <w:rPr>
          <w:rFonts w:ascii="Times New Roman" w:eastAsia="Calibri" w:hAnsi="Times New Roman" w:cs="Times New Roman"/>
          <w:noProof/>
          <w:sz w:val="24"/>
          <w:szCs w:val="24"/>
          <w:lang w:val="sq-AL"/>
        </w:rPr>
        <w:t xml:space="preserve"> – 2030</w:t>
      </w:r>
    </w:p>
    <w:p w14:paraId="10E1491E" w14:textId="77777777" w:rsidR="00E36DBB" w:rsidRPr="00641640" w:rsidRDefault="00E36DBB" w:rsidP="00E36DBB">
      <w:pPr>
        <w:spacing w:after="0" w:line="276" w:lineRule="auto"/>
        <w:jc w:val="center"/>
        <w:rPr>
          <w:rFonts w:ascii="Times New Roman" w:eastAsia="Calibri" w:hAnsi="Times New Roman" w:cs="Times New Roman"/>
          <w:noProof/>
          <w:sz w:val="24"/>
          <w:szCs w:val="24"/>
          <w:lang w:val="sq-AL"/>
        </w:rPr>
      </w:pPr>
    </w:p>
    <w:p w14:paraId="2DBED127" w14:textId="05F64FCB" w:rsidR="00E36DBB" w:rsidRPr="00641640" w:rsidRDefault="00E36DBB" w:rsidP="00E36DBB">
      <w:pPr>
        <w:spacing w:after="0" w:line="276" w:lineRule="auto"/>
        <w:jc w:val="center"/>
        <w:rPr>
          <w:rFonts w:ascii="Times New Roman" w:eastAsia="Calibri" w:hAnsi="Times New Roman" w:cs="Times New Roman"/>
          <w:noProof/>
          <w:sz w:val="24"/>
          <w:szCs w:val="24"/>
          <w:lang w:val="sq-AL"/>
        </w:rPr>
      </w:pPr>
      <w:r w:rsidRPr="00641640">
        <w:rPr>
          <w:rFonts w:ascii="Times New Roman" w:eastAsia="Calibri" w:hAnsi="Times New Roman" w:cs="Times New Roman"/>
          <w:noProof/>
          <w:sz w:val="24"/>
          <w:szCs w:val="24"/>
          <w:lang w:val="sq-AL"/>
        </w:rPr>
        <w:t>SN</w:t>
      </w:r>
      <w:r w:rsidR="00626196" w:rsidRPr="00641640">
        <w:rPr>
          <w:rFonts w:ascii="Times New Roman" w:eastAsia="Calibri" w:hAnsi="Times New Roman" w:cs="Times New Roman"/>
          <w:noProof/>
          <w:sz w:val="24"/>
          <w:szCs w:val="24"/>
          <w:lang w:val="sq-AL"/>
        </w:rPr>
        <w:t>RAP</w:t>
      </w:r>
      <w:r w:rsidRPr="00641640">
        <w:rPr>
          <w:rFonts w:ascii="Times New Roman" w:eastAsia="Calibri" w:hAnsi="Times New Roman" w:cs="Times New Roman"/>
          <w:noProof/>
          <w:sz w:val="24"/>
          <w:szCs w:val="24"/>
          <w:lang w:val="sq-AL"/>
        </w:rPr>
        <w:t xml:space="preserve"> 202</w:t>
      </w:r>
      <w:r w:rsidR="00626196" w:rsidRPr="00641640">
        <w:rPr>
          <w:rFonts w:ascii="Times New Roman" w:eastAsia="Calibri" w:hAnsi="Times New Roman" w:cs="Times New Roman"/>
          <w:noProof/>
          <w:sz w:val="24"/>
          <w:szCs w:val="24"/>
          <w:lang w:val="sq-AL"/>
        </w:rPr>
        <w:t>5</w:t>
      </w:r>
      <w:r w:rsidRPr="00641640">
        <w:rPr>
          <w:rFonts w:ascii="Times New Roman" w:eastAsia="Calibri" w:hAnsi="Times New Roman" w:cs="Times New Roman"/>
          <w:noProof/>
          <w:sz w:val="24"/>
          <w:szCs w:val="24"/>
          <w:lang w:val="sq-AL"/>
        </w:rPr>
        <w:t xml:space="preserve"> – 2030 përmban 5 (pesë) qëllime kryesore:</w:t>
      </w:r>
    </w:p>
    <w:p w14:paraId="0C6A8310" w14:textId="77777777" w:rsidR="00E36DBB" w:rsidRPr="00641640" w:rsidRDefault="00E36DBB" w:rsidP="00E36DBB">
      <w:pPr>
        <w:spacing w:line="240" w:lineRule="auto"/>
        <w:jc w:val="both"/>
        <w:rPr>
          <w:rFonts w:ascii="Times New Roman" w:eastAsia="Times New Roman" w:hAnsi="Times New Roman" w:cs="Times New Roman"/>
          <w:noProof/>
          <w:lang w:val="sq-AL"/>
        </w:rPr>
      </w:pPr>
    </w:p>
    <w:p w14:paraId="6D32B1A2" w14:textId="77777777" w:rsidR="00E36DBB" w:rsidRPr="00641640" w:rsidRDefault="00E36DBB" w:rsidP="00E36DBB">
      <w:pPr>
        <w:spacing w:line="240" w:lineRule="auto"/>
        <w:jc w:val="both"/>
        <w:rPr>
          <w:rFonts w:ascii="Times New Roman" w:eastAsia="Times New Roman" w:hAnsi="Times New Roman" w:cs="Times New Roman"/>
          <w:noProof/>
          <w:lang w:val="sq-AL"/>
        </w:rPr>
      </w:pPr>
    </w:p>
    <w:p w14:paraId="4CD5963A" w14:textId="70713BCE" w:rsidR="00E36DBB" w:rsidRPr="00641640" w:rsidRDefault="00E36DBB" w:rsidP="00E36DBB">
      <w:pPr>
        <w:spacing w:line="240" w:lineRule="auto"/>
        <w:jc w:val="both"/>
        <w:rPr>
          <w:rFonts w:ascii="Times New Roman" w:eastAsia="Times New Roman" w:hAnsi="Times New Roman" w:cs="Times New Roman"/>
          <w:noProof/>
          <w:lang w:val="sq-AL"/>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2340"/>
        <w:gridCol w:w="4410"/>
      </w:tblGrid>
      <w:tr w:rsidR="00531042" w:rsidRPr="00641640" w14:paraId="623C35D4" w14:textId="77777777" w:rsidTr="00AC5E4F">
        <w:trPr>
          <w:trHeight w:val="1079"/>
        </w:trPr>
        <w:tc>
          <w:tcPr>
            <w:tcW w:w="2785" w:type="dxa"/>
          </w:tcPr>
          <w:p w14:paraId="5CA8AD96" w14:textId="77777777" w:rsidR="00531042" w:rsidRPr="00641640" w:rsidRDefault="00531042" w:rsidP="00BC6632">
            <w:pPr>
              <w:jc w:val="both"/>
              <w:rPr>
                <w:rFonts w:ascii="Times New Roman" w:eastAsia="Times New Roman" w:hAnsi="Times New Roman" w:cs="Times New Roman"/>
                <w:noProof/>
                <w:sz w:val="28"/>
                <w:szCs w:val="28"/>
                <w:lang w:val="sq-AL"/>
              </w:rPr>
            </w:pPr>
          </w:p>
          <w:p w14:paraId="2E4C4EF7" w14:textId="77777777" w:rsidR="00531042" w:rsidRPr="00641640" w:rsidRDefault="00531042" w:rsidP="00531042">
            <w:pPr>
              <w:jc w:val="both"/>
              <w:rPr>
                <w:rFonts w:ascii="Times New Roman" w:eastAsia="Times New Roman" w:hAnsi="Times New Roman" w:cs="Times New Roman"/>
                <w:b/>
                <w:bCs/>
                <w:iCs/>
                <w:noProof/>
                <w:sz w:val="28"/>
                <w:szCs w:val="28"/>
                <w:lang w:val="sq-AL"/>
              </w:rPr>
            </w:pPr>
            <w:r w:rsidRPr="00641640">
              <w:rPr>
                <w:rFonts w:ascii="Times New Roman" w:eastAsia="Times New Roman" w:hAnsi="Times New Roman" w:cs="Times New Roman"/>
                <w:b/>
                <w:bCs/>
                <w:iCs/>
                <w:noProof/>
                <w:sz w:val="28"/>
                <w:szCs w:val="28"/>
                <w:lang w:val="sq-AL"/>
              </w:rPr>
              <w:t>Qëllimi i Politikës I</w:t>
            </w:r>
          </w:p>
          <w:p w14:paraId="69434012" w14:textId="55CF8900" w:rsidR="00531042" w:rsidRPr="00641640" w:rsidRDefault="00531042" w:rsidP="00BC6632">
            <w:pPr>
              <w:jc w:val="both"/>
              <w:rPr>
                <w:rFonts w:ascii="Times New Roman" w:eastAsia="Times New Roman" w:hAnsi="Times New Roman" w:cs="Times New Roman"/>
                <w:noProof/>
                <w:sz w:val="28"/>
                <w:szCs w:val="28"/>
                <w:lang w:val="sq-AL"/>
              </w:rPr>
            </w:pPr>
          </w:p>
        </w:tc>
        <w:tc>
          <w:tcPr>
            <w:tcW w:w="2340" w:type="dxa"/>
          </w:tcPr>
          <w:p w14:paraId="5F33E659" w14:textId="757CE7C2" w:rsidR="00531042" w:rsidRPr="00641640" w:rsidRDefault="00DC460F" w:rsidP="00FA510F">
            <w:pPr>
              <w:jc w:val="both"/>
              <w:rPr>
                <w:rFonts w:ascii="Times New Roman" w:hAnsi="Times New Roman" w:cs="Times New Roman"/>
                <w:b/>
                <w:bCs/>
                <w:noProof/>
                <w:color w:val="003300"/>
                <w:lang w:val="sq-AL"/>
              </w:rPr>
            </w:pPr>
            <w:r w:rsidRPr="00641640">
              <w:rPr>
                <w:rFonts w:ascii="Times New Roman" w:hAnsi="Times New Roman" w:cs="Times New Roman"/>
                <w:b/>
                <w:bCs/>
                <w:noProof/>
                <w:color w:val="003300"/>
              </w:rPr>
              <mc:AlternateContent>
                <mc:Choice Requires="wps">
                  <w:drawing>
                    <wp:anchor distT="0" distB="0" distL="114300" distR="114300" simplePos="0" relativeHeight="251658241" behindDoc="0" locked="0" layoutInCell="1" allowOverlap="1" wp14:anchorId="53D3FD01" wp14:editId="39153FC1">
                      <wp:simplePos x="0" y="0"/>
                      <wp:positionH relativeFrom="column">
                        <wp:posOffset>-32054</wp:posOffset>
                      </wp:positionH>
                      <wp:positionV relativeFrom="paragraph">
                        <wp:posOffset>296490</wp:posOffset>
                      </wp:positionV>
                      <wp:extent cx="1338402" cy="95416"/>
                      <wp:effectExtent l="0" t="0" r="0" b="0"/>
                      <wp:wrapNone/>
                      <wp:docPr id="1269731036" name="Arrow: Right 6"/>
                      <wp:cNvGraphicFramePr/>
                      <a:graphic xmlns:a="http://schemas.openxmlformats.org/drawingml/2006/main">
                        <a:graphicData uri="http://schemas.microsoft.com/office/word/2010/wordprocessingShape">
                          <wps:wsp>
                            <wps:cNvSpPr/>
                            <wps:spPr>
                              <a:xfrm>
                                <a:off x="0" y="0"/>
                                <a:ext cx="1338402" cy="95416"/>
                              </a:xfrm>
                              <a:prstGeom prst="rightArrow">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FC6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6" type="#_x0000_t13" style="position:absolute;margin-left:-2.5pt;margin-top:23.35pt;width:105.4pt;height: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" adj="20830" fillcolor="#4a732f [2153]" stroked="f">
                      <v:fill color2="#a8d08d [1945]" rotate="t" angle="180" colors="0 #4b7430;31457f #74b349;1 #a9d18e" focus="100%" type="gradient"/>
                    </v:shape>
                  </w:pict>
                </mc:Fallback>
              </mc:AlternateContent>
            </w:r>
          </w:p>
        </w:tc>
        <w:tc>
          <w:tcPr>
            <w:tcW w:w="4410" w:type="dxa"/>
          </w:tcPr>
          <w:p w14:paraId="2FE9C462" w14:textId="4E459A0E" w:rsidR="00531042" w:rsidRPr="00641640" w:rsidRDefault="00531042" w:rsidP="00D324DB">
            <w:pPr>
              <w:jc w:val="both"/>
              <w:rPr>
                <w:rFonts w:ascii="Times New Roman" w:hAnsi="Times New Roman" w:cs="Times New Roman"/>
                <w:b/>
                <w:bCs/>
                <w:noProof/>
                <w:sz w:val="28"/>
                <w:szCs w:val="28"/>
                <w:lang w:val="sq-AL"/>
              </w:rPr>
            </w:pPr>
          </w:p>
          <w:p w14:paraId="413325C1" w14:textId="097D887C" w:rsidR="00531042" w:rsidRPr="00641640" w:rsidRDefault="00531042" w:rsidP="00D324DB">
            <w:pPr>
              <w:jc w:val="both"/>
              <w:rPr>
                <w:rFonts w:ascii="Times New Roman" w:eastAsia="Times New Roman" w:hAnsi="Times New Roman" w:cs="Times New Roman"/>
                <w:b/>
                <w:bCs/>
                <w:noProof/>
                <w:sz w:val="28"/>
                <w:szCs w:val="28"/>
                <w:lang w:val="sq-AL"/>
              </w:rPr>
            </w:pPr>
            <w:r w:rsidRPr="00641640">
              <w:rPr>
                <w:rFonts w:ascii="Times New Roman" w:hAnsi="Times New Roman" w:cs="Times New Roman"/>
                <w:b/>
                <w:bCs/>
                <w:noProof/>
                <w:sz w:val="28"/>
                <w:szCs w:val="28"/>
                <w:lang w:val="sq-AL"/>
              </w:rPr>
              <w:t>Zhvillimi dhe Koordinimi i Politikave</w:t>
            </w:r>
          </w:p>
        </w:tc>
      </w:tr>
      <w:tr w:rsidR="00531042" w:rsidRPr="00641640" w14:paraId="1750194D" w14:textId="77777777" w:rsidTr="00AC5E4F">
        <w:trPr>
          <w:trHeight w:val="1061"/>
        </w:trPr>
        <w:tc>
          <w:tcPr>
            <w:tcW w:w="2785" w:type="dxa"/>
          </w:tcPr>
          <w:p w14:paraId="0EE6F838" w14:textId="77777777" w:rsidR="00531042" w:rsidRPr="00641640" w:rsidRDefault="00531042" w:rsidP="00531042">
            <w:pPr>
              <w:rPr>
                <w:rFonts w:ascii="Times New Roman" w:eastAsia="Times New Roman" w:hAnsi="Times New Roman" w:cs="Times New Roman"/>
                <w:b/>
                <w:bCs/>
                <w:iCs/>
                <w:noProof/>
                <w:sz w:val="36"/>
                <w:szCs w:val="36"/>
                <w:lang w:val="sq-AL"/>
              </w:rPr>
            </w:pPr>
          </w:p>
          <w:p w14:paraId="1D43A408" w14:textId="2296D145" w:rsidR="00531042" w:rsidRPr="00641640" w:rsidRDefault="00531042" w:rsidP="00531042">
            <w:pPr>
              <w:rPr>
                <w:rFonts w:ascii="Times New Roman" w:hAnsi="Times New Roman" w:cs="Times New Roman"/>
                <w:noProof/>
                <w:lang w:val="sq-AL"/>
              </w:rPr>
            </w:pPr>
            <w:r w:rsidRPr="00641640">
              <w:rPr>
                <w:rFonts w:ascii="Times New Roman" w:eastAsia="Times New Roman" w:hAnsi="Times New Roman" w:cs="Times New Roman"/>
                <w:b/>
                <w:bCs/>
                <w:iCs/>
                <w:noProof/>
                <w:sz w:val="28"/>
                <w:szCs w:val="28"/>
                <w:lang w:val="sq-AL"/>
              </w:rPr>
              <w:t>Qëllimi i Politikës II</w:t>
            </w:r>
          </w:p>
          <w:p w14:paraId="62A9B830" w14:textId="1AAF364C" w:rsidR="00531042" w:rsidRPr="00641640" w:rsidRDefault="00531042" w:rsidP="002C31DE">
            <w:pPr>
              <w:jc w:val="both"/>
              <w:rPr>
                <w:rFonts w:ascii="Times New Roman" w:eastAsia="Times New Roman" w:hAnsi="Times New Roman" w:cs="Times New Roman"/>
                <w:b/>
                <w:bCs/>
                <w:noProof/>
                <w:sz w:val="28"/>
                <w:szCs w:val="28"/>
                <w:lang w:val="sq-AL"/>
              </w:rPr>
            </w:pPr>
          </w:p>
        </w:tc>
        <w:tc>
          <w:tcPr>
            <w:tcW w:w="2340" w:type="dxa"/>
          </w:tcPr>
          <w:p w14:paraId="04DD8B34" w14:textId="6BD494B7" w:rsidR="00531042" w:rsidRPr="00641640" w:rsidRDefault="00AC5E4F" w:rsidP="002C31DE">
            <w:pPr>
              <w:jc w:val="both"/>
              <w:rPr>
                <w:rFonts w:ascii="Times New Roman" w:hAnsi="Times New Roman" w:cs="Times New Roman"/>
                <w:b/>
                <w:bCs/>
                <w:noProof/>
                <w:lang w:val="sq-AL"/>
              </w:rPr>
            </w:pPr>
            <w:r w:rsidRPr="00641640">
              <w:rPr>
                <w:rFonts w:ascii="Times New Roman" w:hAnsi="Times New Roman" w:cs="Times New Roman"/>
                <w:b/>
                <w:bCs/>
                <w:noProof/>
              </w:rPr>
              <mc:AlternateContent>
                <mc:Choice Requires="wps">
                  <w:drawing>
                    <wp:anchor distT="0" distB="0" distL="114300" distR="114300" simplePos="0" relativeHeight="251658247" behindDoc="0" locked="0" layoutInCell="1" allowOverlap="1" wp14:anchorId="555A1A21" wp14:editId="2FA8FE5D">
                      <wp:simplePos x="0" y="0"/>
                      <wp:positionH relativeFrom="column">
                        <wp:posOffset>-10795</wp:posOffset>
                      </wp:positionH>
                      <wp:positionV relativeFrom="paragraph">
                        <wp:posOffset>327909</wp:posOffset>
                      </wp:positionV>
                      <wp:extent cx="1338402" cy="95416"/>
                      <wp:effectExtent l="0" t="0" r="0" b="0"/>
                      <wp:wrapNone/>
                      <wp:docPr id="2134354482" name="Arrow: Right 6"/>
                      <wp:cNvGraphicFramePr/>
                      <a:graphic xmlns:a="http://schemas.openxmlformats.org/drawingml/2006/main">
                        <a:graphicData uri="http://schemas.microsoft.com/office/word/2010/wordprocessingShape">
                          <wps:wsp>
                            <wps:cNvSpPr/>
                            <wps:spPr>
                              <a:xfrm>
                                <a:off x="0" y="0"/>
                                <a:ext cx="1338402" cy="95416"/>
                              </a:xfrm>
                              <a:prstGeom prst="rightArrow">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B612C" id="Arrow: Right 6" o:spid="_x0000_s1026" type="#_x0000_t13" style="position:absolute;margin-left:-.85pt;margin-top:25.8pt;width:105.4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" adj="20830" fillcolor="#4a732f [2153]" stroked="f">
                      <v:fill color2="#a8d08d [1945]" rotate="t" angle="180" colors="0 #4b7430;31457f #74b349;1 #a9d18e" focus="100%" type="gradient"/>
                    </v:shape>
                  </w:pict>
                </mc:Fallback>
              </mc:AlternateContent>
            </w:r>
          </w:p>
        </w:tc>
        <w:tc>
          <w:tcPr>
            <w:tcW w:w="4410" w:type="dxa"/>
          </w:tcPr>
          <w:p w14:paraId="3644488E" w14:textId="470AD015" w:rsidR="00531042" w:rsidRPr="00641640" w:rsidRDefault="00531042" w:rsidP="00D324DB">
            <w:pPr>
              <w:jc w:val="both"/>
              <w:rPr>
                <w:rFonts w:ascii="Times New Roman" w:hAnsi="Times New Roman" w:cs="Times New Roman"/>
                <w:b/>
                <w:bCs/>
                <w:noProof/>
                <w:sz w:val="28"/>
                <w:szCs w:val="28"/>
                <w:lang w:val="sq-AL"/>
              </w:rPr>
            </w:pPr>
          </w:p>
          <w:p w14:paraId="55DF64B7" w14:textId="77777777" w:rsidR="00531042" w:rsidRPr="00641640" w:rsidRDefault="00531042" w:rsidP="00D324DB">
            <w:pPr>
              <w:jc w:val="both"/>
              <w:rPr>
                <w:rFonts w:ascii="Times New Roman" w:hAnsi="Times New Roman" w:cs="Times New Roman"/>
                <w:b/>
                <w:bCs/>
                <w:noProof/>
                <w:sz w:val="28"/>
                <w:szCs w:val="28"/>
                <w:lang w:val="sq-AL"/>
              </w:rPr>
            </w:pPr>
            <w:r w:rsidRPr="00641640">
              <w:rPr>
                <w:rFonts w:ascii="Times New Roman" w:hAnsi="Times New Roman" w:cs="Times New Roman"/>
                <w:b/>
                <w:bCs/>
                <w:noProof/>
                <w:sz w:val="28"/>
                <w:szCs w:val="28"/>
                <w:lang w:val="sq-AL"/>
              </w:rPr>
              <w:t>Shërbimi civil dhe menaxhimi i burimeve njerëzore</w:t>
            </w:r>
          </w:p>
          <w:p w14:paraId="62ACB95D" w14:textId="38BFEF18" w:rsidR="001F7CE0" w:rsidRPr="00641640" w:rsidRDefault="001F7CE0" w:rsidP="00D324DB">
            <w:pPr>
              <w:jc w:val="both"/>
              <w:rPr>
                <w:rFonts w:ascii="Times New Roman" w:eastAsia="Times New Roman" w:hAnsi="Times New Roman" w:cs="Times New Roman"/>
                <w:b/>
                <w:bCs/>
                <w:noProof/>
                <w:sz w:val="28"/>
                <w:szCs w:val="28"/>
                <w:lang w:val="sq-AL"/>
              </w:rPr>
            </w:pPr>
          </w:p>
        </w:tc>
      </w:tr>
      <w:tr w:rsidR="00531042" w:rsidRPr="00641640" w14:paraId="4B80C0AD" w14:textId="77777777" w:rsidTr="00AC5E4F">
        <w:trPr>
          <w:trHeight w:val="1070"/>
        </w:trPr>
        <w:tc>
          <w:tcPr>
            <w:tcW w:w="2785" w:type="dxa"/>
          </w:tcPr>
          <w:p w14:paraId="6F7FE370" w14:textId="77777777" w:rsidR="00531042" w:rsidRPr="00641640" w:rsidRDefault="00531042" w:rsidP="002C31DE">
            <w:pPr>
              <w:jc w:val="both"/>
              <w:rPr>
                <w:rFonts w:ascii="Times New Roman" w:eastAsia="Times New Roman" w:hAnsi="Times New Roman" w:cs="Times New Roman"/>
                <w:b/>
                <w:bCs/>
                <w:iCs/>
                <w:noProof/>
                <w:sz w:val="40"/>
                <w:szCs w:val="40"/>
                <w:lang w:val="sq-AL"/>
              </w:rPr>
            </w:pPr>
          </w:p>
          <w:p w14:paraId="1B51D5B0" w14:textId="77777777" w:rsidR="00531042" w:rsidRPr="00641640" w:rsidRDefault="00531042" w:rsidP="00531042">
            <w:pPr>
              <w:jc w:val="center"/>
              <w:rPr>
                <w:rFonts w:ascii="Times New Roman" w:hAnsi="Times New Roman" w:cs="Times New Roman"/>
                <w:noProof/>
                <w:lang w:val="sq-AL"/>
              </w:rPr>
            </w:pPr>
            <w:r w:rsidRPr="00641640">
              <w:rPr>
                <w:rFonts w:ascii="Times New Roman" w:eastAsia="Times New Roman" w:hAnsi="Times New Roman" w:cs="Times New Roman"/>
                <w:b/>
                <w:bCs/>
                <w:iCs/>
                <w:noProof/>
                <w:sz w:val="28"/>
                <w:szCs w:val="28"/>
                <w:lang w:val="sq-AL"/>
              </w:rPr>
              <w:t>Qëllimi i Politikës III</w:t>
            </w:r>
          </w:p>
          <w:p w14:paraId="280DEEF7" w14:textId="7411DB61" w:rsidR="00531042" w:rsidRPr="00641640" w:rsidRDefault="00531042" w:rsidP="002C31DE">
            <w:pPr>
              <w:jc w:val="both"/>
              <w:rPr>
                <w:rFonts w:ascii="Times New Roman" w:eastAsia="Times New Roman" w:hAnsi="Times New Roman" w:cs="Times New Roman"/>
                <w:b/>
                <w:bCs/>
                <w:iCs/>
                <w:noProof/>
                <w:sz w:val="28"/>
                <w:szCs w:val="28"/>
                <w:lang w:val="sq-AL"/>
              </w:rPr>
            </w:pPr>
          </w:p>
        </w:tc>
        <w:tc>
          <w:tcPr>
            <w:tcW w:w="2340" w:type="dxa"/>
          </w:tcPr>
          <w:p w14:paraId="23A3F1E3" w14:textId="6F9ED489" w:rsidR="00531042" w:rsidRPr="00641640" w:rsidRDefault="00AC5E4F" w:rsidP="002C31DE">
            <w:pPr>
              <w:jc w:val="both"/>
              <w:rPr>
                <w:rFonts w:ascii="Times New Roman" w:hAnsi="Times New Roman" w:cs="Times New Roman"/>
                <w:b/>
                <w:bCs/>
                <w:noProof/>
                <w:lang w:val="sq-AL"/>
              </w:rPr>
            </w:pPr>
            <w:r w:rsidRPr="00641640">
              <w:rPr>
                <w:rFonts w:ascii="Times New Roman" w:hAnsi="Times New Roman" w:cs="Times New Roman"/>
                <w:b/>
                <w:bCs/>
                <w:noProof/>
              </w:rPr>
              <mc:AlternateContent>
                <mc:Choice Requires="wps">
                  <w:drawing>
                    <wp:anchor distT="0" distB="0" distL="114300" distR="114300" simplePos="0" relativeHeight="251658248" behindDoc="0" locked="0" layoutInCell="1" allowOverlap="1" wp14:anchorId="3B4C71BF" wp14:editId="78DB2F4C">
                      <wp:simplePos x="0" y="0"/>
                      <wp:positionH relativeFrom="column">
                        <wp:posOffset>13997</wp:posOffset>
                      </wp:positionH>
                      <wp:positionV relativeFrom="paragraph">
                        <wp:posOffset>329179</wp:posOffset>
                      </wp:positionV>
                      <wp:extent cx="1338402" cy="95416"/>
                      <wp:effectExtent l="0" t="0" r="0" b="0"/>
                      <wp:wrapNone/>
                      <wp:docPr id="967378117" name="Arrow: Right 6"/>
                      <wp:cNvGraphicFramePr/>
                      <a:graphic xmlns:a="http://schemas.openxmlformats.org/drawingml/2006/main">
                        <a:graphicData uri="http://schemas.microsoft.com/office/word/2010/wordprocessingShape">
                          <wps:wsp>
                            <wps:cNvSpPr/>
                            <wps:spPr>
                              <a:xfrm>
                                <a:off x="0" y="0"/>
                                <a:ext cx="1338402" cy="95416"/>
                              </a:xfrm>
                              <a:prstGeom prst="rightArrow">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B399B" id="Arrow: Right 6" o:spid="_x0000_s1026" type="#_x0000_t13" style="position:absolute;margin-left:1.1pt;margin-top:25.9pt;width:105.4pt;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" adj="20830" fillcolor="#4a732f [2153]" stroked="f">
                      <v:fill color2="#a8d08d [1945]" rotate="t" angle="180" colors="0 #4b7430;31457f #74b349;1 #a9d18e" focus="100%" type="gradient"/>
                    </v:shape>
                  </w:pict>
                </mc:Fallback>
              </mc:AlternateContent>
            </w:r>
          </w:p>
        </w:tc>
        <w:tc>
          <w:tcPr>
            <w:tcW w:w="4410" w:type="dxa"/>
          </w:tcPr>
          <w:p w14:paraId="26B741C1" w14:textId="77777777" w:rsidR="00D324DB" w:rsidRPr="00641640" w:rsidRDefault="00D324DB" w:rsidP="00D324DB">
            <w:pPr>
              <w:jc w:val="both"/>
              <w:rPr>
                <w:rFonts w:ascii="Times New Roman" w:hAnsi="Times New Roman" w:cs="Times New Roman"/>
                <w:b/>
                <w:bCs/>
                <w:noProof/>
                <w:sz w:val="28"/>
                <w:szCs w:val="28"/>
                <w:lang w:val="sq-AL"/>
              </w:rPr>
            </w:pPr>
          </w:p>
          <w:p w14:paraId="33C3EE8F" w14:textId="61DAECB2" w:rsidR="00531042" w:rsidRPr="00641640" w:rsidRDefault="00531042" w:rsidP="00D324DB">
            <w:pPr>
              <w:jc w:val="both"/>
              <w:rPr>
                <w:rFonts w:ascii="Times New Roman" w:eastAsia="Times New Roman" w:hAnsi="Times New Roman" w:cs="Times New Roman"/>
                <w:b/>
                <w:bCs/>
                <w:noProof/>
                <w:sz w:val="28"/>
                <w:szCs w:val="28"/>
                <w:lang w:val="sq-AL" w:eastAsia="en-CA" w:bidi="sq-AL"/>
              </w:rPr>
            </w:pPr>
            <w:r w:rsidRPr="00641640">
              <w:rPr>
                <w:rFonts w:ascii="Times New Roman" w:hAnsi="Times New Roman" w:cs="Times New Roman"/>
                <w:b/>
                <w:bCs/>
                <w:noProof/>
                <w:sz w:val="28"/>
                <w:szCs w:val="28"/>
                <w:lang w:val="sq-AL"/>
              </w:rPr>
              <w:t>Ofrimi i shërbimeve dhe digjitalizimi</w:t>
            </w:r>
          </w:p>
          <w:p w14:paraId="66CC6D0F" w14:textId="4721EF37" w:rsidR="00531042" w:rsidRPr="00641640" w:rsidRDefault="00531042" w:rsidP="00D324DB">
            <w:pPr>
              <w:jc w:val="both"/>
              <w:rPr>
                <w:rFonts w:ascii="Times New Roman" w:eastAsia="Times New Roman" w:hAnsi="Times New Roman" w:cs="Times New Roman"/>
                <w:b/>
                <w:bCs/>
                <w:noProof/>
                <w:sz w:val="28"/>
                <w:szCs w:val="28"/>
                <w:lang w:val="sq-AL"/>
              </w:rPr>
            </w:pPr>
          </w:p>
        </w:tc>
      </w:tr>
      <w:tr w:rsidR="00531042" w:rsidRPr="00641640" w14:paraId="37CFAE26" w14:textId="77777777" w:rsidTr="00AC5E4F">
        <w:trPr>
          <w:trHeight w:val="331"/>
        </w:trPr>
        <w:tc>
          <w:tcPr>
            <w:tcW w:w="2785" w:type="dxa"/>
          </w:tcPr>
          <w:p w14:paraId="31C83590" w14:textId="77777777" w:rsidR="00531042" w:rsidRPr="00641640" w:rsidRDefault="00531042" w:rsidP="002C31DE">
            <w:pPr>
              <w:jc w:val="both"/>
              <w:rPr>
                <w:rFonts w:ascii="Times New Roman" w:eastAsia="Times New Roman" w:hAnsi="Times New Roman" w:cs="Times New Roman"/>
                <w:b/>
                <w:bCs/>
                <w:iCs/>
                <w:noProof/>
                <w:sz w:val="48"/>
                <w:szCs w:val="48"/>
                <w:lang w:val="sq-AL"/>
              </w:rPr>
            </w:pPr>
          </w:p>
          <w:p w14:paraId="4B017CEB" w14:textId="77777777" w:rsidR="00531042" w:rsidRPr="00641640" w:rsidRDefault="00531042" w:rsidP="00531042">
            <w:pPr>
              <w:jc w:val="center"/>
              <w:rPr>
                <w:rFonts w:ascii="Times New Roman" w:hAnsi="Times New Roman" w:cs="Times New Roman"/>
                <w:noProof/>
                <w:lang w:val="sq-AL"/>
              </w:rPr>
            </w:pPr>
            <w:r w:rsidRPr="00641640">
              <w:rPr>
                <w:rFonts w:ascii="Times New Roman" w:eastAsia="Times New Roman" w:hAnsi="Times New Roman" w:cs="Times New Roman"/>
                <w:b/>
                <w:bCs/>
                <w:iCs/>
                <w:noProof/>
                <w:sz w:val="28"/>
                <w:szCs w:val="28"/>
                <w:lang w:val="sq-AL"/>
              </w:rPr>
              <w:t>Qëllimi i Politikës IV</w:t>
            </w:r>
          </w:p>
          <w:p w14:paraId="579377AF" w14:textId="1E1491AE" w:rsidR="00531042" w:rsidRPr="00641640" w:rsidRDefault="00531042" w:rsidP="002C31DE">
            <w:pPr>
              <w:jc w:val="both"/>
              <w:rPr>
                <w:rFonts w:ascii="Times New Roman" w:eastAsia="Times New Roman" w:hAnsi="Times New Roman" w:cs="Times New Roman"/>
                <w:b/>
                <w:bCs/>
                <w:iCs/>
                <w:noProof/>
                <w:sz w:val="28"/>
                <w:szCs w:val="28"/>
                <w:lang w:val="sq-AL"/>
              </w:rPr>
            </w:pPr>
          </w:p>
        </w:tc>
        <w:tc>
          <w:tcPr>
            <w:tcW w:w="2340" w:type="dxa"/>
          </w:tcPr>
          <w:p w14:paraId="6E4473CF" w14:textId="1066757C" w:rsidR="00531042" w:rsidRPr="00641640" w:rsidRDefault="00AC5E4F" w:rsidP="002C31DE">
            <w:pPr>
              <w:spacing w:line="276" w:lineRule="auto"/>
              <w:rPr>
                <w:rFonts w:ascii="Times New Roman" w:eastAsia="Times New Roman" w:hAnsi="Times New Roman" w:cs="Times New Roman"/>
                <w:iCs/>
                <w:noProof/>
                <w:sz w:val="28"/>
                <w:szCs w:val="28"/>
                <w:lang w:val="sq-AL" w:eastAsia="en-CA" w:bidi="sq-AL"/>
              </w:rPr>
            </w:pPr>
            <w:r w:rsidRPr="00641640">
              <w:rPr>
                <w:rFonts w:ascii="Times New Roman" w:hAnsi="Times New Roman" w:cs="Times New Roman"/>
                <w:b/>
                <w:bCs/>
                <w:noProof/>
              </w:rPr>
              <mc:AlternateContent>
                <mc:Choice Requires="wps">
                  <w:drawing>
                    <wp:anchor distT="0" distB="0" distL="114300" distR="114300" simplePos="0" relativeHeight="251658249" behindDoc="0" locked="0" layoutInCell="1" allowOverlap="1" wp14:anchorId="45B5D5F6" wp14:editId="21C01D3D">
                      <wp:simplePos x="0" y="0"/>
                      <wp:positionH relativeFrom="column">
                        <wp:posOffset>6047</wp:posOffset>
                      </wp:positionH>
                      <wp:positionV relativeFrom="paragraph">
                        <wp:posOffset>407421</wp:posOffset>
                      </wp:positionV>
                      <wp:extent cx="1338402" cy="95416"/>
                      <wp:effectExtent l="0" t="0" r="0" b="0"/>
                      <wp:wrapNone/>
                      <wp:docPr id="1798919498" name="Arrow: Right 6"/>
                      <wp:cNvGraphicFramePr/>
                      <a:graphic xmlns:a="http://schemas.openxmlformats.org/drawingml/2006/main">
                        <a:graphicData uri="http://schemas.microsoft.com/office/word/2010/wordprocessingShape">
                          <wps:wsp>
                            <wps:cNvSpPr/>
                            <wps:spPr>
                              <a:xfrm>
                                <a:off x="0" y="0"/>
                                <a:ext cx="1338402" cy="95416"/>
                              </a:xfrm>
                              <a:prstGeom prst="rightArrow">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3FCEF" id="Arrow: Right 6" o:spid="_x0000_s1026" type="#_x0000_t13" style="position:absolute;margin-left:.5pt;margin-top:32.1pt;width:105.4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" adj="20830" fillcolor="#4a732f [2153]" stroked="f">
                      <v:fill color2="#a8d08d [1945]" rotate="t" angle="180" colors="0 #4b7430;31457f #74b349;1 #a9d18e" focus="100%" type="gradient"/>
                    </v:shape>
                  </w:pict>
                </mc:Fallback>
              </mc:AlternateContent>
            </w:r>
          </w:p>
        </w:tc>
        <w:tc>
          <w:tcPr>
            <w:tcW w:w="4410" w:type="dxa"/>
          </w:tcPr>
          <w:p w14:paraId="630329F5" w14:textId="76C7E90C" w:rsidR="00531042" w:rsidRPr="00641640" w:rsidRDefault="00531042" w:rsidP="00D324DB">
            <w:pPr>
              <w:spacing w:line="276" w:lineRule="auto"/>
              <w:jc w:val="both"/>
              <w:rPr>
                <w:rFonts w:ascii="Times New Roman" w:eastAsia="Times New Roman" w:hAnsi="Times New Roman" w:cs="Times New Roman"/>
                <w:b/>
                <w:bCs/>
                <w:iCs/>
                <w:noProof/>
                <w:sz w:val="28"/>
                <w:szCs w:val="28"/>
                <w:lang w:val="sq-AL" w:eastAsia="en-CA" w:bidi="sq-AL"/>
              </w:rPr>
            </w:pPr>
          </w:p>
          <w:p w14:paraId="0B6D898D" w14:textId="76933777" w:rsidR="00531042" w:rsidRPr="00641640" w:rsidRDefault="00531042" w:rsidP="00D324DB">
            <w:pPr>
              <w:spacing w:line="276" w:lineRule="auto"/>
              <w:jc w:val="both"/>
              <w:rPr>
                <w:rFonts w:ascii="Times New Roman" w:eastAsia="Times New Roman" w:hAnsi="Times New Roman" w:cs="Times New Roman"/>
                <w:b/>
                <w:bCs/>
                <w:iCs/>
                <w:noProof/>
                <w:sz w:val="28"/>
                <w:szCs w:val="28"/>
                <w:lang w:val="sq-AL" w:eastAsia="en-CA" w:bidi="sq-AL"/>
              </w:rPr>
            </w:pPr>
            <w:r w:rsidRPr="00641640">
              <w:rPr>
                <w:rFonts w:ascii="Times New Roman" w:hAnsi="Times New Roman" w:cs="Times New Roman"/>
                <w:b/>
                <w:bCs/>
                <w:iCs/>
                <w:noProof/>
                <w:sz w:val="28"/>
                <w:szCs w:val="28"/>
                <w:lang w:val="sq-AL"/>
              </w:rPr>
              <w:t>Organizimi, llogaridhënia dhe mbikëqyrja e administrat</w:t>
            </w:r>
            <w:r w:rsidR="00D324DB" w:rsidRPr="00641640">
              <w:rPr>
                <w:rFonts w:ascii="Times New Roman" w:hAnsi="Times New Roman" w:cs="Times New Roman"/>
                <w:b/>
                <w:bCs/>
                <w:iCs/>
                <w:noProof/>
                <w:sz w:val="28"/>
                <w:szCs w:val="28"/>
                <w:lang w:val="sq-AL"/>
              </w:rPr>
              <w:t>ë</w:t>
            </w:r>
            <w:r w:rsidRPr="00641640">
              <w:rPr>
                <w:rFonts w:ascii="Times New Roman" w:hAnsi="Times New Roman" w:cs="Times New Roman"/>
                <w:b/>
                <w:bCs/>
                <w:iCs/>
                <w:noProof/>
                <w:sz w:val="28"/>
                <w:szCs w:val="28"/>
                <w:lang w:val="sq-AL"/>
              </w:rPr>
              <w:t>s</w:t>
            </w:r>
          </w:p>
          <w:p w14:paraId="0D4554B7" w14:textId="77777777" w:rsidR="00531042" w:rsidRPr="00641640" w:rsidRDefault="00531042" w:rsidP="00D324DB">
            <w:pPr>
              <w:spacing w:line="276" w:lineRule="auto"/>
              <w:jc w:val="both"/>
              <w:rPr>
                <w:rFonts w:ascii="Times New Roman" w:eastAsia="Times New Roman" w:hAnsi="Times New Roman" w:cs="Times New Roman"/>
                <w:b/>
                <w:bCs/>
                <w:iCs/>
                <w:noProof/>
                <w:sz w:val="28"/>
                <w:szCs w:val="28"/>
                <w:lang w:val="sq-AL"/>
              </w:rPr>
            </w:pPr>
          </w:p>
        </w:tc>
      </w:tr>
      <w:tr w:rsidR="00531042" w:rsidRPr="00641640" w14:paraId="1965190C" w14:textId="77777777" w:rsidTr="00AC5E4F">
        <w:trPr>
          <w:trHeight w:val="977"/>
        </w:trPr>
        <w:tc>
          <w:tcPr>
            <w:tcW w:w="2785" w:type="dxa"/>
          </w:tcPr>
          <w:p w14:paraId="6EE5105A" w14:textId="2C2102EC" w:rsidR="00531042" w:rsidRPr="00641640" w:rsidRDefault="00531042" w:rsidP="002C31DE">
            <w:pPr>
              <w:jc w:val="both"/>
              <w:rPr>
                <w:rFonts w:ascii="Times New Roman" w:eastAsia="Times New Roman" w:hAnsi="Times New Roman" w:cs="Times New Roman"/>
                <w:b/>
                <w:bCs/>
                <w:iCs/>
                <w:noProof/>
                <w:sz w:val="28"/>
                <w:szCs w:val="28"/>
                <w:lang w:val="sq-AL" w:eastAsia="en-GB"/>
              </w:rPr>
            </w:pPr>
          </w:p>
          <w:p w14:paraId="0979CF56" w14:textId="77777777" w:rsidR="00531042" w:rsidRPr="00641640" w:rsidRDefault="00531042" w:rsidP="00531042">
            <w:pPr>
              <w:jc w:val="both"/>
              <w:rPr>
                <w:rFonts w:ascii="Times New Roman" w:eastAsia="Times New Roman" w:hAnsi="Times New Roman" w:cs="Times New Roman"/>
                <w:b/>
                <w:bCs/>
                <w:iCs/>
                <w:noProof/>
                <w:sz w:val="28"/>
                <w:szCs w:val="28"/>
                <w:lang w:val="sq-AL"/>
              </w:rPr>
            </w:pPr>
            <w:r w:rsidRPr="00641640">
              <w:rPr>
                <w:rFonts w:ascii="Times New Roman" w:eastAsia="Times New Roman" w:hAnsi="Times New Roman" w:cs="Times New Roman"/>
                <w:b/>
                <w:bCs/>
                <w:iCs/>
                <w:noProof/>
                <w:sz w:val="28"/>
                <w:szCs w:val="28"/>
                <w:lang w:val="sq-AL"/>
              </w:rPr>
              <w:t>Qëllimi i Politikës V</w:t>
            </w:r>
          </w:p>
          <w:p w14:paraId="4AAFBF84" w14:textId="61A9B2DC" w:rsidR="00531042" w:rsidRPr="00641640" w:rsidRDefault="00531042" w:rsidP="00786EB3">
            <w:pPr>
              <w:jc w:val="both"/>
              <w:rPr>
                <w:rFonts w:ascii="Times New Roman" w:eastAsia="Times New Roman" w:hAnsi="Times New Roman" w:cs="Times New Roman"/>
                <w:b/>
                <w:bCs/>
                <w:iCs/>
                <w:noProof/>
                <w:sz w:val="28"/>
                <w:szCs w:val="28"/>
                <w:lang w:val="sq-AL" w:eastAsia="en-GB"/>
              </w:rPr>
            </w:pPr>
          </w:p>
        </w:tc>
        <w:tc>
          <w:tcPr>
            <w:tcW w:w="2340" w:type="dxa"/>
          </w:tcPr>
          <w:p w14:paraId="6251EC6C" w14:textId="030574F8" w:rsidR="00531042" w:rsidRPr="00641640" w:rsidRDefault="00AC5E4F" w:rsidP="002C31DE">
            <w:pPr>
              <w:jc w:val="both"/>
              <w:rPr>
                <w:rFonts w:ascii="Times New Roman" w:eastAsia="Times New Roman" w:hAnsi="Times New Roman" w:cs="Times New Roman"/>
                <w:iCs/>
                <w:noProof/>
                <w:sz w:val="24"/>
                <w:szCs w:val="24"/>
                <w:lang w:val="sq-AL" w:eastAsia="en-CA" w:bidi="sq-AL"/>
              </w:rPr>
            </w:pPr>
            <w:r w:rsidRPr="00641640">
              <w:rPr>
                <w:rFonts w:ascii="Times New Roman" w:hAnsi="Times New Roman" w:cs="Times New Roman"/>
                <w:b/>
                <w:bCs/>
                <w:noProof/>
              </w:rPr>
              <mc:AlternateContent>
                <mc:Choice Requires="wps">
                  <w:drawing>
                    <wp:anchor distT="0" distB="0" distL="114300" distR="114300" simplePos="0" relativeHeight="251658250" behindDoc="0" locked="0" layoutInCell="1" allowOverlap="1" wp14:anchorId="03651069" wp14:editId="27B73919">
                      <wp:simplePos x="0" y="0"/>
                      <wp:positionH relativeFrom="column">
                        <wp:posOffset>5660</wp:posOffset>
                      </wp:positionH>
                      <wp:positionV relativeFrom="paragraph">
                        <wp:posOffset>240665</wp:posOffset>
                      </wp:positionV>
                      <wp:extent cx="1338402" cy="95416"/>
                      <wp:effectExtent l="0" t="0" r="0" b="0"/>
                      <wp:wrapNone/>
                      <wp:docPr id="754649410" name="Arrow: Right 6"/>
                      <wp:cNvGraphicFramePr/>
                      <a:graphic xmlns:a="http://schemas.openxmlformats.org/drawingml/2006/main">
                        <a:graphicData uri="http://schemas.microsoft.com/office/word/2010/wordprocessingShape">
                          <wps:wsp>
                            <wps:cNvSpPr/>
                            <wps:spPr>
                              <a:xfrm>
                                <a:off x="0" y="0"/>
                                <a:ext cx="1338402" cy="95416"/>
                              </a:xfrm>
                              <a:prstGeom prst="rightArrow">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44A4B" id="Arrow: Right 6" o:spid="_x0000_s1026" type="#_x0000_t13" style="position:absolute;margin-left:.45pt;margin-top:18.95pt;width:105.4pt;height: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" adj="20830" fillcolor="#4a732f [2153]" stroked="f">
                      <v:fill color2="#a8d08d [1945]" rotate="t" angle="180" colors="0 #4b7430;31457f #74b349;1 #a9d18e" focus="100%" type="gradient"/>
                    </v:shape>
                  </w:pict>
                </mc:Fallback>
              </mc:AlternateContent>
            </w:r>
          </w:p>
        </w:tc>
        <w:tc>
          <w:tcPr>
            <w:tcW w:w="4410" w:type="dxa"/>
          </w:tcPr>
          <w:p w14:paraId="326326E7" w14:textId="2126A342" w:rsidR="00531042" w:rsidRPr="00641640" w:rsidRDefault="00531042" w:rsidP="00D324DB">
            <w:pPr>
              <w:jc w:val="both"/>
              <w:rPr>
                <w:rFonts w:ascii="Times New Roman" w:eastAsia="Times New Roman" w:hAnsi="Times New Roman" w:cs="Times New Roman"/>
                <w:b/>
                <w:bCs/>
                <w:iCs/>
                <w:noProof/>
                <w:sz w:val="28"/>
                <w:szCs w:val="28"/>
                <w:lang w:val="sq-AL" w:eastAsia="en-CA" w:bidi="sq-AL"/>
              </w:rPr>
            </w:pPr>
          </w:p>
          <w:p w14:paraId="20D83619" w14:textId="0061F72D" w:rsidR="00531042" w:rsidRPr="00641640" w:rsidRDefault="00531042" w:rsidP="00D324DB">
            <w:pPr>
              <w:jc w:val="both"/>
              <w:rPr>
                <w:rFonts w:ascii="Times New Roman" w:eastAsia="Times New Roman" w:hAnsi="Times New Roman" w:cs="Times New Roman"/>
                <w:b/>
                <w:bCs/>
                <w:iCs/>
                <w:noProof/>
                <w:sz w:val="28"/>
                <w:szCs w:val="28"/>
                <w:lang w:val="sq-AL" w:eastAsia="en-CA" w:bidi="sq-AL"/>
              </w:rPr>
            </w:pPr>
            <w:r w:rsidRPr="00641640">
              <w:rPr>
                <w:rFonts w:ascii="Times New Roman" w:hAnsi="Times New Roman" w:cs="Times New Roman"/>
                <w:b/>
                <w:bCs/>
                <w:iCs/>
                <w:noProof/>
                <w:sz w:val="28"/>
                <w:szCs w:val="28"/>
                <w:lang w:val="sq-AL"/>
              </w:rPr>
              <w:t>Administrata e gjelbër</w:t>
            </w:r>
          </w:p>
          <w:p w14:paraId="21A0302E" w14:textId="37F64F71" w:rsidR="00531042" w:rsidRPr="00641640" w:rsidRDefault="00531042" w:rsidP="00D324DB">
            <w:pPr>
              <w:jc w:val="both"/>
              <w:rPr>
                <w:rFonts w:ascii="Times New Roman" w:eastAsia="Times New Roman" w:hAnsi="Times New Roman" w:cs="Times New Roman"/>
                <w:b/>
                <w:bCs/>
                <w:iCs/>
                <w:noProof/>
                <w:sz w:val="28"/>
                <w:szCs w:val="28"/>
                <w:lang w:val="sq-AL" w:eastAsia="en-CA" w:bidi="sq-AL"/>
              </w:rPr>
            </w:pPr>
          </w:p>
        </w:tc>
      </w:tr>
    </w:tbl>
    <w:p w14:paraId="191C8DDA" w14:textId="3597B923" w:rsidR="00EE52A5" w:rsidRPr="00641640" w:rsidRDefault="00EE52A5" w:rsidP="001D1DB0">
      <w:pPr>
        <w:jc w:val="both"/>
        <w:rPr>
          <w:rFonts w:ascii="Times New Roman" w:hAnsi="Times New Roman" w:cs="Times New Roman"/>
          <w:noProof/>
          <w:lang w:val="sq-AL"/>
        </w:rPr>
      </w:pPr>
    </w:p>
    <w:p w14:paraId="1B7BFC1B" w14:textId="5A4A20BC" w:rsidR="009B6CF1" w:rsidRPr="00641640" w:rsidRDefault="009B6CF1" w:rsidP="001C0A17">
      <w:pPr>
        <w:jc w:val="both"/>
        <w:rPr>
          <w:rFonts w:ascii="Times New Roman" w:hAnsi="Times New Roman" w:cs="Times New Roman"/>
          <w:noProof/>
          <w:lang w:val="sq-AL"/>
        </w:rPr>
      </w:pPr>
    </w:p>
    <w:p w14:paraId="0FD78B14" w14:textId="1AF2B2EE" w:rsidR="009B6CF1" w:rsidRPr="00641640" w:rsidRDefault="009B6CF1" w:rsidP="001C0A17">
      <w:pPr>
        <w:jc w:val="both"/>
        <w:rPr>
          <w:rFonts w:ascii="Times New Roman" w:hAnsi="Times New Roman" w:cs="Times New Roman"/>
          <w:noProof/>
          <w:lang w:val="sq-AL"/>
        </w:rPr>
      </w:pPr>
    </w:p>
    <w:p w14:paraId="3A3AE44E" w14:textId="77777777" w:rsidR="009B6CF1" w:rsidRPr="00641640" w:rsidRDefault="009B6CF1" w:rsidP="001C0A17">
      <w:pPr>
        <w:jc w:val="both"/>
        <w:rPr>
          <w:rFonts w:ascii="Times New Roman" w:hAnsi="Times New Roman" w:cs="Times New Roman"/>
          <w:noProof/>
          <w:lang w:val="sq-AL"/>
        </w:rPr>
      </w:pPr>
    </w:p>
    <w:p w14:paraId="63DC5351" w14:textId="77777777" w:rsidR="009B6CF1" w:rsidRPr="00641640" w:rsidRDefault="009B6CF1" w:rsidP="001C0A17">
      <w:pPr>
        <w:jc w:val="both"/>
        <w:rPr>
          <w:rFonts w:ascii="Times New Roman" w:hAnsi="Times New Roman" w:cs="Times New Roman"/>
          <w:noProof/>
          <w:lang w:val="sq-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932BDA" w:rsidRPr="00641640" w14:paraId="6BCE47D9" w14:textId="77777777" w:rsidTr="00317D74">
        <w:tc>
          <w:tcPr>
            <w:tcW w:w="445" w:type="dxa"/>
            <w:shd w:val="clear" w:color="auto" w:fill="auto"/>
          </w:tcPr>
          <w:p w14:paraId="0704CAEE" w14:textId="6FD0AACA" w:rsidR="00932BDA" w:rsidRPr="00641640" w:rsidRDefault="00932BDA" w:rsidP="003A395D">
            <w:pPr>
              <w:pStyle w:val="Heading3"/>
              <w:spacing w:line="276" w:lineRule="auto"/>
              <w:jc w:val="both"/>
              <w:rPr>
                <w:rFonts w:ascii="Times New Roman" w:hAnsi="Times New Roman" w:cs="Times New Roman"/>
                <w:b/>
                <w:bCs/>
                <w:noProof/>
                <w:color w:val="auto"/>
                <w:sz w:val="28"/>
                <w:szCs w:val="28"/>
                <w:lang w:val="sq-AL"/>
              </w:rPr>
            </w:pPr>
            <w:bookmarkStart w:id="31" w:name="_Toc189510625"/>
            <w:r w:rsidRPr="00641640">
              <w:rPr>
                <w:rFonts w:ascii="Times New Roman" w:hAnsi="Times New Roman" w:cs="Times New Roman"/>
                <w:b/>
                <w:bCs/>
                <w:noProof/>
                <w:color w:val="auto"/>
                <w:sz w:val="28"/>
                <w:szCs w:val="28"/>
                <w:lang w:val="sq-AL"/>
              </w:rPr>
              <w:lastRenderedPageBreak/>
              <w:t>1.</w:t>
            </w:r>
          </w:p>
        </w:tc>
        <w:tc>
          <w:tcPr>
            <w:tcW w:w="8905" w:type="dxa"/>
            <w:shd w:val="clear" w:color="auto" w:fill="auto"/>
          </w:tcPr>
          <w:p w14:paraId="5DE9C242" w14:textId="371CDFA4" w:rsidR="00932BDA" w:rsidRPr="00641640" w:rsidRDefault="00932BDA" w:rsidP="003A395D">
            <w:pPr>
              <w:pStyle w:val="Heading3"/>
              <w:spacing w:line="276" w:lineRule="auto"/>
              <w:jc w:val="both"/>
              <w:rPr>
                <w:rFonts w:ascii="Times New Roman" w:hAnsi="Times New Roman" w:cs="Times New Roman"/>
                <w:b/>
                <w:bCs/>
                <w:noProof/>
                <w:color w:val="auto"/>
                <w:sz w:val="28"/>
                <w:szCs w:val="28"/>
                <w:lang w:val="sq-AL"/>
              </w:rPr>
            </w:pPr>
            <w:r w:rsidRPr="00641640">
              <w:rPr>
                <w:rFonts w:ascii="Times New Roman" w:hAnsi="Times New Roman" w:cs="Times New Roman"/>
                <w:b/>
                <w:bCs/>
                <w:noProof/>
                <w:color w:val="auto"/>
                <w:sz w:val="28"/>
                <w:szCs w:val="28"/>
                <w:lang w:val="sq-AL"/>
              </w:rPr>
              <w:t xml:space="preserve">QËLLIMI I POLITIKËS </w:t>
            </w:r>
            <w:r w:rsidR="00087C63" w:rsidRPr="00641640">
              <w:rPr>
                <w:rFonts w:ascii="Times New Roman" w:hAnsi="Times New Roman" w:cs="Times New Roman"/>
                <w:b/>
                <w:bCs/>
                <w:noProof/>
                <w:color w:val="auto"/>
                <w:sz w:val="28"/>
                <w:szCs w:val="28"/>
                <w:lang w:val="sq-AL"/>
              </w:rPr>
              <w:t>I</w:t>
            </w:r>
            <w:r w:rsidR="007E79B7" w:rsidRPr="00641640">
              <w:rPr>
                <w:rFonts w:ascii="Times New Roman" w:hAnsi="Times New Roman" w:cs="Times New Roman"/>
                <w:b/>
                <w:bCs/>
                <w:noProof/>
                <w:color w:val="auto"/>
                <w:sz w:val="28"/>
                <w:szCs w:val="28"/>
                <w:lang w:val="sq-AL"/>
              </w:rPr>
              <w:t xml:space="preserve"> -</w:t>
            </w:r>
            <w:r w:rsidR="000A07E5" w:rsidRPr="00641640">
              <w:rPr>
                <w:rFonts w:ascii="Times New Roman" w:hAnsi="Times New Roman" w:cs="Times New Roman"/>
                <w:b/>
                <w:bCs/>
                <w:noProof/>
                <w:color w:val="auto"/>
                <w:sz w:val="28"/>
                <w:szCs w:val="28"/>
                <w:lang w:val="sq-AL"/>
              </w:rPr>
              <w:t xml:space="preserve"> </w:t>
            </w:r>
            <w:r w:rsidRPr="00641640">
              <w:rPr>
                <w:rFonts w:ascii="Times New Roman" w:hAnsi="Times New Roman" w:cs="Times New Roman"/>
                <w:b/>
                <w:bCs/>
                <w:noProof/>
                <w:color w:val="auto"/>
                <w:sz w:val="28"/>
                <w:szCs w:val="28"/>
                <w:lang w:val="sq-AL"/>
              </w:rPr>
              <w:t>ZHVILLIMI DHE KOORDINIMI I POLITIKAVE</w:t>
            </w:r>
          </w:p>
        </w:tc>
      </w:tr>
      <w:bookmarkEnd w:id="31"/>
    </w:tbl>
    <w:p w14:paraId="7B74E8E1" w14:textId="1D8CA69E" w:rsidR="1DAD57BB" w:rsidRPr="00641640" w:rsidRDefault="1DAD57BB" w:rsidP="003A395D">
      <w:pPr>
        <w:spacing w:after="0" w:line="276" w:lineRule="auto"/>
        <w:rPr>
          <w:rFonts w:ascii="Times New Roman" w:hAnsi="Times New Roman" w:cs="Times New Roman"/>
          <w:noProof/>
          <w:lang w:val="sq-AL"/>
        </w:rPr>
      </w:pPr>
    </w:p>
    <w:p w14:paraId="4608EE73" w14:textId="1850E0B4" w:rsidR="0064352B" w:rsidRPr="00641640" w:rsidRDefault="00CA641D"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Qëllimi</w:t>
      </w:r>
      <w:r w:rsidR="00A5590E" w:rsidRPr="00641640">
        <w:rPr>
          <w:rFonts w:ascii="Times New Roman" w:hAnsi="Times New Roman" w:cs="Times New Roman"/>
          <w:noProof/>
          <w:sz w:val="24"/>
          <w:szCs w:val="24"/>
          <w:lang w:val="sq-AL"/>
        </w:rPr>
        <w:t xml:space="preserve"> i</w:t>
      </w:r>
      <w:r w:rsidRPr="00641640">
        <w:rPr>
          <w:rFonts w:ascii="Times New Roman" w:hAnsi="Times New Roman" w:cs="Times New Roman"/>
          <w:noProof/>
          <w:sz w:val="24"/>
          <w:szCs w:val="24"/>
          <w:lang w:val="sq-AL"/>
        </w:rPr>
        <w:t xml:space="preserve"> Politik</w:t>
      </w:r>
      <w:r w:rsidR="009F3C21"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 1</w:t>
      </w:r>
      <w:r w:rsidR="002F6BB7"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syno</w:t>
      </w:r>
      <w:r w:rsidR="00A5590E" w:rsidRPr="00641640">
        <w:rPr>
          <w:rFonts w:ascii="Times New Roman" w:hAnsi="Times New Roman" w:cs="Times New Roman"/>
          <w:noProof/>
          <w:sz w:val="24"/>
          <w:szCs w:val="24"/>
          <w:lang w:val="sq-AL"/>
        </w:rPr>
        <w:t>n</w:t>
      </w:r>
      <w:r w:rsidRPr="00641640">
        <w:rPr>
          <w:rFonts w:ascii="Times New Roman" w:hAnsi="Times New Roman" w:cs="Times New Roman"/>
          <w:noProof/>
          <w:sz w:val="24"/>
          <w:szCs w:val="24"/>
          <w:lang w:val="sq-AL"/>
        </w:rPr>
        <w:t xml:space="preserve"> </w:t>
      </w:r>
      <w:r w:rsidR="00A5590E" w:rsidRPr="00641640">
        <w:rPr>
          <w:rFonts w:ascii="Times New Roman" w:hAnsi="Times New Roman" w:cs="Times New Roman"/>
          <w:noProof/>
          <w:sz w:val="24"/>
          <w:szCs w:val="24"/>
          <w:lang w:val="sq-AL"/>
        </w:rPr>
        <w:t>t</w:t>
      </w:r>
      <w:r w:rsidR="00B81F4F" w:rsidRPr="00641640">
        <w:rPr>
          <w:rFonts w:ascii="Times New Roman" w:hAnsi="Times New Roman" w:cs="Times New Roman"/>
          <w:noProof/>
          <w:sz w:val="24"/>
          <w:szCs w:val="24"/>
          <w:lang w:val="sq-AL"/>
        </w:rPr>
        <w:t>ë</w:t>
      </w:r>
      <w:r w:rsidR="00A5590E" w:rsidRPr="00641640">
        <w:rPr>
          <w:rFonts w:ascii="Times New Roman" w:hAnsi="Times New Roman" w:cs="Times New Roman"/>
          <w:noProof/>
          <w:sz w:val="24"/>
          <w:szCs w:val="24"/>
          <w:lang w:val="sq-AL"/>
        </w:rPr>
        <w:t xml:space="preserve"> siguroj</w:t>
      </w:r>
      <w:r w:rsidR="00B81F4F" w:rsidRPr="00641640">
        <w:rPr>
          <w:rFonts w:ascii="Times New Roman" w:hAnsi="Times New Roman" w:cs="Times New Roman"/>
          <w:noProof/>
          <w:sz w:val="24"/>
          <w:szCs w:val="24"/>
          <w:lang w:val="sq-AL"/>
        </w:rPr>
        <w:t>ë</w:t>
      </w:r>
      <w:r w:rsidR="00A5590E" w:rsidRPr="00641640">
        <w:rPr>
          <w:rFonts w:ascii="Times New Roman" w:hAnsi="Times New Roman" w:cs="Times New Roman"/>
          <w:noProof/>
          <w:sz w:val="24"/>
          <w:szCs w:val="24"/>
          <w:lang w:val="sq-AL"/>
        </w:rPr>
        <w:t xml:space="preserve"> </w:t>
      </w:r>
      <w:r w:rsidR="0064352B" w:rsidRPr="00641640">
        <w:rPr>
          <w:rFonts w:ascii="Times New Roman" w:hAnsi="Times New Roman" w:cs="Times New Roman"/>
          <w:noProof/>
          <w:sz w:val="24"/>
          <w:szCs w:val="24"/>
          <w:lang w:val="sq-AL"/>
        </w:rPr>
        <w:t>që zhvillimi dhe koordinimi i politikave,</w:t>
      </w:r>
      <w:r w:rsidR="00E97B02" w:rsidRPr="00641640">
        <w:rPr>
          <w:rFonts w:ascii="Times New Roman" w:hAnsi="Times New Roman" w:cs="Times New Roman"/>
          <w:noProof/>
          <w:sz w:val="24"/>
          <w:szCs w:val="24"/>
          <w:lang w:val="sq-AL"/>
        </w:rPr>
        <w:t xml:space="preserve"> si dhe</w:t>
      </w:r>
      <w:r w:rsidR="0064352B" w:rsidRPr="00641640">
        <w:rPr>
          <w:rFonts w:ascii="Times New Roman" w:hAnsi="Times New Roman" w:cs="Times New Roman"/>
          <w:noProof/>
          <w:sz w:val="24"/>
          <w:szCs w:val="24"/>
          <w:lang w:val="sq-AL"/>
        </w:rPr>
        <w:t xml:space="preserve"> hartimi, monitorimi dhe vlerësimi </w:t>
      </w:r>
      <w:r w:rsidR="00E97B02" w:rsidRPr="00641640">
        <w:rPr>
          <w:rFonts w:ascii="Times New Roman" w:hAnsi="Times New Roman" w:cs="Times New Roman"/>
          <w:noProof/>
          <w:sz w:val="24"/>
          <w:szCs w:val="24"/>
          <w:lang w:val="sq-AL"/>
        </w:rPr>
        <w:t xml:space="preserve">i legjislacionit </w:t>
      </w:r>
      <w:r w:rsidR="0064352B" w:rsidRPr="00641640">
        <w:rPr>
          <w:rFonts w:ascii="Times New Roman" w:hAnsi="Times New Roman" w:cs="Times New Roman"/>
          <w:noProof/>
          <w:sz w:val="24"/>
          <w:szCs w:val="24"/>
          <w:lang w:val="sq-AL"/>
        </w:rPr>
        <w:t xml:space="preserve">të jenë </w:t>
      </w:r>
      <w:r w:rsidR="00A5590E" w:rsidRPr="00641640">
        <w:rPr>
          <w:rFonts w:ascii="Times New Roman" w:hAnsi="Times New Roman" w:cs="Times New Roman"/>
          <w:noProof/>
          <w:sz w:val="24"/>
          <w:szCs w:val="24"/>
          <w:lang w:val="sq-AL"/>
        </w:rPr>
        <w:t>t</w:t>
      </w:r>
      <w:r w:rsidR="00B81F4F" w:rsidRPr="00641640">
        <w:rPr>
          <w:rFonts w:ascii="Times New Roman" w:hAnsi="Times New Roman" w:cs="Times New Roman"/>
          <w:noProof/>
          <w:sz w:val="24"/>
          <w:szCs w:val="24"/>
          <w:lang w:val="sq-AL"/>
        </w:rPr>
        <w:t>ë</w:t>
      </w:r>
      <w:r w:rsidR="00A5590E" w:rsidRPr="00641640">
        <w:rPr>
          <w:rFonts w:ascii="Times New Roman" w:hAnsi="Times New Roman" w:cs="Times New Roman"/>
          <w:noProof/>
          <w:sz w:val="24"/>
          <w:szCs w:val="24"/>
          <w:lang w:val="sq-AL"/>
        </w:rPr>
        <w:t xml:space="preserve"> </w:t>
      </w:r>
      <w:r w:rsidR="0064352B" w:rsidRPr="00641640">
        <w:rPr>
          <w:rFonts w:ascii="Times New Roman" w:hAnsi="Times New Roman" w:cs="Times New Roman"/>
          <w:noProof/>
          <w:sz w:val="24"/>
          <w:szCs w:val="24"/>
          <w:lang w:val="sq-AL"/>
        </w:rPr>
        <w:t>rregulluar qartë</w:t>
      </w:r>
      <w:r w:rsidR="00F128B2" w:rsidRPr="00641640">
        <w:rPr>
          <w:rFonts w:ascii="Times New Roman" w:hAnsi="Times New Roman" w:cs="Times New Roman"/>
          <w:noProof/>
          <w:sz w:val="24"/>
          <w:szCs w:val="24"/>
          <w:lang w:val="sq-AL"/>
        </w:rPr>
        <w:t xml:space="preserve"> dhe </w:t>
      </w:r>
      <w:r w:rsidR="0064352B" w:rsidRPr="00641640">
        <w:rPr>
          <w:rFonts w:ascii="Times New Roman" w:hAnsi="Times New Roman" w:cs="Times New Roman"/>
          <w:noProof/>
          <w:sz w:val="24"/>
          <w:szCs w:val="24"/>
          <w:lang w:val="sq-AL"/>
        </w:rPr>
        <w:t xml:space="preserve">të lidhur </w:t>
      </w:r>
      <w:r w:rsidR="00A5590E" w:rsidRPr="00641640">
        <w:rPr>
          <w:rFonts w:ascii="Times New Roman" w:hAnsi="Times New Roman" w:cs="Times New Roman"/>
          <w:noProof/>
          <w:sz w:val="24"/>
          <w:szCs w:val="24"/>
          <w:lang w:val="sq-AL"/>
        </w:rPr>
        <w:t>ngusht</w:t>
      </w:r>
      <w:r w:rsidR="00B81F4F" w:rsidRPr="00641640">
        <w:rPr>
          <w:rFonts w:ascii="Times New Roman" w:hAnsi="Times New Roman" w:cs="Times New Roman"/>
          <w:noProof/>
          <w:sz w:val="24"/>
          <w:szCs w:val="24"/>
          <w:lang w:val="sq-AL"/>
        </w:rPr>
        <w:t>ë</w:t>
      </w:r>
      <w:r w:rsidR="00A5590E" w:rsidRPr="00641640">
        <w:rPr>
          <w:rFonts w:ascii="Times New Roman" w:hAnsi="Times New Roman" w:cs="Times New Roman"/>
          <w:noProof/>
          <w:sz w:val="24"/>
          <w:szCs w:val="24"/>
          <w:lang w:val="sq-AL"/>
        </w:rPr>
        <w:t xml:space="preserve"> </w:t>
      </w:r>
      <w:r w:rsidR="0064352B" w:rsidRPr="00641640">
        <w:rPr>
          <w:rFonts w:ascii="Times New Roman" w:hAnsi="Times New Roman" w:cs="Times New Roman"/>
          <w:noProof/>
          <w:sz w:val="24"/>
          <w:szCs w:val="24"/>
          <w:lang w:val="sq-AL"/>
        </w:rPr>
        <w:t xml:space="preserve">me prioritetet e qeverisë dhe planifikimin buxhetor, </w:t>
      </w:r>
      <w:r w:rsidR="00E97B02" w:rsidRPr="00641640">
        <w:rPr>
          <w:rFonts w:ascii="Times New Roman" w:hAnsi="Times New Roman" w:cs="Times New Roman"/>
          <w:noProof/>
          <w:sz w:val="24"/>
          <w:szCs w:val="24"/>
          <w:lang w:val="sq-AL"/>
        </w:rPr>
        <w:t>duke rritur k</w:t>
      </w:r>
      <w:r w:rsidR="00064AC5" w:rsidRPr="00641640">
        <w:rPr>
          <w:rFonts w:ascii="Times New Roman" w:hAnsi="Times New Roman" w:cs="Times New Roman"/>
          <w:noProof/>
          <w:sz w:val="24"/>
          <w:szCs w:val="24"/>
          <w:lang w:val="sq-AL"/>
        </w:rPr>
        <w:t>ë</w:t>
      </w:r>
      <w:r w:rsidR="00E97B02" w:rsidRPr="00641640">
        <w:rPr>
          <w:rFonts w:ascii="Times New Roman" w:hAnsi="Times New Roman" w:cs="Times New Roman"/>
          <w:noProof/>
          <w:sz w:val="24"/>
          <w:szCs w:val="24"/>
          <w:lang w:val="sq-AL"/>
        </w:rPr>
        <w:t>shtu</w:t>
      </w:r>
      <w:r w:rsidR="0064352B" w:rsidRPr="00641640">
        <w:rPr>
          <w:rFonts w:ascii="Times New Roman" w:hAnsi="Times New Roman" w:cs="Times New Roman"/>
          <w:noProof/>
          <w:sz w:val="24"/>
          <w:szCs w:val="24"/>
          <w:lang w:val="sq-AL"/>
        </w:rPr>
        <w:t xml:space="preserve"> efikasitetin </w:t>
      </w:r>
      <w:r w:rsidR="00672011" w:rsidRPr="00641640">
        <w:rPr>
          <w:rFonts w:ascii="Times New Roman" w:hAnsi="Times New Roman" w:cs="Times New Roman"/>
          <w:noProof/>
          <w:sz w:val="24"/>
          <w:szCs w:val="24"/>
          <w:lang w:val="sq-AL"/>
        </w:rPr>
        <w:t xml:space="preserve">e </w:t>
      </w:r>
      <w:r w:rsidR="0064352B" w:rsidRPr="00641640">
        <w:rPr>
          <w:rFonts w:ascii="Times New Roman" w:hAnsi="Times New Roman" w:cs="Times New Roman"/>
          <w:noProof/>
          <w:sz w:val="24"/>
          <w:szCs w:val="24"/>
          <w:lang w:val="sq-AL"/>
        </w:rPr>
        <w:t>politika</w:t>
      </w:r>
      <w:r w:rsidR="00672011" w:rsidRPr="00641640">
        <w:rPr>
          <w:rFonts w:ascii="Times New Roman" w:hAnsi="Times New Roman" w:cs="Times New Roman"/>
          <w:noProof/>
          <w:sz w:val="24"/>
          <w:szCs w:val="24"/>
          <w:lang w:val="sq-AL"/>
        </w:rPr>
        <w:t>ve</w:t>
      </w:r>
      <w:r w:rsidR="0064352B" w:rsidRPr="00641640">
        <w:rPr>
          <w:rFonts w:ascii="Times New Roman" w:hAnsi="Times New Roman" w:cs="Times New Roman"/>
          <w:noProof/>
          <w:sz w:val="24"/>
          <w:szCs w:val="24"/>
          <w:lang w:val="sq-AL"/>
        </w:rPr>
        <w:t xml:space="preserve"> transparente</w:t>
      </w:r>
      <w:r w:rsidR="00672011" w:rsidRPr="00641640">
        <w:rPr>
          <w:rFonts w:ascii="Times New Roman" w:hAnsi="Times New Roman" w:cs="Times New Roman"/>
          <w:noProof/>
          <w:sz w:val="24"/>
          <w:szCs w:val="24"/>
          <w:lang w:val="sq-AL"/>
        </w:rPr>
        <w:t xml:space="preserve"> </w:t>
      </w:r>
      <w:r w:rsidR="00A5590E" w:rsidRPr="00641640">
        <w:rPr>
          <w:rFonts w:ascii="Times New Roman" w:hAnsi="Times New Roman" w:cs="Times New Roman"/>
          <w:noProof/>
          <w:sz w:val="24"/>
          <w:szCs w:val="24"/>
          <w:lang w:val="sq-AL"/>
        </w:rPr>
        <w:t>dh</w:t>
      </w:r>
      <w:r w:rsidR="00672011" w:rsidRPr="00641640">
        <w:rPr>
          <w:rFonts w:ascii="Times New Roman" w:hAnsi="Times New Roman" w:cs="Times New Roman"/>
          <w:noProof/>
          <w:sz w:val="24"/>
          <w:szCs w:val="24"/>
          <w:lang w:val="sq-AL"/>
        </w:rPr>
        <w:t>e</w:t>
      </w:r>
      <w:r w:rsidR="0064352B" w:rsidRPr="00641640">
        <w:rPr>
          <w:rFonts w:ascii="Times New Roman" w:hAnsi="Times New Roman" w:cs="Times New Roman"/>
          <w:noProof/>
          <w:sz w:val="24"/>
          <w:szCs w:val="24"/>
          <w:lang w:val="sq-AL"/>
        </w:rPr>
        <w:t xml:space="preserve"> gjithëpërfshirëse</w:t>
      </w:r>
      <w:r w:rsidR="00672011" w:rsidRPr="00641640">
        <w:rPr>
          <w:rFonts w:ascii="Times New Roman" w:hAnsi="Times New Roman" w:cs="Times New Roman"/>
          <w:noProof/>
          <w:sz w:val="24"/>
          <w:szCs w:val="24"/>
          <w:lang w:val="sq-AL"/>
        </w:rPr>
        <w:t>.</w:t>
      </w:r>
    </w:p>
    <w:p w14:paraId="0E1C22E1" w14:textId="3D5E005A" w:rsidR="003F0806" w:rsidRPr="00641640" w:rsidRDefault="001C0A17"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Kjo shtyllë</w:t>
      </w:r>
      <w:r w:rsidR="003F0806" w:rsidRPr="00641640">
        <w:rPr>
          <w:rFonts w:ascii="Times New Roman" w:hAnsi="Times New Roman" w:cs="Times New Roman"/>
          <w:noProof/>
          <w:sz w:val="24"/>
          <w:szCs w:val="24"/>
          <w:lang w:val="sq-AL"/>
        </w:rPr>
        <w:t xml:space="preserve"> mbulon komponent</w:t>
      </w:r>
      <w:r w:rsidR="00B81F4F" w:rsidRPr="00641640">
        <w:rPr>
          <w:rFonts w:ascii="Times New Roman" w:hAnsi="Times New Roman" w:cs="Times New Roman"/>
          <w:noProof/>
          <w:sz w:val="24"/>
          <w:szCs w:val="24"/>
          <w:lang w:val="sq-AL"/>
        </w:rPr>
        <w:t>ë</w:t>
      </w:r>
      <w:r w:rsidR="003F0806" w:rsidRPr="00641640">
        <w:rPr>
          <w:rFonts w:ascii="Times New Roman" w:hAnsi="Times New Roman" w:cs="Times New Roman"/>
          <w:noProof/>
          <w:sz w:val="24"/>
          <w:szCs w:val="24"/>
          <w:lang w:val="sq-AL"/>
        </w:rPr>
        <w:t>t e planifikimit dhe koordinimit t</w:t>
      </w:r>
      <w:r w:rsidRPr="00641640">
        <w:rPr>
          <w:rFonts w:ascii="Times New Roman" w:hAnsi="Times New Roman" w:cs="Times New Roman"/>
          <w:noProof/>
          <w:sz w:val="24"/>
          <w:szCs w:val="24"/>
          <w:lang w:val="sq-AL"/>
        </w:rPr>
        <w:t>ë</w:t>
      </w:r>
      <w:r w:rsidR="003F0806" w:rsidRPr="00641640">
        <w:rPr>
          <w:rFonts w:ascii="Times New Roman" w:hAnsi="Times New Roman" w:cs="Times New Roman"/>
          <w:noProof/>
          <w:sz w:val="24"/>
          <w:szCs w:val="24"/>
          <w:lang w:val="sq-AL"/>
        </w:rPr>
        <w:t xml:space="preserve"> politikave në nivel kombëtar, koordinimit</w:t>
      </w:r>
      <w:r w:rsidR="00A5590E" w:rsidRPr="00641640">
        <w:rPr>
          <w:rFonts w:ascii="Times New Roman" w:hAnsi="Times New Roman" w:cs="Times New Roman"/>
          <w:noProof/>
          <w:sz w:val="24"/>
          <w:szCs w:val="24"/>
          <w:lang w:val="sq-AL"/>
        </w:rPr>
        <w:t xml:space="preserve"> </w:t>
      </w:r>
      <w:r w:rsidR="00762C82" w:rsidRPr="00641640">
        <w:rPr>
          <w:rFonts w:ascii="Times New Roman" w:hAnsi="Times New Roman" w:cs="Times New Roman"/>
          <w:noProof/>
          <w:sz w:val="24"/>
          <w:szCs w:val="24"/>
          <w:lang w:val="sq-AL"/>
        </w:rPr>
        <w:t>e</w:t>
      </w:r>
      <w:r w:rsidR="00F128B2" w:rsidRPr="00641640">
        <w:rPr>
          <w:rFonts w:ascii="Times New Roman" w:hAnsi="Times New Roman" w:cs="Times New Roman"/>
          <w:noProof/>
          <w:sz w:val="24"/>
          <w:szCs w:val="24"/>
          <w:lang w:val="sq-AL"/>
        </w:rPr>
        <w:t>f</w:t>
      </w:r>
      <w:r w:rsidR="00762C82" w:rsidRPr="00641640">
        <w:rPr>
          <w:rFonts w:ascii="Times New Roman" w:hAnsi="Times New Roman" w:cs="Times New Roman"/>
          <w:noProof/>
          <w:sz w:val="24"/>
          <w:szCs w:val="24"/>
          <w:lang w:val="sq-AL"/>
        </w:rPr>
        <w:t>i</w:t>
      </w:r>
      <w:r w:rsidR="00A5590E" w:rsidRPr="00641640">
        <w:rPr>
          <w:rFonts w:ascii="Times New Roman" w:hAnsi="Times New Roman" w:cs="Times New Roman"/>
          <w:noProof/>
          <w:sz w:val="24"/>
          <w:szCs w:val="24"/>
          <w:lang w:val="sq-AL"/>
        </w:rPr>
        <w:t>kas</w:t>
      </w:r>
      <w:r w:rsidR="003F0806" w:rsidRPr="00641640">
        <w:rPr>
          <w:rFonts w:ascii="Times New Roman" w:hAnsi="Times New Roman" w:cs="Times New Roman"/>
          <w:noProof/>
          <w:sz w:val="24"/>
          <w:szCs w:val="24"/>
          <w:lang w:val="sq-AL"/>
        </w:rPr>
        <w:t xml:space="preserve"> t</w:t>
      </w:r>
      <w:r w:rsidR="00064AC5" w:rsidRPr="00641640">
        <w:rPr>
          <w:rFonts w:ascii="Times New Roman" w:hAnsi="Times New Roman" w:cs="Times New Roman"/>
          <w:noProof/>
          <w:sz w:val="24"/>
          <w:szCs w:val="24"/>
          <w:lang w:val="sq-AL"/>
        </w:rPr>
        <w:t>ë</w:t>
      </w:r>
      <w:r w:rsidR="003F0806"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p</w:t>
      </w:r>
      <w:r w:rsidR="003F0806" w:rsidRPr="00641640">
        <w:rPr>
          <w:rFonts w:ascii="Times New Roman" w:hAnsi="Times New Roman" w:cs="Times New Roman"/>
          <w:noProof/>
          <w:sz w:val="24"/>
          <w:szCs w:val="24"/>
          <w:lang w:val="sq-AL"/>
        </w:rPr>
        <w:t xml:space="preserve">rocesit të </w:t>
      </w:r>
      <w:r w:rsidR="00762C82" w:rsidRPr="00641640">
        <w:rPr>
          <w:rFonts w:ascii="Times New Roman" w:hAnsi="Times New Roman" w:cs="Times New Roman"/>
          <w:noProof/>
          <w:sz w:val="24"/>
          <w:szCs w:val="24"/>
          <w:lang w:val="sq-AL"/>
        </w:rPr>
        <w:t>i</w:t>
      </w:r>
      <w:r w:rsidR="003F0806" w:rsidRPr="00641640">
        <w:rPr>
          <w:rFonts w:ascii="Times New Roman" w:hAnsi="Times New Roman" w:cs="Times New Roman"/>
          <w:noProof/>
          <w:sz w:val="24"/>
          <w:szCs w:val="24"/>
          <w:lang w:val="sq-AL"/>
        </w:rPr>
        <w:t xml:space="preserve">ntegrimit </w:t>
      </w:r>
      <w:r w:rsidR="00762C82" w:rsidRPr="00641640">
        <w:rPr>
          <w:rFonts w:ascii="Times New Roman" w:hAnsi="Times New Roman" w:cs="Times New Roman"/>
          <w:noProof/>
          <w:sz w:val="24"/>
          <w:szCs w:val="24"/>
          <w:lang w:val="sq-AL"/>
        </w:rPr>
        <w:t>e</w:t>
      </w:r>
      <w:r w:rsidR="003F0806" w:rsidRPr="00641640">
        <w:rPr>
          <w:rFonts w:ascii="Times New Roman" w:hAnsi="Times New Roman" w:cs="Times New Roman"/>
          <w:noProof/>
          <w:sz w:val="24"/>
          <w:szCs w:val="24"/>
          <w:lang w:val="sq-AL"/>
        </w:rPr>
        <w:t xml:space="preserve">vropian dhe </w:t>
      </w:r>
      <w:r w:rsidRPr="00641640">
        <w:rPr>
          <w:rFonts w:ascii="Times New Roman" w:hAnsi="Times New Roman" w:cs="Times New Roman"/>
          <w:noProof/>
          <w:sz w:val="24"/>
          <w:szCs w:val="24"/>
          <w:lang w:val="sq-AL"/>
        </w:rPr>
        <w:t>h</w:t>
      </w:r>
      <w:r w:rsidR="003F0806" w:rsidRPr="00641640">
        <w:rPr>
          <w:rFonts w:ascii="Times New Roman" w:hAnsi="Times New Roman" w:cs="Times New Roman"/>
          <w:noProof/>
          <w:sz w:val="24"/>
          <w:szCs w:val="24"/>
          <w:lang w:val="sq-AL"/>
        </w:rPr>
        <w:t>artimit t</w:t>
      </w:r>
      <w:r w:rsidRPr="00641640">
        <w:rPr>
          <w:rFonts w:ascii="Times New Roman" w:hAnsi="Times New Roman" w:cs="Times New Roman"/>
          <w:noProof/>
          <w:sz w:val="24"/>
          <w:szCs w:val="24"/>
          <w:lang w:val="sq-AL"/>
        </w:rPr>
        <w:t>ë</w:t>
      </w:r>
      <w:r w:rsidR="003F0806"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një </w:t>
      </w:r>
      <w:r w:rsidR="003F0806" w:rsidRPr="00641640">
        <w:rPr>
          <w:rFonts w:ascii="Times New Roman" w:hAnsi="Times New Roman" w:cs="Times New Roman"/>
          <w:noProof/>
          <w:sz w:val="24"/>
          <w:szCs w:val="24"/>
          <w:lang w:val="sq-AL"/>
        </w:rPr>
        <w:t>legjislacioni gjithëpërfshirës, bazuar në të dhëna</w:t>
      </w:r>
      <w:r w:rsidR="0009347E" w:rsidRPr="00641640">
        <w:rPr>
          <w:rFonts w:ascii="Times New Roman" w:hAnsi="Times New Roman" w:cs="Times New Roman"/>
          <w:noProof/>
          <w:sz w:val="24"/>
          <w:szCs w:val="24"/>
          <w:lang w:val="sq-AL"/>
        </w:rPr>
        <w:t>.</w:t>
      </w:r>
    </w:p>
    <w:p w14:paraId="7AD2307E" w14:textId="48A90D82" w:rsidR="006D7BFE" w:rsidRPr="00641640" w:rsidRDefault="006D7BFE" w:rsidP="003A395D">
      <w:pPr>
        <w:spacing w:line="276" w:lineRule="auto"/>
        <w:jc w:val="both"/>
        <w:rPr>
          <w:rFonts w:ascii="Times New Roman" w:hAnsi="Times New Roman" w:cs="Times New Roman"/>
          <w:noProof/>
          <w:sz w:val="24"/>
          <w:szCs w:val="24"/>
          <w:highlight w:val="yellow"/>
          <w:lang w:val="sq-AL"/>
        </w:rPr>
      </w:pPr>
      <w:r w:rsidRPr="00641640">
        <w:rPr>
          <w:rFonts w:ascii="Times New Roman" w:hAnsi="Times New Roman" w:cs="Times New Roman"/>
          <w:noProof/>
          <w:sz w:val="24"/>
          <w:szCs w:val="24"/>
          <w:lang w:val="sq-AL"/>
        </w:rPr>
        <w:t xml:space="preserve">Masat që </w:t>
      </w:r>
      <w:r w:rsidR="00E97B02" w:rsidRPr="00641640">
        <w:rPr>
          <w:rFonts w:ascii="Times New Roman" w:hAnsi="Times New Roman" w:cs="Times New Roman"/>
          <w:noProof/>
          <w:sz w:val="24"/>
          <w:szCs w:val="24"/>
          <w:lang w:val="sq-AL"/>
        </w:rPr>
        <w:t xml:space="preserve">parashikohen </w:t>
      </w:r>
      <w:r w:rsidRPr="00641640">
        <w:rPr>
          <w:rFonts w:ascii="Times New Roman" w:hAnsi="Times New Roman" w:cs="Times New Roman"/>
          <w:noProof/>
          <w:sz w:val="24"/>
          <w:szCs w:val="24"/>
          <w:lang w:val="sq-AL"/>
        </w:rPr>
        <w:t>nën shtyllën e Zhvillimit dhe Koordinimit të Politikave p</w:t>
      </w:r>
      <w:r w:rsidR="00BC2F39" w:rsidRPr="00641640">
        <w:rPr>
          <w:rFonts w:ascii="Times New Roman" w:hAnsi="Times New Roman" w:cs="Times New Roman"/>
          <w:noProof/>
          <w:sz w:val="24"/>
          <w:szCs w:val="24"/>
          <w:lang w:val="sq-AL"/>
        </w:rPr>
        <w:t>asqyrojnë</w:t>
      </w:r>
      <w:r w:rsidRPr="00641640">
        <w:rPr>
          <w:rFonts w:ascii="Times New Roman" w:hAnsi="Times New Roman" w:cs="Times New Roman"/>
          <w:noProof/>
          <w:sz w:val="24"/>
          <w:szCs w:val="24"/>
          <w:lang w:val="sq-AL"/>
        </w:rPr>
        <w:t xml:space="preserve"> përpjekjet e </w:t>
      </w:r>
      <w:r w:rsidR="00E97B02" w:rsidRPr="00641640">
        <w:rPr>
          <w:rFonts w:ascii="Times New Roman" w:hAnsi="Times New Roman" w:cs="Times New Roman"/>
          <w:noProof/>
          <w:sz w:val="24"/>
          <w:szCs w:val="24"/>
          <w:lang w:val="sq-AL"/>
        </w:rPr>
        <w:t>Q</w:t>
      </w:r>
      <w:r w:rsidRPr="00641640">
        <w:rPr>
          <w:rFonts w:ascii="Times New Roman" w:hAnsi="Times New Roman" w:cs="Times New Roman"/>
          <w:noProof/>
          <w:sz w:val="24"/>
          <w:szCs w:val="24"/>
          <w:lang w:val="sq-AL"/>
        </w:rPr>
        <w:t xml:space="preserve">everisë </w:t>
      </w:r>
      <w:r w:rsidR="00E97B02" w:rsidRPr="00641640">
        <w:rPr>
          <w:rFonts w:ascii="Times New Roman" w:hAnsi="Times New Roman" w:cs="Times New Roman"/>
          <w:noProof/>
          <w:sz w:val="24"/>
          <w:szCs w:val="24"/>
          <w:lang w:val="sq-AL"/>
        </w:rPr>
        <w:t>p</w:t>
      </w:r>
      <w:r w:rsidR="00064AC5" w:rsidRPr="00641640">
        <w:rPr>
          <w:rFonts w:ascii="Times New Roman" w:hAnsi="Times New Roman" w:cs="Times New Roman"/>
          <w:noProof/>
          <w:sz w:val="24"/>
          <w:szCs w:val="24"/>
          <w:lang w:val="sq-AL"/>
        </w:rPr>
        <w:t>ë</w:t>
      </w:r>
      <w:r w:rsidR="00E97B02" w:rsidRPr="00641640">
        <w:rPr>
          <w:rFonts w:ascii="Times New Roman" w:hAnsi="Times New Roman" w:cs="Times New Roman"/>
          <w:noProof/>
          <w:sz w:val="24"/>
          <w:szCs w:val="24"/>
          <w:lang w:val="sq-AL"/>
        </w:rPr>
        <w:t>r t</w:t>
      </w:r>
      <w:r w:rsidR="00064AC5" w:rsidRPr="00641640">
        <w:rPr>
          <w:rFonts w:ascii="Times New Roman" w:hAnsi="Times New Roman" w:cs="Times New Roman"/>
          <w:noProof/>
          <w:sz w:val="24"/>
          <w:szCs w:val="24"/>
          <w:lang w:val="sq-AL"/>
        </w:rPr>
        <w:t>ë</w:t>
      </w:r>
      <w:r w:rsidR="00E97B02" w:rsidRPr="00641640">
        <w:rPr>
          <w:rFonts w:ascii="Times New Roman" w:hAnsi="Times New Roman" w:cs="Times New Roman"/>
          <w:noProof/>
          <w:sz w:val="24"/>
          <w:szCs w:val="24"/>
          <w:lang w:val="sq-AL"/>
        </w:rPr>
        <w:t xml:space="preserve"> siguruar q</w:t>
      </w:r>
      <w:r w:rsidR="00064AC5" w:rsidRPr="00641640">
        <w:rPr>
          <w:rFonts w:ascii="Times New Roman" w:hAnsi="Times New Roman" w:cs="Times New Roman"/>
          <w:noProof/>
          <w:sz w:val="24"/>
          <w:szCs w:val="24"/>
          <w:lang w:val="sq-AL"/>
        </w:rPr>
        <w:t>ë</w:t>
      </w:r>
      <w:r w:rsidR="00E97B02"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 xml:space="preserve">politikat dhe buxhetet </w:t>
      </w:r>
      <w:r w:rsidR="00BC2F39" w:rsidRPr="00641640">
        <w:rPr>
          <w:rFonts w:ascii="Times New Roman" w:hAnsi="Times New Roman" w:cs="Times New Roman"/>
          <w:noProof/>
          <w:sz w:val="24"/>
          <w:szCs w:val="24"/>
          <w:lang w:val="sq-AL"/>
        </w:rPr>
        <w:t xml:space="preserve">të </w:t>
      </w:r>
      <w:r w:rsidRPr="00641640">
        <w:rPr>
          <w:rFonts w:ascii="Times New Roman" w:hAnsi="Times New Roman" w:cs="Times New Roman"/>
          <w:noProof/>
          <w:sz w:val="24"/>
          <w:szCs w:val="24"/>
          <w:lang w:val="sq-AL"/>
        </w:rPr>
        <w:t>j</w:t>
      </w:r>
      <w:r w:rsidR="00BC2F39"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në të harmonizuara, të planifikuara në mënyrë efikase dhe të bashkërenduara. Synimi</w:t>
      </w:r>
      <w:r w:rsidR="00E97B02" w:rsidRPr="00641640">
        <w:rPr>
          <w:rFonts w:ascii="Times New Roman" w:hAnsi="Times New Roman" w:cs="Times New Roman"/>
          <w:noProof/>
          <w:sz w:val="24"/>
          <w:szCs w:val="24"/>
          <w:lang w:val="sq-AL"/>
        </w:rPr>
        <w:t xml:space="preserve"> final</w:t>
      </w:r>
      <w:r w:rsidRPr="00641640">
        <w:rPr>
          <w:rFonts w:ascii="Times New Roman" w:hAnsi="Times New Roman" w:cs="Times New Roman"/>
          <w:noProof/>
          <w:sz w:val="24"/>
          <w:szCs w:val="24"/>
          <w:lang w:val="sq-AL"/>
        </w:rPr>
        <w:t xml:space="preserve"> është </w:t>
      </w:r>
      <w:r w:rsidR="00E97B02" w:rsidRPr="00641640">
        <w:rPr>
          <w:rFonts w:ascii="Times New Roman" w:hAnsi="Times New Roman" w:cs="Times New Roman"/>
          <w:noProof/>
          <w:sz w:val="24"/>
          <w:szCs w:val="24"/>
          <w:lang w:val="sq-AL"/>
        </w:rPr>
        <w:t>t</w:t>
      </w:r>
      <w:r w:rsidR="00064AC5" w:rsidRPr="00641640">
        <w:rPr>
          <w:rFonts w:ascii="Times New Roman" w:hAnsi="Times New Roman" w:cs="Times New Roman"/>
          <w:noProof/>
          <w:sz w:val="24"/>
          <w:szCs w:val="24"/>
          <w:lang w:val="sq-AL"/>
        </w:rPr>
        <w:t>ë</w:t>
      </w:r>
      <w:r w:rsidR="00E97B02" w:rsidRPr="00641640">
        <w:rPr>
          <w:rFonts w:ascii="Times New Roman" w:hAnsi="Times New Roman" w:cs="Times New Roman"/>
          <w:noProof/>
          <w:sz w:val="24"/>
          <w:szCs w:val="24"/>
          <w:lang w:val="sq-AL"/>
        </w:rPr>
        <w:t xml:space="preserve"> garantohet zbatimi, monitorimi dhe vler</w:t>
      </w:r>
      <w:r w:rsidR="00064AC5" w:rsidRPr="00641640">
        <w:rPr>
          <w:rFonts w:ascii="Times New Roman" w:hAnsi="Times New Roman" w:cs="Times New Roman"/>
          <w:noProof/>
          <w:sz w:val="24"/>
          <w:szCs w:val="24"/>
          <w:lang w:val="sq-AL"/>
        </w:rPr>
        <w:t>ë</w:t>
      </w:r>
      <w:r w:rsidR="00E97B02" w:rsidRPr="00641640">
        <w:rPr>
          <w:rFonts w:ascii="Times New Roman" w:hAnsi="Times New Roman" w:cs="Times New Roman"/>
          <w:noProof/>
          <w:sz w:val="24"/>
          <w:szCs w:val="24"/>
          <w:lang w:val="sq-AL"/>
        </w:rPr>
        <w:t>simi rigoroz i politikave, duke siguruar rezultate t</w:t>
      </w:r>
      <w:r w:rsidR="00064AC5" w:rsidRPr="00641640">
        <w:rPr>
          <w:rFonts w:ascii="Times New Roman" w:hAnsi="Times New Roman" w:cs="Times New Roman"/>
          <w:noProof/>
          <w:sz w:val="24"/>
          <w:szCs w:val="24"/>
          <w:lang w:val="sq-AL"/>
        </w:rPr>
        <w:t>ë</w:t>
      </w:r>
      <w:r w:rsidR="00E97B02" w:rsidRPr="00641640">
        <w:rPr>
          <w:rFonts w:ascii="Times New Roman" w:hAnsi="Times New Roman" w:cs="Times New Roman"/>
          <w:noProof/>
          <w:sz w:val="24"/>
          <w:szCs w:val="24"/>
          <w:lang w:val="sq-AL"/>
        </w:rPr>
        <w:t xml:space="preserve"> qendrueshme. </w:t>
      </w:r>
    </w:p>
    <w:p w14:paraId="464B146A" w14:textId="2D49BA89" w:rsidR="00442773" w:rsidRPr="00641640" w:rsidRDefault="00757A31" w:rsidP="003A395D">
      <w:pPr>
        <w:spacing w:line="276" w:lineRule="auto"/>
        <w:jc w:val="both"/>
        <w:rPr>
          <w:rFonts w:ascii="Times New Roman" w:hAnsi="Times New Roman" w:cs="Times New Roman"/>
          <w:bCs/>
          <w:noProof/>
          <w:sz w:val="24"/>
          <w:szCs w:val="24"/>
          <w:lang w:val="sq-AL"/>
        </w:rPr>
      </w:pPr>
      <w:r w:rsidRPr="00641640">
        <w:rPr>
          <w:rFonts w:ascii="Times New Roman" w:hAnsi="Times New Roman" w:cs="Times New Roman"/>
          <w:bCs/>
          <w:noProof/>
          <w:sz w:val="24"/>
          <w:szCs w:val="24"/>
          <w:lang w:val="sq-AL"/>
        </w:rPr>
        <w:t xml:space="preserve">Objektivat </w:t>
      </w:r>
      <w:r w:rsidR="006F29F0" w:rsidRPr="00641640">
        <w:rPr>
          <w:rFonts w:ascii="Times New Roman" w:hAnsi="Times New Roman" w:cs="Times New Roman"/>
          <w:bCs/>
          <w:noProof/>
          <w:sz w:val="24"/>
          <w:szCs w:val="24"/>
          <w:lang w:val="sq-AL"/>
        </w:rPr>
        <w:t>Specifikë të</w:t>
      </w:r>
      <w:r w:rsidRPr="00641640">
        <w:rPr>
          <w:rFonts w:ascii="Times New Roman" w:hAnsi="Times New Roman" w:cs="Times New Roman"/>
          <w:bCs/>
          <w:noProof/>
          <w:sz w:val="24"/>
          <w:szCs w:val="24"/>
          <w:lang w:val="sq-AL"/>
        </w:rPr>
        <w:t xml:space="preserve"> mëposhtëm dhe masat për secilin</w:t>
      </w:r>
      <w:r w:rsidR="00BC2F39" w:rsidRPr="00641640">
        <w:rPr>
          <w:rFonts w:ascii="Times New Roman" w:hAnsi="Times New Roman" w:cs="Times New Roman"/>
          <w:bCs/>
          <w:noProof/>
          <w:sz w:val="24"/>
          <w:szCs w:val="24"/>
          <w:lang w:val="sq-AL"/>
        </w:rPr>
        <w:t xml:space="preserve"> prej</w:t>
      </w:r>
      <w:r w:rsidR="00E97B02" w:rsidRPr="00641640">
        <w:rPr>
          <w:rFonts w:ascii="Times New Roman" w:hAnsi="Times New Roman" w:cs="Times New Roman"/>
          <w:bCs/>
          <w:noProof/>
          <w:sz w:val="24"/>
          <w:szCs w:val="24"/>
          <w:lang w:val="sq-AL"/>
        </w:rPr>
        <w:t xml:space="preserve"> tyre </w:t>
      </w:r>
      <w:r w:rsidRPr="00641640">
        <w:rPr>
          <w:rFonts w:ascii="Times New Roman" w:hAnsi="Times New Roman" w:cs="Times New Roman"/>
          <w:bCs/>
          <w:noProof/>
          <w:sz w:val="24"/>
          <w:szCs w:val="24"/>
          <w:lang w:val="sq-AL"/>
        </w:rPr>
        <w:t>do t’i shërbejnë arritjes së qëllimit të politikave.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165"/>
        <w:gridCol w:w="276"/>
        <w:gridCol w:w="534"/>
        <w:gridCol w:w="7375"/>
      </w:tblGrid>
      <w:tr w:rsidR="000F6884" w:rsidRPr="00641640" w14:paraId="44117E24" w14:textId="77777777" w:rsidTr="006F29F0">
        <w:tc>
          <w:tcPr>
            <w:tcW w:w="9350" w:type="dxa"/>
            <w:gridSpan w:val="4"/>
            <w:shd w:val="clear" w:color="auto" w:fill="E2EFD9" w:themeFill="accent6" w:themeFillTint="33"/>
          </w:tcPr>
          <w:p w14:paraId="3D1EBD85" w14:textId="0E7E4034" w:rsidR="00442773" w:rsidRPr="00641640" w:rsidRDefault="00442773" w:rsidP="00A03531">
            <w:pPr>
              <w:pStyle w:val="T-normal"/>
              <w:shd w:val="clear" w:color="auto" w:fill="E2EFD9" w:themeFill="accent6" w:themeFillTint="33"/>
              <w:spacing w:before="240" w:line="276" w:lineRule="auto"/>
              <w:jc w:val="center"/>
              <w:rPr>
                <w:rFonts w:ascii="Times New Roman" w:hAnsi="Times New Roman" w:cs="Times New Roman"/>
                <w:b/>
                <w:bCs/>
                <w:noProof/>
                <w:color w:val="003300"/>
                <w:sz w:val="18"/>
                <w:szCs w:val="18"/>
                <w:lang w:val="sq-AL"/>
              </w:rPr>
            </w:pPr>
            <w:r w:rsidRPr="00641640">
              <w:rPr>
                <w:rFonts w:ascii="Times New Roman" w:hAnsi="Times New Roman" w:cs="Times New Roman"/>
                <w:b/>
                <w:bCs/>
                <w:noProof/>
                <w:color w:val="003300"/>
                <w:sz w:val="18"/>
                <w:szCs w:val="18"/>
                <w:lang w:val="sq-AL"/>
              </w:rPr>
              <w:t xml:space="preserve">PËRMBLEDHJE E QËLLIMIT TË POLITIKËS </w:t>
            </w:r>
            <w:r w:rsidR="00184DC5" w:rsidRPr="00641640">
              <w:rPr>
                <w:rFonts w:ascii="Times New Roman" w:hAnsi="Times New Roman" w:cs="Times New Roman"/>
                <w:b/>
                <w:bCs/>
                <w:noProof/>
                <w:color w:val="003300"/>
                <w:sz w:val="18"/>
                <w:szCs w:val="18"/>
                <w:lang w:val="sq-AL"/>
              </w:rPr>
              <w:t>I</w:t>
            </w:r>
            <w:r w:rsidRPr="00641640">
              <w:rPr>
                <w:rFonts w:ascii="Times New Roman" w:hAnsi="Times New Roman" w:cs="Times New Roman"/>
                <w:b/>
                <w:bCs/>
                <w:noProof/>
                <w:color w:val="003300"/>
                <w:sz w:val="18"/>
                <w:szCs w:val="18"/>
                <w:lang w:val="sq-AL"/>
              </w:rPr>
              <w:t xml:space="preserve"> – </w:t>
            </w:r>
            <w:r w:rsidR="00BD7FB5" w:rsidRPr="00641640">
              <w:rPr>
                <w:rFonts w:ascii="Times New Roman" w:hAnsi="Times New Roman" w:cs="Times New Roman"/>
                <w:b/>
                <w:bCs/>
                <w:noProof/>
                <w:color w:val="003300"/>
                <w:sz w:val="18"/>
                <w:szCs w:val="18"/>
                <w:lang w:val="sq-AL"/>
              </w:rPr>
              <w:t>ZHVILLIMI DHE KOORDINIMI I POLITIKAVE</w:t>
            </w:r>
          </w:p>
          <w:p w14:paraId="39D1E380" w14:textId="00E52041" w:rsidR="00A03531" w:rsidRPr="00641640" w:rsidRDefault="00A03531" w:rsidP="00A03531">
            <w:pPr>
              <w:pStyle w:val="T-normal"/>
              <w:shd w:val="clear" w:color="auto" w:fill="E2EFD9" w:themeFill="accent6" w:themeFillTint="33"/>
              <w:spacing w:line="276" w:lineRule="auto"/>
              <w:jc w:val="center"/>
              <w:rPr>
                <w:rFonts w:ascii="Times New Roman" w:hAnsi="Times New Roman" w:cs="Times New Roman"/>
                <w:b/>
                <w:bCs/>
                <w:noProof/>
                <w:color w:val="385623" w:themeColor="accent6" w:themeShade="80"/>
                <w:sz w:val="18"/>
                <w:szCs w:val="18"/>
                <w:lang w:val="sq-AL"/>
              </w:rPr>
            </w:pPr>
          </w:p>
        </w:tc>
      </w:tr>
      <w:tr w:rsidR="00442773" w:rsidRPr="00641640" w14:paraId="031724F0" w14:textId="77777777" w:rsidTr="006F29F0">
        <w:tc>
          <w:tcPr>
            <w:tcW w:w="9350" w:type="dxa"/>
            <w:gridSpan w:val="4"/>
            <w:shd w:val="clear" w:color="auto" w:fill="E2EFD9" w:themeFill="accent6" w:themeFillTint="33"/>
          </w:tcPr>
          <w:p w14:paraId="2066F3DC" w14:textId="7F039F7E" w:rsidR="00442773" w:rsidRPr="00641640" w:rsidRDefault="0044202E" w:rsidP="002C31DE">
            <w:pPr>
              <w:pStyle w:val="T-normal"/>
              <w:spacing w:line="276" w:lineRule="auto"/>
              <w:jc w:val="both"/>
              <w:rPr>
                <w:rFonts w:ascii="Times New Roman" w:hAnsi="Times New Roman" w:cs="Times New Roman"/>
                <w:b/>
                <w:bCs/>
                <w:i/>
                <w:noProof/>
                <w:color w:val="C45911" w:themeColor="accent2" w:themeShade="BF"/>
                <w:sz w:val="18"/>
                <w:szCs w:val="18"/>
                <w:lang w:val="sq-AL"/>
              </w:rPr>
            </w:pPr>
            <w:r w:rsidRPr="00641640">
              <w:rPr>
                <w:rFonts w:ascii="Times New Roman" w:hAnsi="Times New Roman" w:cs="Times New Roman"/>
                <w:b/>
                <w:bCs/>
                <w:i/>
                <w:noProof/>
                <w:color w:val="C45911" w:themeColor="accent2" w:themeShade="BF"/>
                <w:sz w:val="18"/>
                <w:szCs w:val="18"/>
                <w:lang w:val="sq-AL"/>
              </w:rPr>
              <w:t>Komponenti 1.1</w:t>
            </w:r>
            <w:r w:rsidR="005459BF" w:rsidRPr="00641640">
              <w:rPr>
                <w:rFonts w:ascii="Times New Roman" w:hAnsi="Times New Roman" w:cs="Times New Roman"/>
                <w:b/>
                <w:bCs/>
                <w:i/>
                <w:noProof/>
                <w:color w:val="C45911" w:themeColor="accent2" w:themeShade="BF"/>
                <w:sz w:val="18"/>
                <w:szCs w:val="18"/>
                <w:lang w:val="sq-AL"/>
              </w:rPr>
              <w:t xml:space="preserve">: </w:t>
            </w:r>
            <w:r w:rsidRPr="00641640">
              <w:rPr>
                <w:rFonts w:ascii="Times New Roman" w:hAnsi="Times New Roman" w:cs="Times New Roman"/>
                <w:b/>
                <w:bCs/>
                <w:i/>
                <w:noProof/>
                <w:color w:val="C45911" w:themeColor="accent2" w:themeShade="BF"/>
                <w:sz w:val="18"/>
                <w:szCs w:val="18"/>
                <w:lang w:val="sq-AL"/>
              </w:rPr>
              <w:t>Planifikimi dhe koordinimi efikas i politikave në nivel kombëtar</w:t>
            </w:r>
          </w:p>
          <w:p w14:paraId="6E210058" w14:textId="27D8D3C3" w:rsidR="009E04D3" w:rsidRPr="00641640" w:rsidRDefault="009E04D3" w:rsidP="002C31DE">
            <w:pPr>
              <w:pStyle w:val="T-normal"/>
              <w:spacing w:line="276" w:lineRule="auto"/>
              <w:jc w:val="both"/>
              <w:rPr>
                <w:rFonts w:ascii="Times New Roman" w:hAnsi="Times New Roman" w:cs="Times New Roman"/>
                <w:noProof/>
                <w:color w:val="385623" w:themeColor="accent6" w:themeShade="80"/>
                <w:sz w:val="10"/>
                <w:szCs w:val="10"/>
                <w:lang w:val="sq-AL"/>
              </w:rPr>
            </w:pPr>
          </w:p>
        </w:tc>
      </w:tr>
      <w:tr w:rsidR="009905B1" w:rsidRPr="00641640" w14:paraId="04427D94" w14:textId="77777777" w:rsidTr="006F29F0">
        <w:tc>
          <w:tcPr>
            <w:tcW w:w="1975" w:type="dxa"/>
            <w:gridSpan w:val="3"/>
            <w:shd w:val="clear" w:color="auto" w:fill="E2EFD9" w:themeFill="accent6" w:themeFillTint="33"/>
          </w:tcPr>
          <w:p w14:paraId="47170EF0" w14:textId="40D83EE2" w:rsidR="00442773" w:rsidRPr="00641640" w:rsidRDefault="00CA0E94" w:rsidP="002C31DE">
            <w:pPr>
              <w:pStyle w:val="T-normal"/>
              <w:spacing w:line="276" w:lineRule="auto"/>
              <w:jc w:val="both"/>
              <w:rPr>
                <w:rFonts w:ascii="Times New Roman" w:hAnsi="Times New Roman" w:cs="Times New Roman"/>
                <w:noProof/>
                <w:color w:val="003300"/>
                <w:sz w:val="18"/>
                <w:szCs w:val="18"/>
                <w:lang w:val="sq-AL"/>
              </w:rPr>
            </w:pPr>
            <w:r w:rsidRPr="00641640">
              <w:rPr>
                <w:rFonts w:ascii="Times New Roman" w:hAnsi="Times New Roman" w:cs="Times New Roman"/>
                <w:b/>
                <w:bCs/>
                <w:noProof/>
                <w:color w:val="003300"/>
                <w:sz w:val="18"/>
                <w:szCs w:val="18"/>
                <w:lang w:val="sq-AL"/>
              </w:rPr>
              <w:t xml:space="preserve">Objektivi Specifik </w:t>
            </w:r>
            <w:r w:rsidR="00926993" w:rsidRPr="00641640">
              <w:rPr>
                <w:rFonts w:ascii="Times New Roman" w:hAnsi="Times New Roman" w:cs="Times New Roman"/>
                <w:b/>
                <w:bCs/>
                <w:noProof/>
                <w:color w:val="003300"/>
                <w:sz w:val="18"/>
                <w:szCs w:val="18"/>
                <w:lang w:val="sq-AL"/>
              </w:rPr>
              <w:t>1</w:t>
            </w:r>
            <w:r w:rsidR="00442773" w:rsidRPr="00641640">
              <w:rPr>
                <w:rFonts w:ascii="Times New Roman" w:hAnsi="Times New Roman" w:cs="Times New Roman"/>
                <w:b/>
                <w:bCs/>
                <w:noProof/>
                <w:color w:val="003300"/>
                <w:sz w:val="18"/>
                <w:szCs w:val="18"/>
                <w:lang w:val="sq-AL"/>
              </w:rPr>
              <w:t>.1:</w:t>
            </w:r>
          </w:p>
        </w:tc>
        <w:tc>
          <w:tcPr>
            <w:tcW w:w="7375" w:type="dxa"/>
            <w:shd w:val="clear" w:color="auto" w:fill="E2EFD9" w:themeFill="accent6" w:themeFillTint="33"/>
          </w:tcPr>
          <w:p w14:paraId="456B735C" w14:textId="77777777" w:rsidR="00442773" w:rsidRPr="00641640" w:rsidRDefault="001705B8" w:rsidP="00826244">
            <w:pPr>
              <w:pStyle w:val="T-normal"/>
              <w:spacing w:line="276" w:lineRule="auto"/>
              <w:jc w:val="both"/>
              <w:rPr>
                <w:rFonts w:ascii="Times New Roman" w:hAnsi="Times New Roman" w:cs="Times New Roman"/>
                <w:b/>
                <w:bCs/>
                <w:noProof/>
                <w:color w:val="003300"/>
                <w:sz w:val="18"/>
                <w:szCs w:val="18"/>
                <w:lang w:val="sq-AL"/>
              </w:rPr>
            </w:pPr>
            <w:r w:rsidRPr="00641640">
              <w:rPr>
                <w:rFonts w:ascii="Times New Roman" w:hAnsi="Times New Roman" w:cs="Times New Roman"/>
                <w:b/>
                <w:bCs/>
                <w:noProof/>
                <w:color w:val="003300"/>
                <w:sz w:val="18"/>
                <w:szCs w:val="18"/>
                <w:lang w:val="sq-AL"/>
              </w:rPr>
              <w:t>Përmirësimi i koordinimit, përafrimit dhe buxhetimit të politikave me objektivat kombëtare dhe globale të zhvillimit përgjatë gjithë ciklit të planifikimit të integruar të politikave.</w:t>
            </w:r>
          </w:p>
          <w:p w14:paraId="5AA4EDC5" w14:textId="75877AA6" w:rsidR="00826244" w:rsidRPr="00641640" w:rsidRDefault="00826244" w:rsidP="00826244">
            <w:pPr>
              <w:pStyle w:val="T-normal"/>
              <w:spacing w:line="276" w:lineRule="auto"/>
              <w:jc w:val="both"/>
              <w:rPr>
                <w:rFonts w:ascii="Times New Roman" w:hAnsi="Times New Roman" w:cs="Times New Roman"/>
                <w:noProof/>
                <w:color w:val="003300"/>
                <w:sz w:val="12"/>
                <w:szCs w:val="12"/>
                <w:lang w:val="sq-AL"/>
              </w:rPr>
            </w:pPr>
          </w:p>
        </w:tc>
      </w:tr>
      <w:tr w:rsidR="00846B0B" w:rsidRPr="00641640" w14:paraId="32C5150F" w14:textId="77777777" w:rsidTr="006F29F0">
        <w:tc>
          <w:tcPr>
            <w:tcW w:w="1165" w:type="dxa"/>
            <w:shd w:val="clear" w:color="auto" w:fill="E2EFD9" w:themeFill="accent6" w:themeFillTint="33"/>
          </w:tcPr>
          <w:p w14:paraId="5AD4739F" w14:textId="2F72219F" w:rsidR="00442773" w:rsidRPr="00641640" w:rsidRDefault="00442773"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C71C73" w:rsidRPr="00641640">
              <w:rPr>
                <w:rFonts w:ascii="Times New Roman" w:hAnsi="Times New Roman" w:cs="Times New Roman"/>
                <w:noProof/>
                <w:sz w:val="18"/>
                <w:szCs w:val="18"/>
                <w:lang w:val="sq-AL"/>
              </w:rPr>
              <w:t>1</w:t>
            </w:r>
            <w:r w:rsidRPr="00641640">
              <w:rPr>
                <w:rFonts w:ascii="Times New Roman" w:hAnsi="Times New Roman" w:cs="Times New Roman"/>
                <w:noProof/>
                <w:sz w:val="18"/>
                <w:szCs w:val="18"/>
                <w:lang w:val="sq-AL"/>
              </w:rPr>
              <w:t>.1.1</w:t>
            </w:r>
          </w:p>
        </w:tc>
        <w:tc>
          <w:tcPr>
            <w:tcW w:w="276" w:type="dxa"/>
            <w:shd w:val="clear" w:color="auto" w:fill="E2EFD9" w:themeFill="accent6" w:themeFillTint="33"/>
          </w:tcPr>
          <w:p w14:paraId="23648011" w14:textId="77777777" w:rsidR="00442773" w:rsidRPr="00641640" w:rsidRDefault="00442773"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48C11B71" w14:textId="77777777" w:rsidR="00442773" w:rsidRPr="00641640" w:rsidRDefault="00380D2D"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Rishikimi dhe garantimi i funksionimit efikas të mekanizmit të koordinimit të politikave, me synim thjeshtimin e koordinimit ndërinstitucional.</w:t>
            </w:r>
          </w:p>
          <w:p w14:paraId="6191D5D4" w14:textId="4EB26E1C" w:rsidR="00805516" w:rsidRPr="00641640" w:rsidRDefault="00805516" w:rsidP="002C31DE">
            <w:pPr>
              <w:pStyle w:val="T-normal"/>
              <w:spacing w:line="276" w:lineRule="auto"/>
              <w:jc w:val="both"/>
              <w:rPr>
                <w:rFonts w:ascii="Times New Roman" w:hAnsi="Times New Roman" w:cs="Times New Roman"/>
                <w:noProof/>
                <w:sz w:val="8"/>
                <w:szCs w:val="8"/>
                <w:lang w:val="sq-AL"/>
              </w:rPr>
            </w:pPr>
          </w:p>
        </w:tc>
      </w:tr>
      <w:tr w:rsidR="00846B0B" w:rsidRPr="00641640" w14:paraId="1AC862EB" w14:textId="77777777" w:rsidTr="006F29F0">
        <w:tc>
          <w:tcPr>
            <w:tcW w:w="1165" w:type="dxa"/>
            <w:shd w:val="clear" w:color="auto" w:fill="E2EFD9" w:themeFill="accent6" w:themeFillTint="33"/>
          </w:tcPr>
          <w:p w14:paraId="4DC5C1A1" w14:textId="0920DE83" w:rsidR="00442773" w:rsidRPr="00641640" w:rsidRDefault="00442773"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w:t>
            </w:r>
            <w:r w:rsidRPr="00641640" w:rsidDel="009179B8">
              <w:rPr>
                <w:rFonts w:ascii="Times New Roman" w:hAnsi="Times New Roman" w:cs="Times New Roman"/>
                <w:noProof/>
                <w:sz w:val="18"/>
                <w:szCs w:val="18"/>
                <w:lang w:val="sq-AL"/>
              </w:rPr>
              <w:t xml:space="preserve"> </w:t>
            </w:r>
            <w:r w:rsidR="00C71C73" w:rsidRPr="00641640">
              <w:rPr>
                <w:rFonts w:ascii="Times New Roman" w:hAnsi="Times New Roman" w:cs="Times New Roman"/>
                <w:noProof/>
                <w:sz w:val="18"/>
                <w:szCs w:val="18"/>
                <w:lang w:val="sq-AL"/>
              </w:rPr>
              <w:t>1</w:t>
            </w:r>
            <w:r w:rsidRPr="00641640">
              <w:rPr>
                <w:rFonts w:ascii="Times New Roman" w:hAnsi="Times New Roman" w:cs="Times New Roman"/>
                <w:noProof/>
                <w:sz w:val="18"/>
                <w:szCs w:val="18"/>
                <w:lang w:val="sq-AL"/>
              </w:rPr>
              <w:t>.1.2</w:t>
            </w:r>
          </w:p>
        </w:tc>
        <w:tc>
          <w:tcPr>
            <w:tcW w:w="276" w:type="dxa"/>
            <w:shd w:val="clear" w:color="auto" w:fill="E2EFD9" w:themeFill="accent6" w:themeFillTint="33"/>
          </w:tcPr>
          <w:p w14:paraId="36A22DE2" w14:textId="77777777" w:rsidR="00442773" w:rsidRPr="00641640" w:rsidRDefault="00442773"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3890DCBB" w14:textId="77777777" w:rsidR="00442773" w:rsidRPr="00641640" w:rsidRDefault="00380D2D"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Përmirësimi i Sistemit Informatik të Planifikimit Strategjik të Integruar, me synim përmirësimin e monitorimit dhe raportimit të politikave.</w:t>
            </w:r>
          </w:p>
          <w:p w14:paraId="06C6FC44" w14:textId="1F71618B" w:rsidR="00805516" w:rsidRPr="00641640" w:rsidRDefault="00805516" w:rsidP="002C31DE">
            <w:pPr>
              <w:pStyle w:val="T-normal"/>
              <w:spacing w:line="276" w:lineRule="auto"/>
              <w:jc w:val="both"/>
              <w:rPr>
                <w:rFonts w:ascii="Times New Roman" w:hAnsi="Times New Roman" w:cs="Times New Roman"/>
                <w:noProof/>
                <w:sz w:val="8"/>
                <w:szCs w:val="8"/>
                <w:lang w:val="sq-AL"/>
              </w:rPr>
            </w:pPr>
          </w:p>
        </w:tc>
      </w:tr>
      <w:tr w:rsidR="00C71C73" w:rsidRPr="00641640" w14:paraId="34371D10" w14:textId="77777777" w:rsidTr="006F29F0">
        <w:tc>
          <w:tcPr>
            <w:tcW w:w="1165" w:type="dxa"/>
            <w:shd w:val="clear" w:color="auto" w:fill="E2EFD9" w:themeFill="accent6" w:themeFillTint="33"/>
          </w:tcPr>
          <w:p w14:paraId="79BABB22" w14:textId="2C7C058D" w:rsidR="00C71C73" w:rsidRPr="00641640" w:rsidRDefault="00C71C73"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w:t>
            </w:r>
            <w:r w:rsidRPr="00641640" w:rsidDel="009179B8">
              <w:rPr>
                <w:rFonts w:ascii="Times New Roman" w:hAnsi="Times New Roman" w:cs="Times New Roman"/>
                <w:noProof/>
                <w:sz w:val="18"/>
                <w:szCs w:val="18"/>
                <w:lang w:val="sq-AL"/>
              </w:rPr>
              <w:t xml:space="preserve"> </w:t>
            </w:r>
            <w:r w:rsidRPr="00641640">
              <w:rPr>
                <w:rFonts w:ascii="Times New Roman" w:hAnsi="Times New Roman" w:cs="Times New Roman"/>
                <w:noProof/>
                <w:sz w:val="18"/>
                <w:szCs w:val="18"/>
                <w:lang w:val="sq-AL"/>
              </w:rPr>
              <w:t>1.1.3</w:t>
            </w:r>
          </w:p>
        </w:tc>
        <w:tc>
          <w:tcPr>
            <w:tcW w:w="276" w:type="dxa"/>
            <w:shd w:val="clear" w:color="auto" w:fill="E2EFD9" w:themeFill="accent6" w:themeFillTint="33"/>
          </w:tcPr>
          <w:p w14:paraId="0BA9F5F3" w14:textId="04211314" w:rsidR="00C71C73" w:rsidRPr="00641640" w:rsidRDefault="000F688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08D92D08" w14:textId="77777777" w:rsidR="00C71C73" w:rsidRPr="00641640" w:rsidRDefault="000F688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Garantimi i shpërndarjes efektive të burimeve dhe vendimmarrjeve strategjike, në përputhje të plotë me zhvillimet shoqërore.</w:t>
            </w:r>
          </w:p>
          <w:p w14:paraId="124D22A7" w14:textId="3503A9CB" w:rsidR="00805516" w:rsidRPr="00641640" w:rsidRDefault="00805516" w:rsidP="002C31DE">
            <w:pPr>
              <w:pStyle w:val="T-normal"/>
              <w:spacing w:line="276" w:lineRule="auto"/>
              <w:jc w:val="both"/>
              <w:rPr>
                <w:rFonts w:ascii="Times New Roman" w:hAnsi="Times New Roman" w:cs="Times New Roman"/>
                <w:noProof/>
                <w:sz w:val="8"/>
                <w:szCs w:val="8"/>
                <w:lang w:val="sq-AL"/>
              </w:rPr>
            </w:pPr>
          </w:p>
        </w:tc>
      </w:tr>
      <w:tr w:rsidR="00C71C73" w:rsidRPr="00641640" w14:paraId="43E69DB9" w14:textId="77777777" w:rsidTr="006F29F0">
        <w:tc>
          <w:tcPr>
            <w:tcW w:w="1165" w:type="dxa"/>
            <w:shd w:val="clear" w:color="auto" w:fill="E2EFD9" w:themeFill="accent6" w:themeFillTint="33"/>
          </w:tcPr>
          <w:p w14:paraId="0E4AC0D2" w14:textId="36438B62" w:rsidR="00C71C73" w:rsidRPr="00641640" w:rsidRDefault="00C71C73"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w:t>
            </w:r>
            <w:r w:rsidRPr="00641640" w:rsidDel="009179B8">
              <w:rPr>
                <w:rFonts w:ascii="Times New Roman" w:hAnsi="Times New Roman" w:cs="Times New Roman"/>
                <w:noProof/>
                <w:sz w:val="18"/>
                <w:szCs w:val="18"/>
                <w:lang w:val="sq-AL"/>
              </w:rPr>
              <w:t xml:space="preserve"> </w:t>
            </w:r>
            <w:r w:rsidRPr="00641640">
              <w:rPr>
                <w:rFonts w:ascii="Times New Roman" w:hAnsi="Times New Roman" w:cs="Times New Roman"/>
                <w:noProof/>
                <w:sz w:val="18"/>
                <w:szCs w:val="18"/>
                <w:lang w:val="sq-AL"/>
              </w:rPr>
              <w:t>1.1.4</w:t>
            </w:r>
          </w:p>
        </w:tc>
        <w:tc>
          <w:tcPr>
            <w:tcW w:w="276" w:type="dxa"/>
            <w:shd w:val="clear" w:color="auto" w:fill="E2EFD9" w:themeFill="accent6" w:themeFillTint="33"/>
          </w:tcPr>
          <w:p w14:paraId="64D3F820" w14:textId="03E58E35" w:rsidR="00C71C73" w:rsidRPr="00641640" w:rsidRDefault="000F688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32E2DA8A" w14:textId="3D6B5BAA" w:rsidR="00C71C73" w:rsidRPr="00641640" w:rsidRDefault="000F688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Linjëzimi i dokumentave strategjikë sektorialë dhe ndërsektorialë me Objektivat e Zhvillimit të Q</w:t>
            </w:r>
            <w:r w:rsidR="00787117" w:rsidRPr="00641640">
              <w:rPr>
                <w:rFonts w:ascii="Times New Roman" w:hAnsi="Times New Roman" w:cs="Times New Roman"/>
                <w:noProof/>
                <w:sz w:val="18"/>
                <w:szCs w:val="18"/>
                <w:lang w:val="sq-AL"/>
              </w:rPr>
              <w:t>e</w:t>
            </w:r>
            <w:r w:rsidRPr="00641640">
              <w:rPr>
                <w:rFonts w:ascii="Times New Roman" w:hAnsi="Times New Roman" w:cs="Times New Roman"/>
                <w:noProof/>
                <w:sz w:val="18"/>
                <w:szCs w:val="18"/>
                <w:lang w:val="sq-AL"/>
              </w:rPr>
              <w:t>ndrueshëm (OZHQ)-të</w:t>
            </w:r>
            <w:r w:rsidR="00805516" w:rsidRPr="00641640">
              <w:rPr>
                <w:rFonts w:ascii="Times New Roman" w:hAnsi="Times New Roman" w:cs="Times New Roman"/>
                <w:noProof/>
                <w:sz w:val="18"/>
                <w:szCs w:val="18"/>
                <w:lang w:val="sq-AL"/>
              </w:rPr>
              <w:t>.</w:t>
            </w:r>
          </w:p>
        </w:tc>
      </w:tr>
      <w:tr w:rsidR="00442773" w:rsidRPr="00641640" w14:paraId="49E1E89C" w14:textId="77777777" w:rsidTr="006F29F0">
        <w:tc>
          <w:tcPr>
            <w:tcW w:w="9350" w:type="dxa"/>
            <w:gridSpan w:val="4"/>
            <w:shd w:val="clear" w:color="auto" w:fill="E2EFD9" w:themeFill="accent6" w:themeFillTint="33"/>
          </w:tcPr>
          <w:p w14:paraId="14879D47" w14:textId="77777777" w:rsidR="00442773" w:rsidRPr="00641640" w:rsidRDefault="00442773" w:rsidP="002C31DE">
            <w:pPr>
              <w:pStyle w:val="T-normal"/>
              <w:spacing w:line="276" w:lineRule="auto"/>
              <w:jc w:val="both"/>
              <w:rPr>
                <w:rFonts w:ascii="Times New Roman" w:hAnsi="Times New Roman" w:cs="Times New Roman"/>
                <w:noProof/>
                <w:sz w:val="20"/>
                <w:szCs w:val="20"/>
                <w:lang w:val="sq-AL"/>
              </w:rPr>
            </w:pPr>
          </w:p>
          <w:p w14:paraId="6A3C85E5" w14:textId="7FDB6367" w:rsidR="00442773" w:rsidRPr="00641640" w:rsidRDefault="00472D16" w:rsidP="002C31DE">
            <w:pPr>
              <w:pStyle w:val="T-normal"/>
              <w:spacing w:line="276" w:lineRule="auto"/>
              <w:jc w:val="both"/>
              <w:rPr>
                <w:rFonts w:ascii="Times New Roman" w:hAnsi="Times New Roman" w:cs="Times New Roman"/>
                <w:b/>
                <w:bCs/>
                <w:i/>
                <w:noProof/>
                <w:color w:val="C45911" w:themeColor="accent2" w:themeShade="BF"/>
                <w:sz w:val="18"/>
                <w:szCs w:val="18"/>
                <w:lang w:val="sq-AL"/>
              </w:rPr>
            </w:pPr>
            <w:r w:rsidRPr="00641640">
              <w:rPr>
                <w:rFonts w:ascii="Times New Roman" w:hAnsi="Times New Roman" w:cs="Times New Roman"/>
                <w:b/>
                <w:bCs/>
                <w:i/>
                <w:noProof/>
                <w:color w:val="C45911" w:themeColor="accent2" w:themeShade="BF"/>
                <w:sz w:val="18"/>
                <w:szCs w:val="18"/>
                <w:lang w:val="sq-AL"/>
              </w:rPr>
              <w:t>Komponenti 1.2</w:t>
            </w:r>
            <w:r w:rsidR="005459BF" w:rsidRPr="00641640">
              <w:rPr>
                <w:rFonts w:ascii="Times New Roman" w:hAnsi="Times New Roman" w:cs="Times New Roman"/>
                <w:b/>
                <w:bCs/>
                <w:i/>
                <w:noProof/>
                <w:color w:val="C45911" w:themeColor="accent2" w:themeShade="BF"/>
                <w:sz w:val="18"/>
                <w:szCs w:val="18"/>
                <w:lang w:val="sq-AL"/>
              </w:rPr>
              <w:t>:</w:t>
            </w:r>
            <w:r w:rsidRPr="00641640">
              <w:rPr>
                <w:rFonts w:ascii="Times New Roman" w:hAnsi="Times New Roman" w:cs="Times New Roman"/>
                <w:b/>
                <w:bCs/>
                <w:i/>
                <w:noProof/>
                <w:color w:val="C45911" w:themeColor="accent2" w:themeShade="BF"/>
                <w:sz w:val="18"/>
                <w:szCs w:val="18"/>
                <w:lang w:val="sq-AL"/>
              </w:rPr>
              <w:t xml:space="preserve"> Koordinimi efikas i procesit të integrimit evropian</w:t>
            </w:r>
          </w:p>
          <w:p w14:paraId="31A96058" w14:textId="6CA40102" w:rsidR="0046496D" w:rsidRPr="00641640" w:rsidRDefault="0046496D" w:rsidP="002C31DE">
            <w:pPr>
              <w:pStyle w:val="T-normal"/>
              <w:spacing w:line="276" w:lineRule="auto"/>
              <w:jc w:val="both"/>
              <w:rPr>
                <w:rFonts w:ascii="Times New Roman" w:hAnsi="Times New Roman" w:cs="Times New Roman"/>
                <w:noProof/>
                <w:sz w:val="10"/>
                <w:szCs w:val="10"/>
                <w:lang w:val="sq-AL"/>
              </w:rPr>
            </w:pPr>
          </w:p>
        </w:tc>
      </w:tr>
      <w:tr w:rsidR="009905B1" w:rsidRPr="00641640" w14:paraId="2F665B45" w14:textId="77777777" w:rsidTr="006F29F0">
        <w:tc>
          <w:tcPr>
            <w:tcW w:w="1975" w:type="dxa"/>
            <w:gridSpan w:val="3"/>
            <w:shd w:val="clear" w:color="auto" w:fill="E2EFD9" w:themeFill="accent6" w:themeFillTint="33"/>
          </w:tcPr>
          <w:p w14:paraId="762BE3A8" w14:textId="20CF1855" w:rsidR="00442773" w:rsidRPr="00641640" w:rsidRDefault="00442773" w:rsidP="002C31DE">
            <w:pPr>
              <w:pStyle w:val="T-normal"/>
              <w:spacing w:line="276" w:lineRule="auto"/>
              <w:jc w:val="both"/>
              <w:rPr>
                <w:rFonts w:ascii="Times New Roman" w:hAnsi="Times New Roman" w:cs="Times New Roman"/>
                <w:noProof/>
                <w:color w:val="003300"/>
                <w:sz w:val="18"/>
                <w:szCs w:val="18"/>
                <w:lang w:val="sq-AL"/>
              </w:rPr>
            </w:pPr>
            <w:r w:rsidRPr="00641640">
              <w:rPr>
                <w:rFonts w:ascii="Times New Roman" w:eastAsia="Times New Roman" w:hAnsi="Times New Roman" w:cs="Times New Roman"/>
                <w:b/>
                <w:noProof/>
                <w:color w:val="003300"/>
                <w:sz w:val="18"/>
                <w:szCs w:val="18"/>
                <w:lang w:val="sq-AL"/>
              </w:rPr>
              <w:t>Objektivi</w:t>
            </w:r>
            <w:r w:rsidR="00CA0E94" w:rsidRPr="00641640">
              <w:rPr>
                <w:rFonts w:ascii="Times New Roman" w:eastAsia="Times New Roman" w:hAnsi="Times New Roman" w:cs="Times New Roman"/>
                <w:b/>
                <w:noProof/>
                <w:color w:val="003300"/>
                <w:sz w:val="18"/>
                <w:szCs w:val="18"/>
                <w:lang w:val="sq-AL"/>
              </w:rPr>
              <w:t xml:space="preserve"> S</w:t>
            </w:r>
            <w:r w:rsidRPr="00641640">
              <w:rPr>
                <w:rFonts w:ascii="Times New Roman" w:eastAsia="Times New Roman" w:hAnsi="Times New Roman" w:cs="Times New Roman"/>
                <w:b/>
                <w:noProof/>
                <w:color w:val="003300"/>
                <w:sz w:val="18"/>
                <w:szCs w:val="18"/>
                <w:lang w:val="sq-AL"/>
              </w:rPr>
              <w:t xml:space="preserve">pecifik </w:t>
            </w:r>
            <w:r w:rsidR="00CA0E94" w:rsidRPr="00641640">
              <w:rPr>
                <w:rFonts w:ascii="Times New Roman" w:eastAsia="Times New Roman" w:hAnsi="Times New Roman" w:cs="Times New Roman"/>
                <w:b/>
                <w:noProof/>
                <w:color w:val="003300"/>
                <w:sz w:val="18"/>
                <w:szCs w:val="18"/>
                <w:lang w:val="sq-AL"/>
              </w:rPr>
              <w:t>1</w:t>
            </w:r>
            <w:r w:rsidRPr="00641640">
              <w:rPr>
                <w:rFonts w:ascii="Times New Roman" w:eastAsia="Times New Roman" w:hAnsi="Times New Roman" w:cs="Times New Roman"/>
                <w:b/>
                <w:noProof/>
                <w:color w:val="003300"/>
                <w:sz w:val="18"/>
                <w:szCs w:val="18"/>
                <w:lang w:val="sq-AL"/>
              </w:rPr>
              <w:t>.2:</w:t>
            </w:r>
          </w:p>
        </w:tc>
        <w:tc>
          <w:tcPr>
            <w:tcW w:w="7375" w:type="dxa"/>
            <w:shd w:val="clear" w:color="auto" w:fill="E2EFD9" w:themeFill="accent6" w:themeFillTint="33"/>
          </w:tcPr>
          <w:p w14:paraId="600B2B39" w14:textId="77777777" w:rsidR="00442773" w:rsidRPr="00641640" w:rsidRDefault="00AD7FCB" w:rsidP="00826244">
            <w:pPr>
              <w:pStyle w:val="T-normal"/>
              <w:spacing w:line="276" w:lineRule="auto"/>
              <w:jc w:val="both"/>
              <w:rPr>
                <w:rFonts w:ascii="Times New Roman" w:eastAsia="Times New Roman" w:hAnsi="Times New Roman" w:cs="Times New Roman"/>
                <w:b/>
                <w:noProof/>
                <w:color w:val="003300"/>
                <w:sz w:val="18"/>
                <w:szCs w:val="18"/>
                <w:lang w:val="sq-AL"/>
              </w:rPr>
            </w:pPr>
            <w:r w:rsidRPr="00641640">
              <w:rPr>
                <w:rFonts w:ascii="Times New Roman" w:eastAsia="Times New Roman" w:hAnsi="Times New Roman" w:cs="Times New Roman"/>
                <w:b/>
                <w:noProof/>
                <w:color w:val="003300"/>
                <w:sz w:val="18"/>
                <w:szCs w:val="18"/>
                <w:lang w:val="sq-AL"/>
              </w:rPr>
              <w:t>Zbatimi i një procesi të mirëkoordinuar dhe gjithëpërfshirës për integrimin evropian, duke fuqizuar kapacitetet e strukturave negociuese për të përballuar me sukses kërkesat e procesit</w:t>
            </w:r>
            <w:r w:rsidR="00442773" w:rsidRPr="00641640">
              <w:rPr>
                <w:rFonts w:ascii="Times New Roman" w:eastAsia="Times New Roman" w:hAnsi="Times New Roman" w:cs="Times New Roman"/>
                <w:b/>
                <w:noProof/>
                <w:color w:val="003300"/>
                <w:sz w:val="18"/>
                <w:szCs w:val="18"/>
                <w:lang w:val="sq-AL"/>
              </w:rPr>
              <w:t>.</w:t>
            </w:r>
          </w:p>
          <w:p w14:paraId="0CC9A908" w14:textId="6C93CBA9" w:rsidR="00826244" w:rsidRPr="00641640" w:rsidRDefault="00826244" w:rsidP="00826244">
            <w:pPr>
              <w:pStyle w:val="T-normal"/>
              <w:spacing w:line="276" w:lineRule="auto"/>
              <w:jc w:val="both"/>
              <w:rPr>
                <w:rFonts w:ascii="Times New Roman" w:hAnsi="Times New Roman" w:cs="Times New Roman"/>
                <w:noProof/>
                <w:color w:val="003300"/>
                <w:sz w:val="12"/>
                <w:szCs w:val="12"/>
                <w:lang w:val="sq-AL"/>
              </w:rPr>
            </w:pPr>
          </w:p>
        </w:tc>
      </w:tr>
      <w:tr w:rsidR="00846B0B" w:rsidRPr="00641640" w14:paraId="19292590" w14:textId="77777777" w:rsidTr="006F29F0">
        <w:tc>
          <w:tcPr>
            <w:tcW w:w="1165" w:type="dxa"/>
            <w:shd w:val="clear" w:color="auto" w:fill="E2EFD9" w:themeFill="accent6" w:themeFillTint="33"/>
          </w:tcPr>
          <w:p w14:paraId="2309AF81" w14:textId="6C08F226" w:rsidR="00442773" w:rsidRPr="00641640" w:rsidRDefault="00442773"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BA55BF" w:rsidRPr="00641640">
              <w:rPr>
                <w:rFonts w:ascii="Times New Roman" w:hAnsi="Times New Roman" w:cs="Times New Roman"/>
                <w:noProof/>
                <w:sz w:val="18"/>
                <w:szCs w:val="18"/>
                <w:lang w:val="sq-AL"/>
              </w:rPr>
              <w:t>1</w:t>
            </w:r>
            <w:r w:rsidRPr="00641640">
              <w:rPr>
                <w:rFonts w:ascii="Times New Roman" w:hAnsi="Times New Roman" w:cs="Times New Roman"/>
                <w:noProof/>
                <w:sz w:val="18"/>
                <w:szCs w:val="18"/>
                <w:lang w:val="sq-AL"/>
              </w:rPr>
              <w:t>.2.1</w:t>
            </w:r>
          </w:p>
        </w:tc>
        <w:tc>
          <w:tcPr>
            <w:tcW w:w="276" w:type="dxa"/>
            <w:shd w:val="clear" w:color="auto" w:fill="E2EFD9" w:themeFill="accent6" w:themeFillTint="33"/>
          </w:tcPr>
          <w:p w14:paraId="459EA1EF" w14:textId="77777777" w:rsidR="00442773" w:rsidRPr="00641640" w:rsidRDefault="00442773" w:rsidP="002C31DE">
            <w:pPr>
              <w:pStyle w:val="T-normal"/>
              <w:spacing w:line="276" w:lineRule="auto"/>
              <w:jc w:val="both"/>
              <w:rPr>
                <w:rFonts w:ascii="Times New Roman" w:hAnsi="Times New Roman" w:cs="Times New Roman"/>
                <w:b/>
                <w:bCs/>
                <w:noProof/>
                <w:sz w:val="18"/>
                <w:szCs w:val="18"/>
                <w:lang w:val="sq-AL"/>
              </w:rPr>
            </w:pPr>
            <w:r w:rsidRPr="00641640">
              <w:rPr>
                <w:rFonts w:ascii="Times New Roman" w:hAnsi="Times New Roman" w:cs="Times New Roman"/>
                <w:b/>
                <w:bCs/>
                <w:noProof/>
                <w:sz w:val="18"/>
                <w:szCs w:val="18"/>
                <w:lang w:val="sq-AL"/>
              </w:rPr>
              <w:t>-</w:t>
            </w:r>
          </w:p>
        </w:tc>
        <w:tc>
          <w:tcPr>
            <w:tcW w:w="7909" w:type="dxa"/>
            <w:gridSpan w:val="2"/>
            <w:shd w:val="clear" w:color="auto" w:fill="E2EFD9" w:themeFill="accent6" w:themeFillTint="33"/>
          </w:tcPr>
          <w:p w14:paraId="7C89E0DF" w14:textId="77777777" w:rsidR="00442773" w:rsidRPr="00641640" w:rsidRDefault="008D39B2"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Kryerja dhe zbatimi efikas i procesit të planifikimit gjithëpërfshirës shumëvjeçar mbi integrimin evropian.</w:t>
            </w:r>
          </w:p>
          <w:p w14:paraId="71B71EE5" w14:textId="41A573C1" w:rsidR="0046496D" w:rsidRPr="00641640" w:rsidRDefault="0046496D" w:rsidP="002C31DE">
            <w:pPr>
              <w:pStyle w:val="T-normal"/>
              <w:spacing w:line="276" w:lineRule="auto"/>
              <w:jc w:val="both"/>
              <w:rPr>
                <w:rFonts w:ascii="Times New Roman" w:hAnsi="Times New Roman" w:cs="Times New Roman"/>
                <w:noProof/>
                <w:sz w:val="8"/>
                <w:szCs w:val="8"/>
                <w:lang w:val="sq-AL"/>
              </w:rPr>
            </w:pPr>
          </w:p>
        </w:tc>
      </w:tr>
      <w:tr w:rsidR="00846B0B" w:rsidRPr="00641640" w14:paraId="06D63F4A" w14:textId="77777777" w:rsidTr="006F29F0">
        <w:tc>
          <w:tcPr>
            <w:tcW w:w="1165" w:type="dxa"/>
            <w:shd w:val="clear" w:color="auto" w:fill="E2EFD9" w:themeFill="accent6" w:themeFillTint="33"/>
          </w:tcPr>
          <w:p w14:paraId="1C3E25A5" w14:textId="06792D9E" w:rsidR="00442773" w:rsidRPr="00641640" w:rsidRDefault="00442773"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BA55BF" w:rsidRPr="00641640">
              <w:rPr>
                <w:rFonts w:ascii="Times New Roman" w:hAnsi="Times New Roman" w:cs="Times New Roman"/>
                <w:noProof/>
                <w:sz w:val="18"/>
                <w:szCs w:val="18"/>
                <w:lang w:val="sq-AL"/>
              </w:rPr>
              <w:t>1</w:t>
            </w:r>
            <w:r w:rsidRPr="00641640">
              <w:rPr>
                <w:rFonts w:ascii="Times New Roman" w:hAnsi="Times New Roman" w:cs="Times New Roman"/>
                <w:noProof/>
                <w:sz w:val="18"/>
                <w:szCs w:val="18"/>
                <w:lang w:val="sq-AL"/>
              </w:rPr>
              <w:t>.2.</w:t>
            </w:r>
            <w:r w:rsidR="00287CA2" w:rsidRPr="00641640">
              <w:rPr>
                <w:rFonts w:ascii="Times New Roman" w:hAnsi="Times New Roman" w:cs="Times New Roman"/>
                <w:noProof/>
                <w:sz w:val="18"/>
                <w:szCs w:val="18"/>
                <w:lang w:val="sq-AL"/>
              </w:rPr>
              <w:t>2</w:t>
            </w:r>
          </w:p>
        </w:tc>
        <w:tc>
          <w:tcPr>
            <w:tcW w:w="276" w:type="dxa"/>
            <w:shd w:val="clear" w:color="auto" w:fill="E2EFD9" w:themeFill="accent6" w:themeFillTint="33"/>
          </w:tcPr>
          <w:p w14:paraId="1736EF47" w14:textId="77777777" w:rsidR="00442773" w:rsidRPr="00641640" w:rsidRDefault="00442773" w:rsidP="002C31DE">
            <w:pPr>
              <w:pStyle w:val="T-normal"/>
              <w:spacing w:line="276" w:lineRule="auto"/>
              <w:jc w:val="both"/>
              <w:rPr>
                <w:rFonts w:ascii="Times New Roman" w:hAnsi="Times New Roman" w:cs="Times New Roman"/>
                <w:b/>
                <w:bCs/>
                <w:noProof/>
                <w:sz w:val="18"/>
                <w:szCs w:val="18"/>
                <w:lang w:val="sq-AL"/>
              </w:rPr>
            </w:pPr>
            <w:r w:rsidRPr="00641640">
              <w:rPr>
                <w:rFonts w:ascii="Times New Roman" w:hAnsi="Times New Roman" w:cs="Times New Roman"/>
                <w:b/>
                <w:bCs/>
                <w:noProof/>
                <w:sz w:val="18"/>
                <w:szCs w:val="18"/>
                <w:lang w:val="sq-AL"/>
              </w:rPr>
              <w:t>-</w:t>
            </w:r>
          </w:p>
        </w:tc>
        <w:tc>
          <w:tcPr>
            <w:tcW w:w="7909" w:type="dxa"/>
            <w:gridSpan w:val="2"/>
            <w:shd w:val="clear" w:color="auto" w:fill="E2EFD9" w:themeFill="accent6" w:themeFillTint="33"/>
          </w:tcPr>
          <w:p w14:paraId="31864372" w14:textId="1910051A" w:rsidR="00442773" w:rsidRPr="00641640" w:rsidRDefault="000516C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Përgatitja dhe zbatimi i programit për forcimin e kapaciteteve dhe aftësive për integrimin evropian</w:t>
            </w:r>
            <w:r w:rsidR="0000404A" w:rsidRPr="00641640">
              <w:rPr>
                <w:rFonts w:ascii="Times New Roman" w:hAnsi="Times New Roman" w:cs="Times New Roman"/>
                <w:noProof/>
                <w:sz w:val="18"/>
                <w:szCs w:val="18"/>
                <w:lang w:val="sq-AL"/>
              </w:rPr>
              <w:t>.</w:t>
            </w:r>
          </w:p>
        </w:tc>
      </w:tr>
      <w:tr w:rsidR="00846B0B" w:rsidRPr="00641640" w14:paraId="03B99374" w14:textId="77777777" w:rsidTr="006F29F0">
        <w:tc>
          <w:tcPr>
            <w:tcW w:w="1165" w:type="dxa"/>
            <w:shd w:val="clear" w:color="auto" w:fill="E2EFD9" w:themeFill="accent6" w:themeFillTint="33"/>
          </w:tcPr>
          <w:p w14:paraId="6446A94F" w14:textId="79E3507C" w:rsidR="00442773" w:rsidRPr="00641640" w:rsidRDefault="00442773"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BA55BF" w:rsidRPr="00641640">
              <w:rPr>
                <w:rFonts w:ascii="Times New Roman" w:hAnsi="Times New Roman" w:cs="Times New Roman"/>
                <w:noProof/>
                <w:sz w:val="18"/>
                <w:szCs w:val="18"/>
                <w:lang w:val="sq-AL"/>
              </w:rPr>
              <w:t>1</w:t>
            </w:r>
            <w:r w:rsidRPr="00641640">
              <w:rPr>
                <w:rFonts w:ascii="Times New Roman" w:hAnsi="Times New Roman" w:cs="Times New Roman"/>
                <w:noProof/>
                <w:sz w:val="18"/>
                <w:szCs w:val="18"/>
                <w:lang w:val="sq-AL"/>
              </w:rPr>
              <w:t>.2.</w:t>
            </w:r>
            <w:r w:rsidR="00287CA2" w:rsidRPr="00641640">
              <w:rPr>
                <w:rFonts w:ascii="Times New Roman" w:hAnsi="Times New Roman" w:cs="Times New Roman"/>
                <w:noProof/>
                <w:sz w:val="18"/>
                <w:szCs w:val="18"/>
                <w:lang w:val="sq-AL"/>
              </w:rPr>
              <w:t>3</w:t>
            </w:r>
          </w:p>
        </w:tc>
        <w:tc>
          <w:tcPr>
            <w:tcW w:w="276" w:type="dxa"/>
            <w:shd w:val="clear" w:color="auto" w:fill="E2EFD9" w:themeFill="accent6" w:themeFillTint="33"/>
          </w:tcPr>
          <w:p w14:paraId="05DA3B15" w14:textId="77777777" w:rsidR="00442773" w:rsidRPr="00641640" w:rsidRDefault="00442773" w:rsidP="002C31DE">
            <w:pPr>
              <w:pStyle w:val="T-normal"/>
              <w:spacing w:line="276" w:lineRule="auto"/>
              <w:jc w:val="both"/>
              <w:rPr>
                <w:rFonts w:ascii="Times New Roman" w:hAnsi="Times New Roman" w:cs="Times New Roman"/>
                <w:b/>
                <w:bCs/>
                <w:noProof/>
                <w:sz w:val="18"/>
                <w:szCs w:val="18"/>
                <w:lang w:val="sq-AL"/>
              </w:rPr>
            </w:pPr>
            <w:r w:rsidRPr="00641640">
              <w:rPr>
                <w:rFonts w:ascii="Times New Roman" w:hAnsi="Times New Roman" w:cs="Times New Roman"/>
                <w:b/>
                <w:bCs/>
                <w:noProof/>
                <w:sz w:val="18"/>
                <w:szCs w:val="18"/>
                <w:lang w:val="sq-AL"/>
              </w:rPr>
              <w:t>-</w:t>
            </w:r>
          </w:p>
        </w:tc>
        <w:tc>
          <w:tcPr>
            <w:tcW w:w="7909" w:type="dxa"/>
            <w:gridSpan w:val="2"/>
            <w:shd w:val="clear" w:color="auto" w:fill="E2EFD9" w:themeFill="accent6" w:themeFillTint="33"/>
          </w:tcPr>
          <w:p w14:paraId="31E559B4" w14:textId="77777777" w:rsidR="00442773" w:rsidRPr="00641640" w:rsidRDefault="00DC21D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Përgatitja dhe zhvillimi i një pakete të plotë trajnimi për juristët që merren me përafrimin e legjislacionit në institucionet e administratës publike.</w:t>
            </w:r>
          </w:p>
          <w:p w14:paraId="20194004" w14:textId="75536210" w:rsidR="00805516" w:rsidRPr="00641640" w:rsidRDefault="00805516" w:rsidP="002C31DE">
            <w:pPr>
              <w:pStyle w:val="T-normal"/>
              <w:spacing w:line="276" w:lineRule="auto"/>
              <w:jc w:val="both"/>
              <w:rPr>
                <w:rFonts w:ascii="Times New Roman" w:hAnsi="Times New Roman" w:cs="Times New Roman"/>
                <w:noProof/>
                <w:sz w:val="8"/>
                <w:szCs w:val="8"/>
                <w:lang w:val="sq-AL"/>
              </w:rPr>
            </w:pPr>
          </w:p>
        </w:tc>
      </w:tr>
      <w:tr w:rsidR="00CA4A85" w:rsidRPr="00641640" w14:paraId="6E9026C1" w14:textId="77777777" w:rsidTr="006F29F0">
        <w:tc>
          <w:tcPr>
            <w:tcW w:w="1165" w:type="dxa"/>
            <w:shd w:val="clear" w:color="auto" w:fill="E2EFD9" w:themeFill="accent6" w:themeFillTint="33"/>
          </w:tcPr>
          <w:p w14:paraId="0707DF30" w14:textId="5CE68699" w:rsidR="00CA4A85" w:rsidRPr="00641640" w:rsidRDefault="00CA4A85"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1.2.</w:t>
            </w:r>
            <w:r w:rsidR="00287CA2" w:rsidRPr="00641640">
              <w:rPr>
                <w:rFonts w:ascii="Times New Roman" w:hAnsi="Times New Roman" w:cs="Times New Roman"/>
                <w:noProof/>
                <w:sz w:val="18"/>
                <w:szCs w:val="18"/>
                <w:lang w:val="sq-AL"/>
              </w:rPr>
              <w:t>4</w:t>
            </w:r>
          </w:p>
        </w:tc>
        <w:tc>
          <w:tcPr>
            <w:tcW w:w="276" w:type="dxa"/>
            <w:shd w:val="clear" w:color="auto" w:fill="E2EFD9" w:themeFill="accent6" w:themeFillTint="33"/>
          </w:tcPr>
          <w:p w14:paraId="5409E9DC" w14:textId="1152570F" w:rsidR="00CA4A85" w:rsidRPr="00641640" w:rsidRDefault="00B11D41" w:rsidP="00CA4A85">
            <w:pPr>
              <w:pStyle w:val="T-normal"/>
              <w:spacing w:line="276" w:lineRule="auto"/>
              <w:jc w:val="both"/>
              <w:rPr>
                <w:rFonts w:ascii="Times New Roman" w:hAnsi="Times New Roman" w:cs="Times New Roman"/>
                <w:b/>
                <w:bCs/>
                <w:noProof/>
                <w:sz w:val="18"/>
                <w:szCs w:val="18"/>
                <w:lang w:val="sq-AL"/>
              </w:rPr>
            </w:pPr>
            <w:r w:rsidRPr="00641640">
              <w:rPr>
                <w:rFonts w:ascii="Times New Roman" w:hAnsi="Times New Roman" w:cs="Times New Roman"/>
                <w:b/>
                <w:bCs/>
                <w:noProof/>
                <w:sz w:val="18"/>
                <w:szCs w:val="18"/>
                <w:lang w:val="sq-AL"/>
              </w:rPr>
              <w:t>-</w:t>
            </w:r>
          </w:p>
        </w:tc>
        <w:tc>
          <w:tcPr>
            <w:tcW w:w="7909" w:type="dxa"/>
            <w:gridSpan w:val="2"/>
            <w:shd w:val="clear" w:color="auto" w:fill="E2EFD9" w:themeFill="accent6" w:themeFillTint="33"/>
          </w:tcPr>
          <w:p w14:paraId="1B5D8A52" w14:textId="54003FA7" w:rsidR="00CA4A85" w:rsidRPr="00641640" w:rsidRDefault="00CA4A85"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Forcimi i kapaciteteve për strukturat që janë përgjegjëse për procesin e përafrimit të legjislacionit me BE.</w:t>
            </w:r>
          </w:p>
        </w:tc>
      </w:tr>
      <w:tr w:rsidR="00CA4A85" w:rsidRPr="00641640" w14:paraId="050FE63C" w14:textId="77777777" w:rsidTr="006F29F0">
        <w:tc>
          <w:tcPr>
            <w:tcW w:w="9350" w:type="dxa"/>
            <w:gridSpan w:val="4"/>
            <w:shd w:val="clear" w:color="auto" w:fill="E2EFD9" w:themeFill="accent6" w:themeFillTint="33"/>
          </w:tcPr>
          <w:p w14:paraId="22222466" w14:textId="77777777" w:rsidR="00CA4A85" w:rsidRPr="00641640" w:rsidRDefault="00CA4A85" w:rsidP="00CA4A85">
            <w:pPr>
              <w:pStyle w:val="T-normal"/>
              <w:spacing w:after="240" w:line="276" w:lineRule="auto"/>
              <w:jc w:val="both"/>
              <w:rPr>
                <w:rFonts w:ascii="Times New Roman" w:hAnsi="Times New Roman" w:cs="Times New Roman"/>
                <w:noProof/>
                <w:sz w:val="18"/>
                <w:szCs w:val="18"/>
                <w:lang w:val="sq-AL"/>
              </w:rPr>
            </w:pPr>
          </w:p>
          <w:p w14:paraId="21BFEEE4" w14:textId="01C50EF4" w:rsidR="009F511F" w:rsidRPr="00641640" w:rsidRDefault="009F511F" w:rsidP="009F511F">
            <w:pPr>
              <w:pStyle w:val="T-normal"/>
              <w:spacing w:line="276" w:lineRule="auto"/>
              <w:jc w:val="both"/>
              <w:rPr>
                <w:rFonts w:ascii="Times New Roman" w:hAnsi="Times New Roman" w:cs="Times New Roman"/>
                <w:b/>
                <w:bCs/>
                <w:i/>
                <w:noProof/>
                <w:color w:val="C45911" w:themeColor="accent2" w:themeShade="BF"/>
                <w:sz w:val="18"/>
                <w:szCs w:val="18"/>
                <w:lang w:val="sq-AL"/>
              </w:rPr>
            </w:pPr>
            <w:r w:rsidRPr="00641640">
              <w:rPr>
                <w:rFonts w:ascii="Times New Roman" w:hAnsi="Times New Roman" w:cs="Times New Roman"/>
                <w:b/>
                <w:bCs/>
                <w:i/>
                <w:noProof/>
                <w:color w:val="C45911" w:themeColor="accent2" w:themeShade="BF"/>
                <w:sz w:val="18"/>
                <w:szCs w:val="18"/>
                <w:lang w:val="sq-AL"/>
              </w:rPr>
              <w:t>Komponenti 1.3</w:t>
            </w:r>
            <w:r w:rsidR="005459BF" w:rsidRPr="00641640">
              <w:rPr>
                <w:rFonts w:ascii="Times New Roman" w:hAnsi="Times New Roman" w:cs="Times New Roman"/>
                <w:b/>
                <w:bCs/>
                <w:i/>
                <w:noProof/>
                <w:color w:val="C45911" w:themeColor="accent2" w:themeShade="BF"/>
                <w:sz w:val="18"/>
                <w:szCs w:val="18"/>
                <w:lang w:val="sq-AL"/>
              </w:rPr>
              <w:t xml:space="preserve">: </w:t>
            </w:r>
            <w:r w:rsidRPr="00641640">
              <w:rPr>
                <w:rFonts w:ascii="Times New Roman" w:hAnsi="Times New Roman" w:cs="Times New Roman"/>
                <w:b/>
                <w:bCs/>
                <w:i/>
                <w:noProof/>
                <w:color w:val="C45911" w:themeColor="accent2" w:themeShade="BF"/>
                <w:sz w:val="18"/>
                <w:szCs w:val="18"/>
                <w:lang w:val="sq-AL"/>
              </w:rPr>
              <w:t>Ligjbërje dhe politibërje gjithëpërfshirëse dhe transparente, bazuar në të dhëna dhe që garanton përputhje me acquis-në dhe standardet evropiane</w:t>
            </w:r>
          </w:p>
          <w:p w14:paraId="015A6CE3" w14:textId="12DB26F0" w:rsidR="005459BF" w:rsidRPr="00641640" w:rsidRDefault="005459BF" w:rsidP="009F511F">
            <w:pPr>
              <w:pStyle w:val="T-normal"/>
              <w:spacing w:line="276" w:lineRule="auto"/>
              <w:jc w:val="both"/>
              <w:rPr>
                <w:rFonts w:ascii="Times New Roman" w:hAnsi="Times New Roman" w:cs="Times New Roman"/>
                <w:noProof/>
                <w:sz w:val="10"/>
                <w:szCs w:val="10"/>
                <w:lang w:val="sq-AL"/>
              </w:rPr>
            </w:pPr>
          </w:p>
        </w:tc>
      </w:tr>
      <w:tr w:rsidR="009905B1" w:rsidRPr="00641640" w14:paraId="2D4AA727" w14:textId="77777777" w:rsidTr="006F29F0">
        <w:tc>
          <w:tcPr>
            <w:tcW w:w="1975" w:type="dxa"/>
            <w:gridSpan w:val="3"/>
            <w:shd w:val="clear" w:color="auto" w:fill="E2EFD9" w:themeFill="accent6" w:themeFillTint="33"/>
          </w:tcPr>
          <w:p w14:paraId="177B7690" w14:textId="5018AE2B" w:rsidR="00CA4A85" w:rsidRPr="00641640" w:rsidRDefault="00CA4A85" w:rsidP="00CA4A85">
            <w:pPr>
              <w:pStyle w:val="T-normal"/>
              <w:spacing w:line="276" w:lineRule="auto"/>
              <w:jc w:val="both"/>
              <w:rPr>
                <w:rFonts w:ascii="Times New Roman" w:hAnsi="Times New Roman" w:cs="Times New Roman"/>
                <w:noProof/>
                <w:color w:val="003300"/>
                <w:sz w:val="18"/>
                <w:szCs w:val="18"/>
                <w:lang w:val="sq-AL"/>
              </w:rPr>
            </w:pPr>
            <w:r w:rsidRPr="00641640">
              <w:rPr>
                <w:rFonts w:ascii="Times New Roman" w:hAnsi="Times New Roman" w:cs="Times New Roman"/>
                <w:b/>
                <w:bCs/>
                <w:noProof/>
                <w:color w:val="003300"/>
                <w:sz w:val="18"/>
                <w:szCs w:val="18"/>
                <w:lang w:val="sq-AL"/>
              </w:rPr>
              <w:t>O</w:t>
            </w:r>
            <w:r w:rsidR="009905B1" w:rsidRPr="00641640">
              <w:rPr>
                <w:rFonts w:ascii="Times New Roman" w:hAnsi="Times New Roman" w:cs="Times New Roman"/>
                <w:b/>
                <w:bCs/>
                <w:noProof/>
                <w:color w:val="003300"/>
                <w:sz w:val="18"/>
                <w:szCs w:val="18"/>
                <w:lang w:val="sq-AL"/>
              </w:rPr>
              <w:t>jektivi</w:t>
            </w:r>
            <w:r w:rsidRPr="00641640">
              <w:rPr>
                <w:rFonts w:ascii="Times New Roman" w:hAnsi="Times New Roman" w:cs="Times New Roman"/>
                <w:b/>
                <w:bCs/>
                <w:noProof/>
                <w:color w:val="003300"/>
                <w:sz w:val="18"/>
                <w:szCs w:val="18"/>
                <w:lang w:val="sq-AL"/>
              </w:rPr>
              <w:t xml:space="preserve"> S</w:t>
            </w:r>
            <w:r w:rsidR="008E4150" w:rsidRPr="00641640">
              <w:rPr>
                <w:rFonts w:ascii="Times New Roman" w:hAnsi="Times New Roman" w:cs="Times New Roman"/>
                <w:b/>
                <w:bCs/>
                <w:noProof/>
                <w:color w:val="003300"/>
                <w:sz w:val="18"/>
                <w:szCs w:val="18"/>
                <w:lang w:val="sq-AL"/>
              </w:rPr>
              <w:t>pecifik</w:t>
            </w:r>
            <w:r w:rsidRPr="00641640">
              <w:rPr>
                <w:rFonts w:ascii="Times New Roman" w:hAnsi="Times New Roman" w:cs="Times New Roman"/>
                <w:b/>
                <w:bCs/>
                <w:noProof/>
                <w:color w:val="003300"/>
                <w:sz w:val="18"/>
                <w:szCs w:val="18"/>
                <w:lang w:val="sq-AL"/>
              </w:rPr>
              <w:t xml:space="preserve"> 1.3:</w:t>
            </w:r>
          </w:p>
        </w:tc>
        <w:tc>
          <w:tcPr>
            <w:tcW w:w="7375" w:type="dxa"/>
            <w:shd w:val="clear" w:color="auto" w:fill="E2EFD9" w:themeFill="accent6" w:themeFillTint="33"/>
          </w:tcPr>
          <w:p w14:paraId="32629927" w14:textId="77777777" w:rsidR="00CA4A85" w:rsidRPr="00641640" w:rsidRDefault="00921F8A" w:rsidP="00826244">
            <w:pPr>
              <w:pStyle w:val="T-normal"/>
              <w:spacing w:line="276" w:lineRule="auto"/>
              <w:jc w:val="both"/>
              <w:rPr>
                <w:rFonts w:ascii="Times New Roman" w:hAnsi="Times New Roman" w:cs="Times New Roman"/>
                <w:b/>
                <w:bCs/>
                <w:noProof/>
                <w:color w:val="003300"/>
                <w:sz w:val="18"/>
                <w:szCs w:val="18"/>
                <w:lang w:val="sq-AL"/>
              </w:rPr>
            </w:pPr>
            <w:r w:rsidRPr="00641640">
              <w:rPr>
                <w:rFonts w:ascii="Times New Roman" w:hAnsi="Times New Roman" w:cs="Times New Roman"/>
                <w:b/>
                <w:bCs/>
                <w:noProof/>
                <w:color w:val="003300"/>
                <w:sz w:val="18"/>
                <w:szCs w:val="18"/>
                <w:lang w:val="sq-AL"/>
              </w:rPr>
              <w:t>Hartimi i politikave mbështetur në të dhëna dhe vlerësim cilësor të ndikimit rregullator, përgjatë një procesi mirëplanifikimi ligjor dhe konsultimi gjithëpërfshirës publik, që garanton përputhje me acquis-në dhe praktikat e mira ndërkombëtare</w:t>
            </w:r>
            <w:r w:rsidR="00CA4A85" w:rsidRPr="00641640">
              <w:rPr>
                <w:rFonts w:ascii="Times New Roman" w:hAnsi="Times New Roman" w:cs="Times New Roman"/>
                <w:b/>
                <w:bCs/>
                <w:noProof/>
                <w:color w:val="003300"/>
                <w:sz w:val="18"/>
                <w:szCs w:val="18"/>
                <w:lang w:val="sq-AL"/>
              </w:rPr>
              <w:t>.</w:t>
            </w:r>
          </w:p>
          <w:p w14:paraId="7680264F" w14:textId="6EBB94BD" w:rsidR="00826244" w:rsidRPr="00641640" w:rsidRDefault="00826244" w:rsidP="00826244">
            <w:pPr>
              <w:pStyle w:val="T-normal"/>
              <w:spacing w:line="276" w:lineRule="auto"/>
              <w:jc w:val="both"/>
              <w:rPr>
                <w:rFonts w:ascii="Times New Roman" w:hAnsi="Times New Roman" w:cs="Times New Roman"/>
                <w:noProof/>
                <w:color w:val="003300"/>
                <w:sz w:val="12"/>
                <w:szCs w:val="12"/>
                <w:lang w:val="sq-AL"/>
              </w:rPr>
            </w:pPr>
          </w:p>
        </w:tc>
      </w:tr>
      <w:tr w:rsidR="00846B0B" w:rsidRPr="00641640" w14:paraId="2137043D" w14:textId="77777777" w:rsidTr="006F29F0">
        <w:tc>
          <w:tcPr>
            <w:tcW w:w="1165" w:type="dxa"/>
            <w:shd w:val="clear" w:color="auto" w:fill="E2EFD9" w:themeFill="accent6" w:themeFillTint="33"/>
          </w:tcPr>
          <w:p w14:paraId="1913BC17" w14:textId="101960AA" w:rsidR="00CA4A85" w:rsidRPr="00641640" w:rsidRDefault="00CA4A85"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1.3.1</w:t>
            </w:r>
          </w:p>
        </w:tc>
        <w:tc>
          <w:tcPr>
            <w:tcW w:w="276" w:type="dxa"/>
            <w:shd w:val="clear" w:color="auto" w:fill="E2EFD9" w:themeFill="accent6" w:themeFillTint="33"/>
          </w:tcPr>
          <w:p w14:paraId="25236DA3" w14:textId="77777777" w:rsidR="00CA4A85" w:rsidRPr="00641640" w:rsidRDefault="00CA4A85"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63B9BB7E" w14:textId="77777777" w:rsidR="00CA4A85" w:rsidRPr="00641640" w:rsidRDefault="00BB0587"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Harmonizimi i programimit ligjor dhe procesit të Vlerësimit të Ndikimit Rregullator (VNR/RIA), përmes shoqërimit të projektakteve me një raport të thjeshtuar paraprak të ndikimit rregullator (RIA) para planifikimit të tyre në Programin e Përgjithshëm Analitik të Projektakteve (PPAP).</w:t>
            </w:r>
          </w:p>
          <w:p w14:paraId="5B31D14B" w14:textId="670B7F79" w:rsidR="005459BF" w:rsidRPr="00641640" w:rsidRDefault="005459BF" w:rsidP="00CA4A85">
            <w:pPr>
              <w:pStyle w:val="T-normal"/>
              <w:spacing w:line="276" w:lineRule="auto"/>
              <w:jc w:val="both"/>
              <w:rPr>
                <w:rFonts w:ascii="Times New Roman" w:hAnsi="Times New Roman" w:cs="Times New Roman"/>
                <w:noProof/>
                <w:sz w:val="8"/>
                <w:szCs w:val="8"/>
                <w:lang w:val="sq-AL"/>
              </w:rPr>
            </w:pPr>
          </w:p>
        </w:tc>
      </w:tr>
      <w:tr w:rsidR="00846B0B" w:rsidRPr="00641640" w14:paraId="0BE52D66" w14:textId="77777777" w:rsidTr="006F29F0">
        <w:tc>
          <w:tcPr>
            <w:tcW w:w="1165" w:type="dxa"/>
            <w:shd w:val="clear" w:color="auto" w:fill="E2EFD9" w:themeFill="accent6" w:themeFillTint="33"/>
          </w:tcPr>
          <w:p w14:paraId="56AA5168" w14:textId="20915DF0" w:rsidR="00CA4A85" w:rsidRPr="00641640" w:rsidRDefault="00CA4A85"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1.3.2</w:t>
            </w:r>
          </w:p>
        </w:tc>
        <w:tc>
          <w:tcPr>
            <w:tcW w:w="276" w:type="dxa"/>
            <w:shd w:val="clear" w:color="auto" w:fill="E2EFD9" w:themeFill="accent6" w:themeFillTint="33"/>
          </w:tcPr>
          <w:p w14:paraId="5F01D3ED" w14:textId="77777777" w:rsidR="00CA4A85" w:rsidRPr="00641640" w:rsidRDefault="00CA4A85"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21943E0E" w14:textId="77777777" w:rsidR="00CA4A85" w:rsidRPr="00641640" w:rsidRDefault="00BB0587"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Përmirësimi i përputhshmërisë së politikave të propozuara në Programin e Përgjithshëm Analitik të Projektakteve me politikat e përgjithshme dhe prioritetet qeveritare.</w:t>
            </w:r>
          </w:p>
          <w:p w14:paraId="642C206F" w14:textId="0336AA48" w:rsidR="005459BF" w:rsidRPr="00641640" w:rsidRDefault="005459BF" w:rsidP="00CA4A85">
            <w:pPr>
              <w:pStyle w:val="T-normal"/>
              <w:spacing w:line="276" w:lineRule="auto"/>
              <w:jc w:val="both"/>
              <w:rPr>
                <w:rFonts w:ascii="Times New Roman" w:hAnsi="Times New Roman" w:cs="Times New Roman"/>
                <w:noProof/>
                <w:sz w:val="8"/>
                <w:szCs w:val="8"/>
                <w:lang w:val="sq-AL"/>
              </w:rPr>
            </w:pPr>
          </w:p>
        </w:tc>
      </w:tr>
      <w:tr w:rsidR="00846B0B" w:rsidRPr="00641640" w14:paraId="037991BB" w14:textId="77777777" w:rsidTr="006F29F0">
        <w:tc>
          <w:tcPr>
            <w:tcW w:w="1165" w:type="dxa"/>
            <w:shd w:val="clear" w:color="auto" w:fill="E2EFD9" w:themeFill="accent6" w:themeFillTint="33"/>
          </w:tcPr>
          <w:p w14:paraId="720B6B2F" w14:textId="00925C1E" w:rsidR="00CA4A85" w:rsidRPr="00641640" w:rsidRDefault="00CA4A85"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1.3.3</w:t>
            </w:r>
          </w:p>
        </w:tc>
        <w:tc>
          <w:tcPr>
            <w:tcW w:w="276" w:type="dxa"/>
            <w:shd w:val="clear" w:color="auto" w:fill="E2EFD9" w:themeFill="accent6" w:themeFillTint="33"/>
          </w:tcPr>
          <w:p w14:paraId="3B1BCEB4" w14:textId="77777777" w:rsidR="00CA4A85" w:rsidRPr="00641640" w:rsidRDefault="00CA4A85"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367327C4" w14:textId="77777777" w:rsidR="00CA4A85" w:rsidRPr="00641640" w:rsidRDefault="00BB0587"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Mbështetja në praktika të mira ndërkombëtare dhe përafrimi efikas me acquis-në dhe standardet evropiane përgjatë përgatitjes së nismave të reja ligjore dhe politike.</w:t>
            </w:r>
          </w:p>
          <w:p w14:paraId="34D5A722" w14:textId="22AF47EC" w:rsidR="005459BF" w:rsidRPr="00641640" w:rsidRDefault="005459BF" w:rsidP="00CA4A85">
            <w:pPr>
              <w:pStyle w:val="T-normal"/>
              <w:spacing w:line="276" w:lineRule="auto"/>
              <w:jc w:val="both"/>
              <w:rPr>
                <w:rFonts w:ascii="Times New Roman" w:hAnsi="Times New Roman" w:cs="Times New Roman"/>
                <w:noProof/>
                <w:sz w:val="8"/>
                <w:szCs w:val="8"/>
                <w:lang w:val="sq-AL"/>
              </w:rPr>
            </w:pPr>
          </w:p>
        </w:tc>
      </w:tr>
      <w:tr w:rsidR="00846B0B" w:rsidRPr="00641640" w14:paraId="455BA33F" w14:textId="77777777" w:rsidTr="006F29F0">
        <w:tc>
          <w:tcPr>
            <w:tcW w:w="1165" w:type="dxa"/>
            <w:shd w:val="clear" w:color="auto" w:fill="E2EFD9" w:themeFill="accent6" w:themeFillTint="33"/>
          </w:tcPr>
          <w:p w14:paraId="69D86642" w14:textId="21DEE316" w:rsidR="00CA4A85" w:rsidRPr="00641640" w:rsidRDefault="00CA4A85"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1.3.4</w:t>
            </w:r>
          </w:p>
        </w:tc>
        <w:tc>
          <w:tcPr>
            <w:tcW w:w="276" w:type="dxa"/>
            <w:shd w:val="clear" w:color="auto" w:fill="E2EFD9" w:themeFill="accent6" w:themeFillTint="33"/>
          </w:tcPr>
          <w:p w14:paraId="2DD7DC14" w14:textId="77777777" w:rsidR="00CA4A85" w:rsidRPr="00641640" w:rsidRDefault="00CA4A85"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18A5C77A" w14:textId="77777777" w:rsidR="00CA4A85" w:rsidRPr="00641640" w:rsidRDefault="00A3027C"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Përmirësimi i cilësisë së kryerjes dhe monitorimit të procesit RIA, përmes rritjes së burimeve dhe kapaciteteve në Kryeministri dhe institucionet përkatëse.</w:t>
            </w:r>
          </w:p>
          <w:p w14:paraId="4D22A689" w14:textId="339D0BB2" w:rsidR="005459BF" w:rsidRPr="00641640" w:rsidRDefault="005459BF" w:rsidP="00CA4A85">
            <w:pPr>
              <w:pStyle w:val="T-normal"/>
              <w:spacing w:line="276" w:lineRule="auto"/>
              <w:jc w:val="both"/>
              <w:rPr>
                <w:rFonts w:ascii="Times New Roman" w:hAnsi="Times New Roman" w:cs="Times New Roman"/>
                <w:noProof/>
                <w:sz w:val="8"/>
                <w:szCs w:val="8"/>
                <w:lang w:val="sq-AL"/>
              </w:rPr>
            </w:pPr>
          </w:p>
        </w:tc>
      </w:tr>
      <w:tr w:rsidR="00846B0B" w:rsidRPr="00641640" w14:paraId="3FABA140" w14:textId="77777777" w:rsidTr="006F29F0">
        <w:tc>
          <w:tcPr>
            <w:tcW w:w="1165" w:type="dxa"/>
            <w:shd w:val="clear" w:color="auto" w:fill="E2EFD9" w:themeFill="accent6" w:themeFillTint="33"/>
          </w:tcPr>
          <w:p w14:paraId="67927AAE" w14:textId="74479304" w:rsidR="00CA4A85" w:rsidRPr="00641640" w:rsidRDefault="00CA4A85"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1.3.5</w:t>
            </w:r>
          </w:p>
        </w:tc>
        <w:tc>
          <w:tcPr>
            <w:tcW w:w="276" w:type="dxa"/>
            <w:shd w:val="clear" w:color="auto" w:fill="E2EFD9" w:themeFill="accent6" w:themeFillTint="33"/>
          </w:tcPr>
          <w:p w14:paraId="79795A65" w14:textId="77777777" w:rsidR="00CA4A85" w:rsidRPr="00641640" w:rsidRDefault="00CA4A85"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46414C17" w14:textId="77777777" w:rsidR="00CA4A85" w:rsidRPr="00641640" w:rsidRDefault="00A3027C"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Zgjerimi i procesit RIA tek aktet e legjislacionit dytësor me interes të lartë publik, përmes rishikimit dhe plotësimit të kuadrit normativ, si dhe zbatimit të tij në praktikë.</w:t>
            </w:r>
          </w:p>
          <w:p w14:paraId="3F8DD831" w14:textId="3AA19FBA" w:rsidR="005459BF" w:rsidRPr="00641640" w:rsidRDefault="005459BF" w:rsidP="00CA4A85">
            <w:pPr>
              <w:pStyle w:val="T-normal"/>
              <w:spacing w:line="276" w:lineRule="auto"/>
              <w:jc w:val="both"/>
              <w:rPr>
                <w:rFonts w:ascii="Times New Roman" w:hAnsi="Times New Roman" w:cs="Times New Roman"/>
                <w:noProof/>
                <w:sz w:val="8"/>
                <w:szCs w:val="8"/>
                <w:lang w:val="sq-AL"/>
              </w:rPr>
            </w:pPr>
          </w:p>
        </w:tc>
      </w:tr>
      <w:tr w:rsidR="00A3027C" w:rsidRPr="00641640" w14:paraId="074CB73B" w14:textId="77777777" w:rsidTr="006F29F0">
        <w:tc>
          <w:tcPr>
            <w:tcW w:w="1165" w:type="dxa"/>
            <w:shd w:val="clear" w:color="auto" w:fill="E2EFD9" w:themeFill="accent6" w:themeFillTint="33"/>
          </w:tcPr>
          <w:p w14:paraId="3BFA12E8" w14:textId="020C6BBD" w:rsidR="00A3027C" w:rsidRPr="00641640" w:rsidRDefault="00A3027C"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1.3.</w:t>
            </w:r>
            <w:r w:rsidR="00846B0B" w:rsidRPr="00641640">
              <w:rPr>
                <w:rFonts w:ascii="Times New Roman" w:hAnsi="Times New Roman" w:cs="Times New Roman"/>
                <w:noProof/>
                <w:sz w:val="18"/>
                <w:szCs w:val="18"/>
                <w:lang w:val="sq-AL"/>
              </w:rPr>
              <w:t>6</w:t>
            </w:r>
          </w:p>
        </w:tc>
        <w:tc>
          <w:tcPr>
            <w:tcW w:w="276" w:type="dxa"/>
            <w:shd w:val="clear" w:color="auto" w:fill="E2EFD9" w:themeFill="accent6" w:themeFillTint="33"/>
          </w:tcPr>
          <w:p w14:paraId="03B41F35" w14:textId="4A96EA31" w:rsidR="00A3027C" w:rsidRPr="00641640" w:rsidRDefault="00846B0B"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6F29C681" w14:textId="77777777" w:rsidR="00A3027C" w:rsidRPr="00641640" w:rsidRDefault="00846B0B"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Harmonizimi i procesit të Vlerësimit të Ndikimit Rregullator me procesin e konsultimit publik.</w:t>
            </w:r>
          </w:p>
          <w:p w14:paraId="301DEE53" w14:textId="7B88CFC0" w:rsidR="005459BF" w:rsidRPr="00641640" w:rsidRDefault="005459BF" w:rsidP="00CA4A85">
            <w:pPr>
              <w:pStyle w:val="T-normal"/>
              <w:spacing w:line="276" w:lineRule="auto"/>
              <w:jc w:val="both"/>
              <w:rPr>
                <w:rFonts w:ascii="Times New Roman" w:hAnsi="Times New Roman" w:cs="Times New Roman"/>
                <w:noProof/>
                <w:sz w:val="8"/>
                <w:szCs w:val="8"/>
                <w:lang w:val="sq-AL"/>
              </w:rPr>
            </w:pPr>
          </w:p>
        </w:tc>
      </w:tr>
      <w:tr w:rsidR="00846B0B" w:rsidRPr="00641640" w14:paraId="069A7C0B" w14:textId="77777777" w:rsidTr="006F29F0">
        <w:tc>
          <w:tcPr>
            <w:tcW w:w="1165" w:type="dxa"/>
            <w:shd w:val="clear" w:color="auto" w:fill="E2EFD9" w:themeFill="accent6" w:themeFillTint="33"/>
          </w:tcPr>
          <w:p w14:paraId="42E2B7C1" w14:textId="3B7A077F" w:rsidR="00846B0B" w:rsidRPr="00641640" w:rsidRDefault="00846B0B"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1.3.7</w:t>
            </w:r>
          </w:p>
        </w:tc>
        <w:tc>
          <w:tcPr>
            <w:tcW w:w="276" w:type="dxa"/>
            <w:shd w:val="clear" w:color="auto" w:fill="E2EFD9" w:themeFill="accent6" w:themeFillTint="33"/>
          </w:tcPr>
          <w:p w14:paraId="0EB05051" w14:textId="2AC3E324" w:rsidR="00846B0B" w:rsidRPr="00641640" w:rsidRDefault="000013B6"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1910CFD3" w14:textId="77777777" w:rsidR="00846B0B" w:rsidRPr="00641640" w:rsidRDefault="000013B6"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Përmirësimi cilësor dhe sasior i procesit të konsultimit publik, përmes rritjes së numrit të akteve që konsultohen, si dhe rritjes së pjesëmarrjes qytetare në process.</w:t>
            </w:r>
          </w:p>
          <w:p w14:paraId="1D05E7CE" w14:textId="7D38B72A" w:rsidR="005459BF" w:rsidRPr="00641640" w:rsidRDefault="005459BF" w:rsidP="00CA4A85">
            <w:pPr>
              <w:pStyle w:val="T-normal"/>
              <w:spacing w:line="276" w:lineRule="auto"/>
              <w:jc w:val="both"/>
              <w:rPr>
                <w:rFonts w:ascii="Times New Roman" w:hAnsi="Times New Roman" w:cs="Times New Roman"/>
                <w:noProof/>
                <w:sz w:val="8"/>
                <w:szCs w:val="8"/>
                <w:lang w:val="sq-AL"/>
              </w:rPr>
            </w:pPr>
          </w:p>
        </w:tc>
      </w:tr>
      <w:tr w:rsidR="00846B0B" w:rsidRPr="00641640" w14:paraId="69CA7D0E" w14:textId="77777777" w:rsidTr="006F29F0">
        <w:tc>
          <w:tcPr>
            <w:tcW w:w="1165" w:type="dxa"/>
            <w:shd w:val="clear" w:color="auto" w:fill="E2EFD9" w:themeFill="accent6" w:themeFillTint="33"/>
          </w:tcPr>
          <w:p w14:paraId="0E317FBE" w14:textId="1DFB361C" w:rsidR="00846B0B" w:rsidRPr="00641640" w:rsidRDefault="00846B0B"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1.3.8</w:t>
            </w:r>
          </w:p>
        </w:tc>
        <w:tc>
          <w:tcPr>
            <w:tcW w:w="276" w:type="dxa"/>
            <w:shd w:val="clear" w:color="auto" w:fill="E2EFD9" w:themeFill="accent6" w:themeFillTint="33"/>
          </w:tcPr>
          <w:p w14:paraId="1BFE46CF" w14:textId="37EDA5E2" w:rsidR="00846B0B" w:rsidRPr="00641640" w:rsidRDefault="000013B6"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04EF422D" w14:textId="762991E7" w:rsidR="00846B0B" w:rsidRPr="00641640" w:rsidRDefault="000013B6"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Zgjerimi i procesit të konsultimit publik tek aktet e legjislacionit dytësor me interes të lartë publi</w:t>
            </w:r>
            <w:r w:rsidR="00101FDB" w:rsidRPr="00641640">
              <w:rPr>
                <w:rFonts w:ascii="Times New Roman" w:hAnsi="Times New Roman" w:cs="Times New Roman"/>
                <w:noProof/>
                <w:sz w:val="18"/>
                <w:szCs w:val="18"/>
                <w:lang w:val="sq-AL"/>
              </w:rPr>
              <w:t>k</w:t>
            </w:r>
            <w:r w:rsidRPr="00641640">
              <w:rPr>
                <w:rFonts w:ascii="Times New Roman" w:hAnsi="Times New Roman" w:cs="Times New Roman"/>
                <w:noProof/>
                <w:sz w:val="18"/>
                <w:szCs w:val="18"/>
                <w:lang w:val="sq-AL"/>
              </w:rPr>
              <w:t>.</w:t>
            </w:r>
          </w:p>
        </w:tc>
      </w:tr>
      <w:tr w:rsidR="00846B0B" w:rsidRPr="00641640" w14:paraId="29FF1F6F" w14:textId="77777777" w:rsidTr="006F29F0">
        <w:tc>
          <w:tcPr>
            <w:tcW w:w="1165" w:type="dxa"/>
            <w:shd w:val="clear" w:color="auto" w:fill="E2EFD9" w:themeFill="accent6" w:themeFillTint="33"/>
          </w:tcPr>
          <w:p w14:paraId="1059B9FB" w14:textId="2BAB35DB" w:rsidR="00846B0B" w:rsidRPr="00641640" w:rsidRDefault="00846B0B"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1.3.9</w:t>
            </w:r>
          </w:p>
        </w:tc>
        <w:tc>
          <w:tcPr>
            <w:tcW w:w="276" w:type="dxa"/>
            <w:shd w:val="clear" w:color="auto" w:fill="E2EFD9" w:themeFill="accent6" w:themeFillTint="33"/>
          </w:tcPr>
          <w:p w14:paraId="5D409791" w14:textId="3301A5B8" w:rsidR="00846B0B" w:rsidRPr="00641640" w:rsidRDefault="000013B6"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38D00293" w14:textId="77777777" w:rsidR="00846B0B" w:rsidRPr="00641640" w:rsidRDefault="00DA6604"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Rritja e pjesëmarrjes qytetare në procesin e konsultimit publi</w:t>
            </w:r>
            <w:r w:rsidR="005459BF" w:rsidRPr="00641640">
              <w:rPr>
                <w:rFonts w:ascii="Times New Roman" w:hAnsi="Times New Roman" w:cs="Times New Roman"/>
                <w:noProof/>
                <w:sz w:val="18"/>
                <w:szCs w:val="18"/>
                <w:lang w:val="sq-AL"/>
              </w:rPr>
              <w:t>k</w:t>
            </w:r>
            <w:r w:rsidRPr="00641640">
              <w:rPr>
                <w:rFonts w:ascii="Times New Roman" w:hAnsi="Times New Roman" w:cs="Times New Roman"/>
                <w:noProof/>
                <w:sz w:val="18"/>
                <w:szCs w:val="18"/>
                <w:lang w:val="sq-AL"/>
              </w:rPr>
              <w:t>.</w:t>
            </w:r>
          </w:p>
          <w:p w14:paraId="12037729" w14:textId="195112A6" w:rsidR="005459BF" w:rsidRPr="00641640" w:rsidRDefault="005459BF" w:rsidP="00CA4A85">
            <w:pPr>
              <w:pStyle w:val="T-normal"/>
              <w:spacing w:line="276" w:lineRule="auto"/>
              <w:jc w:val="both"/>
              <w:rPr>
                <w:rFonts w:ascii="Times New Roman" w:hAnsi="Times New Roman" w:cs="Times New Roman"/>
                <w:noProof/>
                <w:sz w:val="8"/>
                <w:szCs w:val="8"/>
                <w:lang w:val="sq-AL"/>
              </w:rPr>
            </w:pPr>
          </w:p>
        </w:tc>
      </w:tr>
      <w:tr w:rsidR="00846B0B" w:rsidRPr="00641640" w14:paraId="1E32D5D2" w14:textId="77777777" w:rsidTr="006F29F0">
        <w:tc>
          <w:tcPr>
            <w:tcW w:w="1165" w:type="dxa"/>
            <w:shd w:val="clear" w:color="auto" w:fill="E2EFD9" w:themeFill="accent6" w:themeFillTint="33"/>
          </w:tcPr>
          <w:p w14:paraId="38E5CAAA" w14:textId="71BC94FB" w:rsidR="00846B0B" w:rsidRPr="00641640" w:rsidRDefault="00846B0B"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1.3.10</w:t>
            </w:r>
          </w:p>
        </w:tc>
        <w:tc>
          <w:tcPr>
            <w:tcW w:w="276" w:type="dxa"/>
            <w:shd w:val="clear" w:color="auto" w:fill="E2EFD9" w:themeFill="accent6" w:themeFillTint="33"/>
          </w:tcPr>
          <w:p w14:paraId="629CBBE4" w14:textId="613F5CC8" w:rsidR="00846B0B" w:rsidRPr="00641640" w:rsidRDefault="000013B6"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4C052CF3" w14:textId="77777777" w:rsidR="00846B0B" w:rsidRPr="00641640" w:rsidRDefault="00DA6604"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Plotësimi i procesit të vlerësimit të ndikimit rregullator përmes vlerësimit ex-post, për të siguruar monitorim dhe përmirësim të vazhdueshëm të kuadrit ligjor.</w:t>
            </w:r>
          </w:p>
          <w:p w14:paraId="31E0F564" w14:textId="6906C9CC" w:rsidR="005459BF" w:rsidRPr="00641640" w:rsidRDefault="005459BF" w:rsidP="00CA4A85">
            <w:pPr>
              <w:pStyle w:val="T-normal"/>
              <w:spacing w:line="276" w:lineRule="auto"/>
              <w:jc w:val="both"/>
              <w:rPr>
                <w:rFonts w:ascii="Times New Roman" w:hAnsi="Times New Roman" w:cs="Times New Roman"/>
                <w:noProof/>
                <w:sz w:val="8"/>
                <w:szCs w:val="8"/>
                <w:lang w:val="sq-AL"/>
              </w:rPr>
            </w:pPr>
          </w:p>
        </w:tc>
      </w:tr>
      <w:tr w:rsidR="00846B0B" w:rsidRPr="00641640" w14:paraId="79FD6F2F" w14:textId="77777777" w:rsidTr="006F29F0">
        <w:tc>
          <w:tcPr>
            <w:tcW w:w="1165" w:type="dxa"/>
            <w:shd w:val="clear" w:color="auto" w:fill="E2EFD9" w:themeFill="accent6" w:themeFillTint="33"/>
          </w:tcPr>
          <w:p w14:paraId="08E6D0EC" w14:textId="10EE35B1" w:rsidR="00846B0B" w:rsidRPr="00641640" w:rsidRDefault="00846B0B"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1.3.11</w:t>
            </w:r>
          </w:p>
        </w:tc>
        <w:tc>
          <w:tcPr>
            <w:tcW w:w="276" w:type="dxa"/>
            <w:shd w:val="clear" w:color="auto" w:fill="E2EFD9" w:themeFill="accent6" w:themeFillTint="33"/>
          </w:tcPr>
          <w:p w14:paraId="19E99440" w14:textId="56D755CC" w:rsidR="00846B0B" w:rsidRPr="00641640" w:rsidRDefault="000013B6" w:rsidP="00CA4A85">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30E91CAA" w14:textId="08E4C8C9" w:rsidR="00846B0B" w:rsidRPr="00641640" w:rsidRDefault="00CB24C2" w:rsidP="00CB24C2">
            <w:pPr>
              <w:pStyle w:val="T-normal"/>
              <w:spacing w:after="240"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Rritja e transparencës së agjendës vendimmarrëse të qeverisjes q</w:t>
            </w:r>
            <w:r w:rsidR="00093502" w:rsidRPr="00641640">
              <w:rPr>
                <w:rFonts w:ascii="Times New Roman" w:hAnsi="Times New Roman" w:cs="Times New Roman"/>
                <w:noProof/>
                <w:sz w:val="18"/>
                <w:szCs w:val="18"/>
                <w:lang w:val="sq-AL"/>
              </w:rPr>
              <w:t>e</w:t>
            </w:r>
            <w:r w:rsidRPr="00641640">
              <w:rPr>
                <w:rFonts w:ascii="Times New Roman" w:hAnsi="Times New Roman" w:cs="Times New Roman"/>
                <w:noProof/>
                <w:sz w:val="18"/>
                <w:szCs w:val="18"/>
                <w:lang w:val="sq-AL"/>
              </w:rPr>
              <w:t>ndrore.</w:t>
            </w:r>
          </w:p>
        </w:tc>
      </w:tr>
    </w:tbl>
    <w:p w14:paraId="1AAEAA8F" w14:textId="77777777" w:rsidR="00442773" w:rsidRPr="00641640" w:rsidRDefault="00442773" w:rsidP="00777B87">
      <w:pPr>
        <w:spacing w:line="276" w:lineRule="auto"/>
        <w:jc w:val="both"/>
        <w:rPr>
          <w:rFonts w:ascii="Times New Roman" w:hAnsi="Times New Roman" w:cs="Times New Roman"/>
          <w:b/>
          <w:i/>
          <w:noProof/>
          <w:sz w:val="24"/>
          <w:szCs w:val="24"/>
          <w:lang w:val="sq-AL"/>
        </w:rPr>
      </w:pPr>
    </w:p>
    <w:p w14:paraId="362FC951" w14:textId="38E740D3" w:rsidR="00D66866" w:rsidRPr="00641640" w:rsidRDefault="00685659" w:rsidP="003A395D">
      <w:pPr>
        <w:spacing w:line="276" w:lineRule="auto"/>
        <w:jc w:val="both"/>
        <w:rPr>
          <w:rFonts w:ascii="Times New Roman" w:hAnsi="Times New Roman" w:cs="Times New Roman"/>
          <w:b/>
          <w:i/>
          <w:noProof/>
          <w:sz w:val="24"/>
          <w:szCs w:val="24"/>
          <w:lang w:val="sq-AL"/>
        </w:rPr>
      </w:pPr>
      <w:r w:rsidRPr="00641640">
        <w:rPr>
          <w:rFonts w:ascii="Times New Roman" w:hAnsi="Times New Roman" w:cs="Times New Roman"/>
          <w:b/>
          <w:i/>
          <w:noProof/>
          <w:sz w:val="24"/>
          <w:szCs w:val="24"/>
          <w:lang w:val="sq-AL"/>
        </w:rPr>
        <w:t>Komponenti 1.</w:t>
      </w:r>
      <w:r w:rsidR="006012DF" w:rsidRPr="00641640">
        <w:rPr>
          <w:rFonts w:ascii="Times New Roman" w:hAnsi="Times New Roman" w:cs="Times New Roman"/>
          <w:b/>
          <w:i/>
          <w:noProof/>
          <w:sz w:val="24"/>
          <w:szCs w:val="24"/>
          <w:lang w:val="sq-AL"/>
        </w:rPr>
        <w:t>1</w:t>
      </w:r>
      <w:r w:rsidR="009B6CF1" w:rsidRPr="00641640">
        <w:rPr>
          <w:rFonts w:ascii="Times New Roman" w:hAnsi="Times New Roman" w:cs="Times New Roman"/>
          <w:b/>
          <w:i/>
          <w:noProof/>
          <w:sz w:val="24"/>
          <w:szCs w:val="24"/>
          <w:lang w:val="sq-AL"/>
        </w:rPr>
        <w:t xml:space="preserve">  </w:t>
      </w:r>
      <w:r w:rsidR="00236454" w:rsidRPr="00641640">
        <w:rPr>
          <w:rFonts w:ascii="Times New Roman" w:hAnsi="Times New Roman" w:cs="Times New Roman"/>
          <w:b/>
          <w:i/>
          <w:noProof/>
          <w:sz w:val="24"/>
          <w:szCs w:val="24"/>
          <w:lang w:val="sq-AL"/>
        </w:rPr>
        <w:t xml:space="preserve">Planifikimi dhe </w:t>
      </w:r>
      <w:r w:rsidR="00270C0B" w:rsidRPr="00641640">
        <w:rPr>
          <w:rFonts w:ascii="Times New Roman" w:hAnsi="Times New Roman" w:cs="Times New Roman"/>
          <w:b/>
          <w:i/>
          <w:noProof/>
          <w:sz w:val="24"/>
          <w:szCs w:val="24"/>
          <w:lang w:val="sq-AL"/>
        </w:rPr>
        <w:t>k</w:t>
      </w:r>
      <w:r w:rsidR="00991B9B" w:rsidRPr="00641640">
        <w:rPr>
          <w:rFonts w:ascii="Times New Roman" w:hAnsi="Times New Roman" w:cs="Times New Roman"/>
          <w:b/>
          <w:i/>
          <w:noProof/>
          <w:sz w:val="24"/>
          <w:szCs w:val="24"/>
          <w:lang w:val="sq-AL"/>
        </w:rPr>
        <w:t xml:space="preserve">oordinimi </w:t>
      </w:r>
      <w:r w:rsidR="003958D2" w:rsidRPr="00641640">
        <w:rPr>
          <w:rFonts w:ascii="Times New Roman" w:hAnsi="Times New Roman" w:cs="Times New Roman"/>
          <w:b/>
          <w:i/>
          <w:noProof/>
          <w:sz w:val="24"/>
          <w:szCs w:val="24"/>
          <w:lang w:val="sq-AL"/>
        </w:rPr>
        <w:t xml:space="preserve">efikas </w:t>
      </w:r>
      <w:r w:rsidR="00991B9B" w:rsidRPr="00641640">
        <w:rPr>
          <w:rFonts w:ascii="Times New Roman" w:hAnsi="Times New Roman" w:cs="Times New Roman"/>
          <w:b/>
          <w:i/>
          <w:noProof/>
          <w:sz w:val="24"/>
          <w:szCs w:val="24"/>
          <w:lang w:val="sq-AL"/>
        </w:rPr>
        <w:t>i politikave n</w:t>
      </w:r>
      <w:r w:rsidR="0028287A" w:rsidRPr="00641640">
        <w:rPr>
          <w:rFonts w:ascii="Times New Roman" w:hAnsi="Times New Roman" w:cs="Times New Roman"/>
          <w:b/>
          <w:i/>
          <w:noProof/>
          <w:sz w:val="24"/>
          <w:szCs w:val="24"/>
          <w:lang w:val="sq-AL"/>
        </w:rPr>
        <w:t>ë</w:t>
      </w:r>
      <w:r w:rsidR="00991B9B" w:rsidRPr="00641640">
        <w:rPr>
          <w:rFonts w:ascii="Times New Roman" w:hAnsi="Times New Roman" w:cs="Times New Roman"/>
          <w:b/>
          <w:i/>
          <w:noProof/>
          <w:sz w:val="24"/>
          <w:szCs w:val="24"/>
          <w:lang w:val="sq-AL"/>
        </w:rPr>
        <w:t xml:space="preserve"> nivel kom</w:t>
      </w:r>
      <w:r w:rsidR="00236454" w:rsidRPr="00641640">
        <w:rPr>
          <w:rFonts w:ascii="Times New Roman" w:hAnsi="Times New Roman" w:cs="Times New Roman"/>
          <w:b/>
          <w:i/>
          <w:noProof/>
          <w:sz w:val="24"/>
          <w:szCs w:val="24"/>
          <w:lang w:val="sq-AL"/>
        </w:rPr>
        <w:t>b</w:t>
      </w:r>
      <w:r w:rsidR="0028287A" w:rsidRPr="00641640">
        <w:rPr>
          <w:rFonts w:ascii="Times New Roman" w:hAnsi="Times New Roman" w:cs="Times New Roman"/>
          <w:b/>
          <w:i/>
          <w:noProof/>
          <w:sz w:val="24"/>
          <w:szCs w:val="24"/>
          <w:lang w:val="sq-AL"/>
        </w:rPr>
        <w:t>ë</w:t>
      </w:r>
      <w:r w:rsidR="00236454" w:rsidRPr="00641640">
        <w:rPr>
          <w:rFonts w:ascii="Times New Roman" w:hAnsi="Times New Roman" w:cs="Times New Roman"/>
          <w:b/>
          <w:i/>
          <w:noProof/>
          <w:sz w:val="24"/>
          <w:szCs w:val="24"/>
          <w:lang w:val="sq-AL"/>
        </w:rPr>
        <w:t>tar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E4"/>
        <w:tblLook w:val="04A0" w:firstRow="1" w:lastRow="0" w:firstColumn="1" w:lastColumn="0" w:noHBand="0" w:noVBand="1"/>
      </w:tblPr>
      <w:tblGrid>
        <w:gridCol w:w="516"/>
        <w:gridCol w:w="8844"/>
      </w:tblGrid>
      <w:tr w:rsidR="00317D74" w:rsidRPr="00641640" w14:paraId="0027D9AF" w14:textId="77777777" w:rsidTr="00317D74">
        <w:tc>
          <w:tcPr>
            <w:tcW w:w="445" w:type="dxa"/>
            <w:shd w:val="clear" w:color="auto" w:fill="EAF4E4"/>
          </w:tcPr>
          <w:p w14:paraId="65A778E6" w14:textId="7E0A8F4A" w:rsidR="00FB6ED3" w:rsidRPr="00641640" w:rsidRDefault="00FB6ED3" w:rsidP="003A395D">
            <w:pPr>
              <w:spacing w:line="276" w:lineRule="auto"/>
              <w:jc w:val="both"/>
              <w:rPr>
                <w:rFonts w:ascii="Times New Roman" w:hAnsi="Times New Roman" w:cs="Times New Roman"/>
                <w:b/>
                <w:iCs/>
                <w:noProof/>
                <w:color w:val="003300"/>
                <w:sz w:val="24"/>
                <w:szCs w:val="24"/>
                <w:lang w:val="sq-AL"/>
              </w:rPr>
            </w:pPr>
            <w:r w:rsidRPr="00641640">
              <w:rPr>
                <w:rFonts w:ascii="Times New Roman" w:hAnsi="Times New Roman" w:cs="Times New Roman"/>
                <w:b/>
                <w:iCs/>
                <w:noProof/>
                <w:color w:val="003300"/>
                <w:sz w:val="24"/>
                <w:szCs w:val="24"/>
                <w:lang w:val="sq-AL"/>
              </w:rPr>
              <w:t>1.1</w:t>
            </w:r>
          </w:p>
        </w:tc>
        <w:tc>
          <w:tcPr>
            <w:tcW w:w="8905" w:type="dxa"/>
            <w:shd w:val="clear" w:color="auto" w:fill="EAF4E4"/>
          </w:tcPr>
          <w:p w14:paraId="64D5FBC0" w14:textId="1F1F7495" w:rsidR="00FB6ED3" w:rsidRPr="00641640" w:rsidRDefault="00FB6ED3" w:rsidP="003A395D">
            <w:pPr>
              <w:spacing w:line="276" w:lineRule="auto"/>
              <w:jc w:val="both"/>
              <w:rPr>
                <w:rFonts w:ascii="Times New Roman" w:hAnsi="Times New Roman" w:cs="Times New Roman"/>
                <w:b/>
                <w:iCs/>
                <w:noProof/>
                <w:color w:val="003300"/>
                <w:sz w:val="24"/>
                <w:szCs w:val="24"/>
                <w:lang w:val="sq-AL"/>
              </w:rPr>
            </w:pPr>
            <w:r w:rsidRPr="00641640">
              <w:rPr>
                <w:rFonts w:ascii="Times New Roman" w:hAnsi="Times New Roman" w:cs="Times New Roman"/>
                <w:b/>
                <w:bCs/>
                <w:noProof/>
                <w:color w:val="003300"/>
                <w:sz w:val="24"/>
                <w:szCs w:val="24"/>
                <w:lang w:val="sq-AL"/>
              </w:rPr>
              <w:t>Objektivi Specifik 1.1: Përmirësimi i koordinimit, përafrimit dhe buxhetimit të politikave me objektivat kombëtare dhe globale të zhvillimit, përmes një qasjeje të integruar të politikave</w:t>
            </w:r>
          </w:p>
        </w:tc>
      </w:tr>
    </w:tbl>
    <w:p w14:paraId="1374BD50" w14:textId="3FD837F1" w:rsidR="00B70A0E" w:rsidRPr="00641640" w:rsidRDefault="003A172E" w:rsidP="003A395D">
      <w:pPr>
        <w:shd w:val="clear" w:color="auto" w:fill="FFFFFF" w:themeFill="background1"/>
        <w:spacing w:before="240" w:line="276" w:lineRule="auto"/>
        <w:jc w:val="both"/>
        <w:textAlignment w:val="baseline"/>
        <w:rPr>
          <w:rFonts w:ascii="Times New Roman" w:hAnsi="Times New Roman" w:cs="Times New Roman"/>
          <w:b/>
          <w:bCs/>
          <w:noProof/>
          <w:color w:val="000000" w:themeColor="text1"/>
          <w:sz w:val="24"/>
          <w:szCs w:val="24"/>
          <w:lang w:val="sq-AL"/>
        </w:rPr>
      </w:pPr>
      <w:r w:rsidRPr="00641640">
        <w:rPr>
          <w:rFonts w:ascii="Times New Roman" w:hAnsi="Times New Roman" w:cs="Times New Roman"/>
          <w:b/>
          <w:bCs/>
          <w:noProof/>
          <w:color w:val="000000" w:themeColor="text1"/>
          <w:sz w:val="24"/>
          <w:szCs w:val="24"/>
          <w:lang w:val="sq-AL"/>
        </w:rPr>
        <w:t>Prior</w:t>
      </w:r>
      <w:r w:rsidR="00B70A0E" w:rsidRPr="00641640">
        <w:rPr>
          <w:rFonts w:ascii="Times New Roman" w:hAnsi="Times New Roman" w:cs="Times New Roman"/>
          <w:b/>
          <w:bCs/>
          <w:noProof/>
          <w:color w:val="000000" w:themeColor="text1"/>
          <w:sz w:val="24"/>
          <w:szCs w:val="24"/>
          <w:lang w:val="sq-AL"/>
        </w:rPr>
        <w:t>itetet</w:t>
      </w:r>
    </w:p>
    <w:p w14:paraId="142E5B90" w14:textId="43A1219D" w:rsidR="000C00AD" w:rsidRPr="00641640" w:rsidRDefault="00F129F2" w:rsidP="003A395D">
      <w:pPr>
        <w:spacing w:line="276" w:lineRule="auto"/>
        <w:jc w:val="both"/>
        <w:rPr>
          <w:rFonts w:ascii="Times New Roman" w:eastAsia="Times New Roman" w:hAnsi="Times New Roman" w:cs="Times New Roman"/>
          <w:noProof/>
          <w:sz w:val="24"/>
          <w:szCs w:val="24"/>
          <w:lang w:val="sq-AL"/>
        </w:rPr>
      </w:pPr>
      <w:r w:rsidRPr="00641640">
        <w:rPr>
          <w:rFonts w:ascii="Times New Roman" w:hAnsi="Times New Roman" w:cs="Times New Roman"/>
          <w:noProof/>
          <w:color w:val="000000" w:themeColor="text1"/>
          <w:sz w:val="24"/>
          <w:szCs w:val="24"/>
          <w:lang w:val="sq-AL"/>
        </w:rPr>
        <w:t>Një prioritet kryesor për këtë Objektiv Specifik është r</w:t>
      </w:r>
      <w:r w:rsidR="009F3C21" w:rsidRPr="00641640">
        <w:rPr>
          <w:rFonts w:ascii="Times New Roman" w:hAnsi="Times New Roman" w:cs="Times New Roman"/>
          <w:noProof/>
          <w:color w:val="000000" w:themeColor="text1"/>
          <w:sz w:val="24"/>
          <w:szCs w:val="24"/>
          <w:lang w:val="sq-AL"/>
        </w:rPr>
        <w:t xml:space="preserve">ishikimi </w:t>
      </w:r>
      <w:r w:rsidRPr="00641640">
        <w:rPr>
          <w:rFonts w:ascii="Times New Roman" w:hAnsi="Times New Roman" w:cs="Times New Roman"/>
          <w:noProof/>
          <w:color w:val="000000" w:themeColor="text1"/>
          <w:sz w:val="24"/>
          <w:szCs w:val="24"/>
          <w:lang w:val="sq-AL"/>
        </w:rPr>
        <w:t xml:space="preserve">dhe përmirësimi </w:t>
      </w:r>
      <w:r w:rsidR="009F3C21" w:rsidRPr="00641640">
        <w:rPr>
          <w:rFonts w:ascii="Times New Roman" w:hAnsi="Times New Roman" w:cs="Times New Roman"/>
          <w:noProof/>
          <w:color w:val="000000" w:themeColor="text1"/>
          <w:sz w:val="24"/>
          <w:szCs w:val="24"/>
          <w:lang w:val="sq-AL"/>
        </w:rPr>
        <w:t xml:space="preserve">i funksionimit të </w:t>
      </w:r>
      <w:r w:rsidR="0064352B" w:rsidRPr="00641640">
        <w:rPr>
          <w:rFonts w:ascii="Times New Roman" w:hAnsi="Times New Roman" w:cs="Times New Roman"/>
          <w:noProof/>
          <w:color w:val="000000" w:themeColor="text1"/>
          <w:sz w:val="24"/>
          <w:szCs w:val="24"/>
          <w:lang w:val="sq-AL"/>
        </w:rPr>
        <w:t>Sistemit t</w:t>
      </w:r>
      <w:r w:rsidR="007F00FB" w:rsidRPr="00641640">
        <w:rPr>
          <w:rFonts w:ascii="Times New Roman" w:hAnsi="Times New Roman" w:cs="Times New Roman"/>
          <w:noProof/>
          <w:color w:val="000000" w:themeColor="text1"/>
          <w:sz w:val="24"/>
          <w:szCs w:val="24"/>
          <w:lang w:val="sq-AL"/>
        </w:rPr>
        <w:t>ë</w:t>
      </w:r>
      <w:r w:rsidR="0064352B" w:rsidRPr="00641640">
        <w:rPr>
          <w:rFonts w:ascii="Times New Roman" w:hAnsi="Times New Roman" w:cs="Times New Roman"/>
          <w:noProof/>
          <w:color w:val="000000" w:themeColor="text1"/>
          <w:sz w:val="24"/>
          <w:szCs w:val="24"/>
          <w:lang w:val="sq-AL"/>
        </w:rPr>
        <w:t xml:space="preserve"> Planifikimit t</w:t>
      </w:r>
      <w:r w:rsidR="007F00FB" w:rsidRPr="00641640">
        <w:rPr>
          <w:rFonts w:ascii="Times New Roman" w:hAnsi="Times New Roman" w:cs="Times New Roman"/>
          <w:noProof/>
          <w:color w:val="000000" w:themeColor="text1"/>
          <w:sz w:val="24"/>
          <w:szCs w:val="24"/>
          <w:lang w:val="sq-AL"/>
        </w:rPr>
        <w:t>ë</w:t>
      </w:r>
      <w:r w:rsidR="0064352B" w:rsidRPr="00641640">
        <w:rPr>
          <w:rFonts w:ascii="Times New Roman" w:hAnsi="Times New Roman" w:cs="Times New Roman"/>
          <w:noProof/>
          <w:color w:val="000000" w:themeColor="text1"/>
          <w:sz w:val="24"/>
          <w:szCs w:val="24"/>
          <w:lang w:val="sq-AL"/>
        </w:rPr>
        <w:t xml:space="preserve"> Integruar</w:t>
      </w:r>
      <w:r w:rsidR="008A3CEC" w:rsidRPr="00641640">
        <w:rPr>
          <w:rFonts w:ascii="Times New Roman" w:hAnsi="Times New Roman" w:cs="Times New Roman"/>
          <w:noProof/>
          <w:color w:val="000000" w:themeColor="text1"/>
          <w:sz w:val="24"/>
          <w:szCs w:val="24"/>
          <w:lang w:val="sq-AL"/>
        </w:rPr>
        <w:t xml:space="preserve"> dhe elementeve të tij</w:t>
      </w:r>
      <w:r w:rsidRPr="00641640">
        <w:rPr>
          <w:rFonts w:ascii="Times New Roman" w:hAnsi="Times New Roman" w:cs="Times New Roman"/>
          <w:noProof/>
          <w:color w:val="000000" w:themeColor="text1"/>
          <w:sz w:val="24"/>
          <w:szCs w:val="24"/>
          <w:lang w:val="sq-AL"/>
        </w:rPr>
        <w:t xml:space="preserve">. </w:t>
      </w:r>
      <w:r w:rsidR="000C00AD" w:rsidRPr="00641640">
        <w:rPr>
          <w:rFonts w:ascii="Times New Roman" w:eastAsia="Times New Roman" w:hAnsi="Times New Roman" w:cs="Times New Roman"/>
          <w:noProof/>
          <w:sz w:val="24"/>
          <w:szCs w:val="24"/>
          <w:lang w:val="sq-AL"/>
        </w:rPr>
        <w:t>K</w:t>
      </w:r>
      <w:r w:rsidR="00BB586B" w:rsidRPr="00641640">
        <w:rPr>
          <w:rFonts w:ascii="Times New Roman" w:eastAsia="Times New Roman" w:hAnsi="Times New Roman" w:cs="Times New Roman"/>
          <w:noProof/>
          <w:sz w:val="24"/>
          <w:szCs w:val="24"/>
          <w:lang w:val="sq-AL"/>
        </w:rPr>
        <w:t>y përmirësim</w:t>
      </w:r>
      <w:r w:rsidR="000C00AD" w:rsidRPr="00641640">
        <w:rPr>
          <w:rFonts w:ascii="Times New Roman" w:eastAsia="Times New Roman" w:hAnsi="Times New Roman" w:cs="Times New Roman"/>
          <w:noProof/>
          <w:sz w:val="24"/>
          <w:szCs w:val="24"/>
          <w:lang w:val="sq-AL"/>
        </w:rPr>
        <w:t xml:space="preserve"> do </w:t>
      </w:r>
      <w:r w:rsidRPr="00641640">
        <w:rPr>
          <w:rFonts w:ascii="Times New Roman" w:eastAsia="Times New Roman" w:hAnsi="Times New Roman" w:cs="Times New Roman"/>
          <w:noProof/>
          <w:sz w:val="24"/>
          <w:szCs w:val="24"/>
          <w:lang w:val="sq-AL"/>
        </w:rPr>
        <w:t xml:space="preserve">të </w:t>
      </w:r>
      <w:r w:rsidR="00EF0180" w:rsidRPr="00641640">
        <w:rPr>
          <w:rFonts w:ascii="Times New Roman" w:eastAsia="Times New Roman" w:hAnsi="Times New Roman" w:cs="Times New Roman"/>
          <w:noProof/>
          <w:sz w:val="24"/>
          <w:szCs w:val="24"/>
          <w:lang w:val="sq-AL"/>
        </w:rPr>
        <w:t>ndihmojë në garantimin e</w:t>
      </w:r>
      <w:r w:rsidR="000C00AD" w:rsidRPr="00641640">
        <w:rPr>
          <w:rFonts w:ascii="Times New Roman" w:eastAsia="Times New Roman" w:hAnsi="Times New Roman" w:cs="Times New Roman"/>
          <w:noProof/>
          <w:sz w:val="24"/>
          <w:szCs w:val="24"/>
          <w:lang w:val="sq-AL"/>
        </w:rPr>
        <w:t xml:space="preserve"> një vendimmarrjeje të q</w:t>
      </w:r>
      <w:r w:rsidR="00494A72" w:rsidRPr="00641640">
        <w:rPr>
          <w:rFonts w:ascii="Times New Roman" w:eastAsia="Times New Roman" w:hAnsi="Times New Roman" w:cs="Times New Roman"/>
          <w:noProof/>
          <w:sz w:val="24"/>
          <w:szCs w:val="24"/>
          <w:lang w:val="sq-AL"/>
        </w:rPr>
        <w:t>e</w:t>
      </w:r>
      <w:r w:rsidR="000C00AD" w:rsidRPr="00641640">
        <w:rPr>
          <w:rFonts w:ascii="Times New Roman" w:eastAsia="Times New Roman" w:hAnsi="Times New Roman" w:cs="Times New Roman"/>
          <w:noProof/>
          <w:sz w:val="24"/>
          <w:szCs w:val="24"/>
          <w:lang w:val="sq-AL"/>
        </w:rPr>
        <w:t>ndrueshme dhe të mirëkoordinuar për zhvillimin e politikave, përmes plotësimit të korniz</w:t>
      </w:r>
      <w:r w:rsidR="00BB586B" w:rsidRPr="00641640">
        <w:rPr>
          <w:rFonts w:ascii="Times New Roman" w:eastAsia="Times New Roman" w:hAnsi="Times New Roman" w:cs="Times New Roman"/>
          <w:noProof/>
          <w:sz w:val="24"/>
          <w:szCs w:val="24"/>
          <w:lang w:val="sq-AL"/>
        </w:rPr>
        <w:t>ë</w:t>
      </w:r>
      <w:r w:rsidR="000C00AD" w:rsidRPr="00641640">
        <w:rPr>
          <w:rFonts w:ascii="Times New Roman" w:eastAsia="Times New Roman" w:hAnsi="Times New Roman" w:cs="Times New Roman"/>
          <w:noProof/>
          <w:sz w:val="24"/>
          <w:szCs w:val="24"/>
          <w:lang w:val="sq-AL"/>
        </w:rPr>
        <w:t>s ekzistuese ligjore dhe institucionale. Ky përmirësim do të mundësojë një cilësi më të lartë në planifikimin</w:t>
      </w:r>
      <w:r w:rsidR="00E63C00" w:rsidRPr="00641640">
        <w:rPr>
          <w:rFonts w:ascii="Times New Roman" w:eastAsia="Times New Roman" w:hAnsi="Times New Roman" w:cs="Times New Roman"/>
          <w:noProof/>
          <w:sz w:val="24"/>
          <w:szCs w:val="24"/>
          <w:lang w:val="sq-AL"/>
        </w:rPr>
        <w:t>, monitorimin</w:t>
      </w:r>
      <w:r w:rsidR="000C00AD" w:rsidRPr="00641640">
        <w:rPr>
          <w:rFonts w:ascii="Times New Roman" w:eastAsia="Times New Roman" w:hAnsi="Times New Roman" w:cs="Times New Roman"/>
          <w:noProof/>
          <w:sz w:val="24"/>
          <w:szCs w:val="24"/>
          <w:lang w:val="sq-AL"/>
        </w:rPr>
        <w:t xml:space="preserve"> dhe zbatimin e politikave në nivel kombëtar. </w:t>
      </w:r>
    </w:p>
    <w:p w14:paraId="50783337" w14:textId="7FB50C8E" w:rsidR="00766D45" w:rsidRPr="00641640" w:rsidRDefault="00655A9E" w:rsidP="003A395D">
      <w:pPr>
        <w:spacing w:line="276" w:lineRule="auto"/>
        <w:jc w:val="both"/>
        <w:rPr>
          <w:rFonts w:ascii="Times New Roman" w:hAnsi="Times New Roman" w:cs="Times New Roman"/>
          <w:noProof/>
          <w:color w:val="000000" w:themeColor="text1"/>
          <w:sz w:val="24"/>
          <w:szCs w:val="24"/>
          <w:lang w:val="sq-AL"/>
        </w:rPr>
      </w:pPr>
      <w:r w:rsidRPr="00641640">
        <w:rPr>
          <w:rFonts w:ascii="Times New Roman" w:hAnsi="Times New Roman" w:cs="Times New Roman"/>
          <w:noProof/>
          <w:color w:val="000000" w:themeColor="text1"/>
          <w:sz w:val="24"/>
          <w:szCs w:val="24"/>
          <w:lang w:val="sq-AL"/>
        </w:rPr>
        <w:lastRenderedPageBreak/>
        <w:t xml:space="preserve">Gjithashtu, </w:t>
      </w:r>
      <w:r w:rsidR="00500EC9" w:rsidRPr="00641640">
        <w:rPr>
          <w:rFonts w:ascii="Times New Roman" w:hAnsi="Times New Roman" w:cs="Times New Roman"/>
          <w:noProof/>
          <w:color w:val="000000" w:themeColor="text1"/>
          <w:sz w:val="24"/>
          <w:szCs w:val="24"/>
          <w:lang w:val="sq-AL"/>
        </w:rPr>
        <w:t xml:space="preserve">thelbësor </w:t>
      </w:r>
      <w:r w:rsidRPr="00641640">
        <w:rPr>
          <w:rFonts w:ascii="Times New Roman" w:hAnsi="Times New Roman" w:cs="Times New Roman"/>
          <w:noProof/>
          <w:color w:val="000000" w:themeColor="text1"/>
          <w:sz w:val="24"/>
          <w:szCs w:val="24"/>
          <w:lang w:val="sq-AL"/>
        </w:rPr>
        <w:t xml:space="preserve">është përmirësimi i monitorimit të zbatimit të Planeve të Veprimit të RAP dhe publikimi i raporteve të monitorimit për transparencë dhe akses më të gjerë publik. Për të garantuar efikasitetin në këtë drejtim, riaktivizimi i mekanizmave të koordinimit është një hap vendimtar që do të mbështesë zbatimin efektiv të reformave dhe adresimin e sfidave të reja. </w:t>
      </w:r>
      <w:r w:rsidR="00766D45" w:rsidRPr="00641640">
        <w:rPr>
          <w:rFonts w:ascii="Times New Roman" w:hAnsi="Times New Roman" w:cs="Times New Roman"/>
          <w:noProof/>
          <w:color w:val="000000" w:themeColor="text1"/>
          <w:sz w:val="24"/>
          <w:szCs w:val="24"/>
          <w:lang w:val="sq-AL"/>
        </w:rPr>
        <w:t xml:space="preserve">Rishikimi i strukturës dhe funksionimit të </w:t>
      </w:r>
      <w:r w:rsidRPr="00641640">
        <w:rPr>
          <w:rFonts w:ascii="Times New Roman" w:hAnsi="Times New Roman" w:cs="Times New Roman"/>
          <w:bCs/>
          <w:noProof/>
          <w:color w:val="000000" w:themeColor="text1"/>
          <w:sz w:val="24"/>
          <w:szCs w:val="24"/>
          <w:lang w:val="sq-AL"/>
        </w:rPr>
        <w:t>strukturave aktuale koordinuese</w:t>
      </w:r>
      <w:r w:rsidR="0021367A" w:rsidRPr="00641640">
        <w:rPr>
          <w:rFonts w:ascii="Times New Roman" w:hAnsi="Times New Roman" w:cs="Times New Roman"/>
          <w:bCs/>
          <w:noProof/>
          <w:color w:val="000000" w:themeColor="text1"/>
          <w:sz w:val="24"/>
          <w:szCs w:val="24"/>
          <w:lang w:val="sq-AL"/>
        </w:rPr>
        <w:t xml:space="preserve"> të politikave</w:t>
      </w:r>
      <w:r w:rsidR="00766D45" w:rsidRPr="00641640">
        <w:rPr>
          <w:rFonts w:ascii="Times New Roman" w:hAnsi="Times New Roman" w:cs="Times New Roman"/>
          <w:noProof/>
          <w:color w:val="000000" w:themeColor="text1"/>
          <w:sz w:val="24"/>
          <w:szCs w:val="24"/>
          <w:lang w:val="sq-AL"/>
        </w:rPr>
        <w:t xml:space="preserve"> synon t</w:t>
      </w:r>
      <w:r w:rsidR="00391E0A" w:rsidRPr="00641640">
        <w:rPr>
          <w:rFonts w:ascii="Times New Roman" w:hAnsi="Times New Roman" w:cs="Times New Roman"/>
          <w:noProof/>
          <w:color w:val="000000" w:themeColor="text1"/>
          <w:sz w:val="24"/>
          <w:szCs w:val="24"/>
          <w:lang w:val="sq-AL"/>
        </w:rPr>
        <w:t>ë</w:t>
      </w:r>
      <w:r w:rsidR="00766D45" w:rsidRPr="00641640">
        <w:rPr>
          <w:rFonts w:ascii="Times New Roman" w:hAnsi="Times New Roman" w:cs="Times New Roman"/>
          <w:noProof/>
          <w:color w:val="000000" w:themeColor="text1"/>
          <w:sz w:val="24"/>
          <w:szCs w:val="24"/>
          <w:lang w:val="sq-AL"/>
        </w:rPr>
        <w:t xml:space="preserve"> përmirësoj</w:t>
      </w:r>
      <w:r w:rsidR="00391E0A" w:rsidRPr="00641640">
        <w:rPr>
          <w:rFonts w:ascii="Times New Roman" w:hAnsi="Times New Roman" w:cs="Times New Roman"/>
          <w:noProof/>
          <w:color w:val="000000" w:themeColor="text1"/>
          <w:sz w:val="24"/>
          <w:szCs w:val="24"/>
          <w:lang w:val="sq-AL"/>
        </w:rPr>
        <w:t>ë</w:t>
      </w:r>
      <w:r w:rsidR="00766D45" w:rsidRPr="00641640">
        <w:rPr>
          <w:rFonts w:ascii="Times New Roman" w:hAnsi="Times New Roman" w:cs="Times New Roman"/>
          <w:noProof/>
          <w:color w:val="000000" w:themeColor="text1"/>
          <w:sz w:val="24"/>
          <w:szCs w:val="24"/>
          <w:lang w:val="sq-AL"/>
        </w:rPr>
        <w:t xml:space="preserve"> ndjeshëm procesin e prioritizimit të politikave kryesore shtetërore dhe rritjen e </w:t>
      </w:r>
      <w:r w:rsidR="008D7EEC" w:rsidRPr="00641640">
        <w:rPr>
          <w:rFonts w:ascii="Times New Roman" w:hAnsi="Times New Roman" w:cs="Times New Roman"/>
          <w:noProof/>
          <w:color w:val="000000" w:themeColor="text1"/>
          <w:sz w:val="24"/>
          <w:szCs w:val="24"/>
          <w:lang w:val="sq-AL"/>
        </w:rPr>
        <w:t xml:space="preserve">efikasitetit dhe </w:t>
      </w:r>
      <w:r w:rsidR="00766D45" w:rsidRPr="00641640">
        <w:rPr>
          <w:rFonts w:ascii="Times New Roman" w:hAnsi="Times New Roman" w:cs="Times New Roman"/>
          <w:noProof/>
          <w:color w:val="000000" w:themeColor="text1"/>
          <w:sz w:val="24"/>
          <w:szCs w:val="24"/>
          <w:lang w:val="sq-AL"/>
        </w:rPr>
        <w:t xml:space="preserve">efektivitetit në raport me alokimin më realist të burimeve financiare.  </w:t>
      </w:r>
      <w:r w:rsidR="00216DB4" w:rsidRPr="00641640">
        <w:rPr>
          <w:rFonts w:ascii="Times New Roman" w:hAnsi="Times New Roman" w:cs="Times New Roman"/>
          <w:noProof/>
          <w:color w:val="000000" w:themeColor="text1"/>
          <w:sz w:val="24"/>
          <w:szCs w:val="24"/>
          <w:lang w:val="sq-AL"/>
        </w:rPr>
        <w:t>Kjo q</w:t>
      </w:r>
      <w:r w:rsidR="00766D45" w:rsidRPr="00641640">
        <w:rPr>
          <w:rFonts w:ascii="Times New Roman" w:hAnsi="Times New Roman" w:cs="Times New Roman"/>
          <w:noProof/>
          <w:color w:val="000000" w:themeColor="text1"/>
          <w:sz w:val="24"/>
          <w:szCs w:val="24"/>
          <w:lang w:val="sq-AL"/>
        </w:rPr>
        <w:t>asj</w:t>
      </w:r>
      <w:r w:rsidR="00216DB4" w:rsidRPr="00641640">
        <w:rPr>
          <w:rFonts w:ascii="Times New Roman" w:hAnsi="Times New Roman" w:cs="Times New Roman"/>
          <w:noProof/>
          <w:color w:val="000000" w:themeColor="text1"/>
          <w:sz w:val="24"/>
          <w:szCs w:val="24"/>
          <w:lang w:val="sq-AL"/>
        </w:rPr>
        <w:t>e</w:t>
      </w:r>
      <w:r w:rsidR="00766D45" w:rsidRPr="00641640">
        <w:rPr>
          <w:rFonts w:ascii="Times New Roman" w:hAnsi="Times New Roman" w:cs="Times New Roman"/>
          <w:noProof/>
          <w:color w:val="000000" w:themeColor="text1"/>
          <w:sz w:val="24"/>
          <w:szCs w:val="24"/>
          <w:lang w:val="sq-AL"/>
        </w:rPr>
        <w:t xml:space="preserve"> </w:t>
      </w:r>
      <w:r w:rsidR="00EF0180" w:rsidRPr="00641640">
        <w:rPr>
          <w:rFonts w:ascii="Times New Roman" w:hAnsi="Times New Roman" w:cs="Times New Roman"/>
          <w:noProof/>
          <w:color w:val="000000" w:themeColor="text1"/>
          <w:sz w:val="24"/>
          <w:szCs w:val="24"/>
          <w:lang w:val="sq-AL"/>
        </w:rPr>
        <w:t>do</w:t>
      </w:r>
      <w:r w:rsidR="00766D45" w:rsidRPr="00641640">
        <w:rPr>
          <w:rFonts w:ascii="Times New Roman" w:hAnsi="Times New Roman" w:cs="Times New Roman"/>
          <w:noProof/>
          <w:color w:val="000000" w:themeColor="text1"/>
          <w:sz w:val="24"/>
          <w:szCs w:val="24"/>
          <w:lang w:val="sq-AL"/>
        </w:rPr>
        <w:t xml:space="preserve"> të forcojë udhëheqjen nga autoriteti përgjegjës shtetëror përmes një kuadri të vetëm gjithëpërfshirës buxhetimi, me procedura të harmonizuara monitorimi dhe raportimi</w:t>
      </w:r>
      <w:r w:rsidR="00EF0180" w:rsidRPr="00641640">
        <w:rPr>
          <w:rFonts w:ascii="Times New Roman" w:hAnsi="Times New Roman" w:cs="Times New Roman"/>
          <w:noProof/>
          <w:color w:val="000000" w:themeColor="text1"/>
          <w:sz w:val="24"/>
          <w:szCs w:val="24"/>
          <w:lang w:val="sq-AL"/>
        </w:rPr>
        <w:t>,</w:t>
      </w:r>
      <w:r w:rsidR="00766D45" w:rsidRPr="00641640">
        <w:rPr>
          <w:rFonts w:ascii="Times New Roman" w:hAnsi="Times New Roman" w:cs="Times New Roman"/>
          <w:noProof/>
          <w:color w:val="000000" w:themeColor="text1"/>
          <w:sz w:val="24"/>
          <w:szCs w:val="24"/>
          <w:lang w:val="sq-AL"/>
        </w:rPr>
        <w:t xml:space="preserve"> si dhe koordinimi me donatorët. </w:t>
      </w:r>
    </w:p>
    <w:p w14:paraId="08AD5061" w14:textId="00BC6335" w:rsidR="00AD163A" w:rsidRPr="00641640" w:rsidRDefault="0028287A" w:rsidP="003A395D">
      <w:pPr>
        <w:spacing w:line="276" w:lineRule="auto"/>
        <w:jc w:val="both"/>
        <w:rPr>
          <w:rFonts w:ascii="Times New Roman" w:hAnsi="Times New Roman" w:cs="Times New Roman"/>
          <w:noProof/>
          <w:color w:val="000000" w:themeColor="text1"/>
          <w:sz w:val="24"/>
          <w:szCs w:val="24"/>
          <w:lang w:val="sq-AL"/>
        </w:rPr>
      </w:pPr>
      <w:r w:rsidRPr="00641640">
        <w:rPr>
          <w:rFonts w:ascii="Times New Roman" w:hAnsi="Times New Roman" w:cs="Times New Roman"/>
          <w:noProof/>
          <w:color w:val="000000" w:themeColor="text1"/>
          <w:sz w:val="24"/>
          <w:szCs w:val="24"/>
          <w:lang w:val="sq-AL"/>
        </w:rPr>
        <w:t xml:space="preserve">Nga ana tjetër, </w:t>
      </w:r>
      <w:r w:rsidR="00AD163A" w:rsidRPr="00641640">
        <w:rPr>
          <w:rFonts w:ascii="Times New Roman" w:eastAsia="Times New Roman" w:hAnsi="Times New Roman" w:cs="Times New Roman"/>
          <w:noProof/>
          <w:sz w:val="24"/>
          <w:szCs w:val="24"/>
          <w:lang w:val="sq-AL"/>
        </w:rPr>
        <w:t xml:space="preserve">përmirësimi i koherencës ndërmjet planifikimit strategjik dhe buxhetimit dhe </w:t>
      </w:r>
      <w:r w:rsidR="00766D45" w:rsidRPr="00641640">
        <w:rPr>
          <w:rFonts w:ascii="Times New Roman" w:hAnsi="Times New Roman" w:cs="Times New Roman"/>
          <w:noProof/>
          <w:color w:val="000000" w:themeColor="text1"/>
          <w:sz w:val="24"/>
          <w:szCs w:val="24"/>
          <w:lang w:val="sq-AL"/>
        </w:rPr>
        <w:t>s</w:t>
      </w:r>
      <w:r w:rsidRPr="00641640">
        <w:rPr>
          <w:rFonts w:ascii="Times New Roman" w:hAnsi="Times New Roman" w:cs="Times New Roman"/>
          <w:noProof/>
          <w:color w:val="000000" w:themeColor="text1"/>
          <w:sz w:val="24"/>
          <w:szCs w:val="24"/>
          <w:lang w:val="sq-AL"/>
        </w:rPr>
        <w:t xml:space="preserve">hpërndarja e burimeve në përputhje me objektivat strategjikë të Këshillit të Ministrave shtron domosdoshmërinë e miratimit </w:t>
      </w:r>
      <w:r w:rsidR="00E32439" w:rsidRPr="00641640">
        <w:rPr>
          <w:rFonts w:ascii="Times New Roman" w:hAnsi="Times New Roman" w:cs="Times New Roman"/>
          <w:noProof/>
          <w:color w:val="000000" w:themeColor="text1"/>
          <w:sz w:val="24"/>
          <w:szCs w:val="24"/>
          <w:lang w:val="sq-AL"/>
        </w:rPr>
        <w:t xml:space="preserve">çdo fillimviti </w:t>
      </w:r>
      <w:r w:rsidR="00743123" w:rsidRPr="00641640">
        <w:rPr>
          <w:rFonts w:ascii="Times New Roman" w:hAnsi="Times New Roman" w:cs="Times New Roman"/>
          <w:noProof/>
          <w:color w:val="000000" w:themeColor="text1"/>
          <w:sz w:val="24"/>
          <w:szCs w:val="24"/>
          <w:lang w:val="sq-AL"/>
        </w:rPr>
        <w:t>me vendim të Këshillit të Ministrave</w:t>
      </w:r>
      <w:r w:rsidR="00E32439" w:rsidRPr="00641640">
        <w:rPr>
          <w:rFonts w:ascii="Times New Roman" w:hAnsi="Times New Roman" w:cs="Times New Roman"/>
          <w:noProof/>
          <w:color w:val="000000" w:themeColor="text1"/>
          <w:sz w:val="24"/>
          <w:szCs w:val="24"/>
          <w:lang w:val="sq-AL"/>
        </w:rPr>
        <w:t>,</w:t>
      </w:r>
      <w:r w:rsidR="00743123" w:rsidRPr="00641640">
        <w:rPr>
          <w:rFonts w:ascii="Times New Roman" w:hAnsi="Times New Roman" w:cs="Times New Roman"/>
          <w:noProof/>
          <w:color w:val="000000" w:themeColor="text1"/>
          <w:sz w:val="24"/>
          <w:szCs w:val="24"/>
          <w:lang w:val="sq-AL"/>
        </w:rPr>
        <w:t xml:space="preserve"> </w:t>
      </w:r>
      <w:r w:rsidRPr="00641640">
        <w:rPr>
          <w:rFonts w:ascii="Times New Roman" w:hAnsi="Times New Roman" w:cs="Times New Roman"/>
          <w:noProof/>
          <w:color w:val="000000" w:themeColor="text1"/>
          <w:sz w:val="24"/>
          <w:szCs w:val="24"/>
          <w:lang w:val="sq-AL"/>
        </w:rPr>
        <w:t xml:space="preserve">të </w:t>
      </w:r>
      <w:r w:rsidRPr="00641640">
        <w:rPr>
          <w:rFonts w:ascii="Times New Roman" w:hAnsi="Times New Roman" w:cs="Times New Roman"/>
          <w:bCs/>
          <w:noProof/>
          <w:color w:val="000000" w:themeColor="text1"/>
          <w:sz w:val="24"/>
          <w:szCs w:val="24"/>
          <w:lang w:val="sq-AL"/>
        </w:rPr>
        <w:t>Dokumenti</w:t>
      </w:r>
      <w:r w:rsidR="00F81A51" w:rsidRPr="00641640">
        <w:rPr>
          <w:rFonts w:ascii="Times New Roman" w:hAnsi="Times New Roman" w:cs="Times New Roman"/>
          <w:bCs/>
          <w:noProof/>
          <w:color w:val="000000" w:themeColor="text1"/>
          <w:sz w:val="24"/>
          <w:szCs w:val="24"/>
          <w:lang w:val="sq-AL"/>
        </w:rPr>
        <w:t>t të</w:t>
      </w:r>
      <w:r w:rsidRPr="00641640">
        <w:rPr>
          <w:rFonts w:ascii="Times New Roman" w:hAnsi="Times New Roman" w:cs="Times New Roman"/>
          <w:bCs/>
          <w:noProof/>
          <w:color w:val="000000" w:themeColor="text1"/>
          <w:sz w:val="24"/>
          <w:szCs w:val="24"/>
          <w:lang w:val="sq-AL"/>
        </w:rPr>
        <w:t xml:space="preserve"> Politika</w:t>
      </w:r>
      <w:r w:rsidR="00F81A51" w:rsidRPr="00641640">
        <w:rPr>
          <w:rFonts w:ascii="Times New Roman" w:hAnsi="Times New Roman" w:cs="Times New Roman"/>
          <w:bCs/>
          <w:noProof/>
          <w:color w:val="000000" w:themeColor="text1"/>
          <w:sz w:val="24"/>
          <w:szCs w:val="24"/>
          <w:lang w:val="sq-AL"/>
        </w:rPr>
        <w:t>ve</w:t>
      </w:r>
      <w:r w:rsidRPr="00641640">
        <w:rPr>
          <w:rFonts w:ascii="Times New Roman" w:hAnsi="Times New Roman" w:cs="Times New Roman"/>
          <w:bCs/>
          <w:noProof/>
          <w:color w:val="000000" w:themeColor="text1"/>
          <w:sz w:val="24"/>
          <w:szCs w:val="24"/>
          <w:lang w:val="sq-AL"/>
        </w:rPr>
        <w:t xml:space="preserve"> Prioritare me shtrirje afatmesme</w:t>
      </w:r>
      <w:r w:rsidR="00E32439" w:rsidRPr="00641640">
        <w:rPr>
          <w:rFonts w:ascii="Times New Roman" w:hAnsi="Times New Roman" w:cs="Times New Roman"/>
          <w:bCs/>
          <w:noProof/>
          <w:color w:val="000000" w:themeColor="text1"/>
          <w:sz w:val="24"/>
          <w:szCs w:val="24"/>
          <w:lang w:val="sq-AL"/>
        </w:rPr>
        <w:t>.</w:t>
      </w:r>
      <w:r w:rsidRPr="00641640">
        <w:rPr>
          <w:rFonts w:ascii="Times New Roman" w:hAnsi="Times New Roman" w:cs="Times New Roman"/>
          <w:noProof/>
          <w:color w:val="000000" w:themeColor="text1"/>
          <w:sz w:val="24"/>
          <w:szCs w:val="24"/>
          <w:lang w:val="sq-AL"/>
        </w:rPr>
        <w:t xml:space="preserve"> </w:t>
      </w:r>
      <w:r w:rsidR="00E32439" w:rsidRPr="00641640">
        <w:rPr>
          <w:rFonts w:ascii="Times New Roman" w:hAnsi="Times New Roman" w:cs="Times New Roman"/>
          <w:noProof/>
          <w:color w:val="000000" w:themeColor="text1"/>
          <w:sz w:val="24"/>
          <w:szCs w:val="24"/>
          <w:lang w:val="sq-AL"/>
        </w:rPr>
        <w:t>P</w:t>
      </w:r>
      <w:r w:rsidR="00391E0A" w:rsidRPr="00641640">
        <w:rPr>
          <w:rFonts w:ascii="Times New Roman" w:hAnsi="Times New Roman" w:cs="Times New Roman"/>
          <w:noProof/>
          <w:color w:val="000000" w:themeColor="text1"/>
          <w:sz w:val="24"/>
          <w:szCs w:val="24"/>
          <w:lang w:val="sq-AL"/>
        </w:rPr>
        <w:t>ë</w:t>
      </w:r>
      <w:r w:rsidR="00766D45" w:rsidRPr="00641640">
        <w:rPr>
          <w:rFonts w:ascii="Times New Roman" w:hAnsi="Times New Roman" w:cs="Times New Roman"/>
          <w:noProof/>
          <w:color w:val="000000" w:themeColor="text1"/>
          <w:sz w:val="24"/>
          <w:szCs w:val="24"/>
          <w:lang w:val="sq-AL"/>
        </w:rPr>
        <w:t>r p</w:t>
      </w:r>
      <w:r w:rsidR="00391E0A" w:rsidRPr="00641640">
        <w:rPr>
          <w:rFonts w:ascii="Times New Roman" w:hAnsi="Times New Roman" w:cs="Times New Roman"/>
          <w:noProof/>
          <w:color w:val="000000" w:themeColor="text1"/>
          <w:sz w:val="24"/>
          <w:szCs w:val="24"/>
          <w:lang w:val="sq-AL"/>
        </w:rPr>
        <w:t>ë</w:t>
      </w:r>
      <w:r w:rsidR="00766D45" w:rsidRPr="00641640">
        <w:rPr>
          <w:rFonts w:ascii="Times New Roman" w:hAnsi="Times New Roman" w:cs="Times New Roman"/>
          <w:noProof/>
          <w:color w:val="000000" w:themeColor="text1"/>
          <w:sz w:val="24"/>
          <w:szCs w:val="24"/>
          <w:lang w:val="sq-AL"/>
        </w:rPr>
        <w:t xml:space="preserve">rgatitjen e </w:t>
      </w:r>
      <w:r w:rsidR="00E32439" w:rsidRPr="00641640">
        <w:rPr>
          <w:rFonts w:ascii="Times New Roman" w:hAnsi="Times New Roman" w:cs="Times New Roman"/>
          <w:noProof/>
          <w:color w:val="000000" w:themeColor="text1"/>
          <w:sz w:val="24"/>
          <w:szCs w:val="24"/>
          <w:lang w:val="sq-AL"/>
        </w:rPr>
        <w:t xml:space="preserve">këtij dokumenti </w:t>
      </w:r>
      <w:r w:rsidR="00766D45" w:rsidRPr="00641640">
        <w:rPr>
          <w:rFonts w:ascii="Times New Roman" w:hAnsi="Times New Roman" w:cs="Times New Roman"/>
          <w:noProof/>
          <w:color w:val="000000" w:themeColor="text1"/>
          <w:sz w:val="24"/>
          <w:szCs w:val="24"/>
          <w:lang w:val="sq-AL"/>
        </w:rPr>
        <w:t>puna bashk</w:t>
      </w:r>
      <w:r w:rsidR="00391E0A" w:rsidRPr="00641640">
        <w:rPr>
          <w:rFonts w:ascii="Times New Roman" w:hAnsi="Times New Roman" w:cs="Times New Roman"/>
          <w:noProof/>
          <w:color w:val="000000" w:themeColor="text1"/>
          <w:sz w:val="24"/>
          <w:szCs w:val="24"/>
          <w:lang w:val="sq-AL"/>
        </w:rPr>
        <w:t>ë</w:t>
      </w:r>
      <w:r w:rsidR="00766D45" w:rsidRPr="00641640">
        <w:rPr>
          <w:rFonts w:ascii="Times New Roman" w:hAnsi="Times New Roman" w:cs="Times New Roman"/>
          <w:noProof/>
          <w:color w:val="000000" w:themeColor="text1"/>
          <w:sz w:val="24"/>
          <w:szCs w:val="24"/>
          <w:lang w:val="sq-AL"/>
        </w:rPr>
        <w:t xml:space="preserve">rendohet nga </w:t>
      </w:r>
      <w:r w:rsidR="00BC4368" w:rsidRPr="00641640">
        <w:rPr>
          <w:rFonts w:ascii="Times New Roman" w:hAnsi="Times New Roman" w:cs="Times New Roman"/>
          <w:noProof/>
          <w:color w:val="000000" w:themeColor="text1"/>
          <w:sz w:val="24"/>
          <w:szCs w:val="24"/>
          <w:lang w:val="sq-AL"/>
        </w:rPr>
        <w:t>Agjencia Shtetërore e Programit Strategjik dhe Koordinimit të Ndihmës</w:t>
      </w:r>
      <w:r w:rsidR="00766D45" w:rsidRPr="00641640">
        <w:rPr>
          <w:rFonts w:ascii="Times New Roman" w:hAnsi="Times New Roman" w:cs="Times New Roman"/>
          <w:noProof/>
          <w:color w:val="000000" w:themeColor="text1"/>
          <w:sz w:val="24"/>
          <w:szCs w:val="24"/>
          <w:lang w:val="sq-AL"/>
        </w:rPr>
        <w:t xml:space="preserve">. </w:t>
      </w:r>
      <w:r w:rsidR="00766D45" w:rsidRPr="00641640">
        <w:rPr>
          <w:rFonts w:ascii="Times New Roman" w:hAnsi="Times New Roman" w:cs="Times New Roman"/>
          <w:bCs/>
          <w:noProof/>
          <w:color w:val="000000" w:themeColor="text1"/>
          <w:sz w:val="24"/>
          <w:szCs w:val="24"/>
          <w:lang w:val="sq-AL"/>
        </w:rPr>
        <w:t>Dokumenti i Politikave Prioritare</w:t>
      </w:r>
      <w:r w:rsidR="00766D45" w:rsidRPr="00641640">
        <w:rPr>
          <w:rFonts w:ascii="Times New Roman" w:hAnsi="Times New Roman" w:cs="Times New Roman"/>
          <w:noProof/>
          <w:color w:val="000000" w:themeColor="text1"/>
          <w:sz w:val="24"/>
          <w:szCs w:val="24"/>
          <w:lang w:val="sq-AL"/>
        </w:rPr>
        <w:t>, si komponent i planifikimit strategjik afatmesëm orienton qartë dhe i paraprin procesit të planifikimit të financimit</w:t>
      </w:r>
      <w:r w:rsidR="00EF0180" w:rsidRPr="00641640">
        <w:rPr>
          <w:rFonts w:ascii="Times New Roman" w:hAnsi="Times New Roman" w:cs="Times New Roman"/>
          <w:noProof/>
          <w:color w:val="000000" w:themeColor="text1"/>
          <w:sz w:val="24"/>
          <w:szCs w:val="24"/>
          <w:lang w:val="sq-AL"/>
        </w:rPr>
        <w:t>/</w:t>
      </w:r>
      <w:r w:rsidR="00766D45" w:rsidRPr="00641640">
        <w:rPr>
          <w:rFonts w:ascii="Times New Roman" w:hAnsi="Times New Roman" w:cs="Times New Roman"/>
          <w:noProof/>
          <w:color w:val="000000" w:themeColor="text1"/>
          <w:sz w:val="24"/>
          <w:szCs w:val="24"/>
          <w:lang w:val="sq-AL"/>
        </w:rPr>
        <w:t>programimit buxhetor afatmesëm (PBA)</w:t>
      </w:r>
      <w:r w:rsidR="00C9536A" w:rsidRPr="00641640">
        <w:rPr>
          <w:rFonts w:ascii="Times New Roman" w:hAnsi="Times New Roman" w:cs="Times New Roman"/>
          <w:noProof/>
          <w:color w:val="000000" w:themeColor="text1"/>
          <w:sz w:val="24"/>
          <w:szCs w:val="24"/>
          <w:lang w:val="sq-AL"/>
        </w:rPr>
        <w:t>,</w:t>
      </w:r>
      <w:r w:rsidR="00766D45" w:rsidRPr="00641640">
        <w:rPr>
          <w:rFonts w:ascii="Times New Roman" w:hAnsi="Times New Roman" w:cs="Times New Roman"/>
          <w:noProof/>
          <w:color w:val="000000" w:themeColor="text1"/>
          <w:sz w:val="24"/>
          <w:szCs w:val="24"/>
          <w:lang w:val="sq-AL"/>
        </w:rPr>
        <w:t xml:space="preserve"> duke siguruar një shkallë më të lartë p</w:t>
      </w:r>
      <w:r w:rsidR="003A1D7C" w:rsidRPr="00641640">
        <w:rPr>
          <w:rFonts w:ascii="Times New Roman" w:hAnsi="Times New Roman" w:cs="Times New Roman"/>
          <w:noProof/>
          <w:color w:val="000000" w:themeColor="text1"/>
          <w:sz w:val="24"/>
          <w:szCs w:val="24"/>
          <w:lang w:val="sq-AL"/>
        </w:rPr>
        <w:t>ërputhshmërie</w:t>
      </w:r>
      <w:r w:rsidR="00766D45" w:rsidRPr="00641640">
        <w:rPr>
          <w:rFonts w:ascii="Times New Roman" w:hAnsi="Times New Roman" w:cs="Times New Roman"/>
          <w:noProof/>
          <w:color w:val="000000" w:themeColor="text1"/>
          <w:sz w:val="24"/>
          <w:szCs w:val="24"/>
          <w:lang w:val="sq-AL"/>
        </w:rPr>
        <w:t xml:space="preserve"> me objektivat strategjike të Këshillit të Ministrave, duke qenë se fokusohet në disa prioritete kyçe/objektiva strategjike </w:t>
      </w:r>
      <w:r w:rsidR="00B41A0F" w:rsidRPr="00641640">
        <w:rPr>
          <w:rFonts w:ascii="Times New Roman" w:hAnsi="Times New Roman" w:cs="Times New Roman"/>
          <w:noProof/>
          <w:color w:val="000000" w:themeColor="text1"/>
          <w:sz w:val="24"/>
          <w:szCs w:val="24"/>
          <w:lang w:val="sq-AL"/>
        </w:rPr>
        <w:t>q</w:t>
      </w:r>
      <w:r w:rsidR="00766D45" w:rsidRPr="00641640">
        <w:rPr>
          <w:rFonts w:ascii="Times New Roman" w:hAnsi="Times New Roman" w:cs="Times New Roman"/>
          <w:noProof/>
          <w:color w:val="000000" w:themeColor="text1"/>
          <w:sz w:val="24"/>
          <w:szCs w:val="24"/>
          <w:lang w:val="sq-AL"/>
        </w:rPr>
        <w:t>ë janë mjaftueshëm specifik</w:t>
      </w:r>
      <w:r w:rsidR="003A1D7C" w:rsidRPr="00641640">
        <w:rPr>
          <w:rFonts w:ascii="Times New Roman" w:hAnsi="Times New Roman" w:cs="Times New Roman"/>
          <w:noProof/>
          <w:color w:val="000000" w:themeColor="text1"/>
          <w:sz w:val="24"/>
          <w:szCs w:val="24"/>
          <w:lang w:val="sq-AL"/>
        </w:rPr>
        <w:t>ë</w:t>
      </w:r>
      <w:r w:rsidR="00766D45" w:rsidRPr="00641640">
        <w:rPr>
          <w:rFonts w:ascii="Times New Roman" w:hAnsi="Times New Roman" w:cs="Times New Roman"/>
          <w:noProof/>
          <w:color w:val="000000" w:themeColor="text1"/>
          <w:sz w:val="24"/>
          <w:szCs w:val="24"/>
          <w:lang w:val="sq-AL"/>
        </w:rPr>
        <w:t xml:space="preserve"> (dmth nuk ngelen në nivele aq të përgjithshme)</w:t>
      </w:r>
      <w:r w:rsidR="00391E0A" w:rsidRPr="00641640">
        <w:rPr>
          <w:rFonts w:ascii="Times New Roman" w:hAnsi="Times New Roman" w:cs="Times New Roman"/>
          <w:noProof/>
          <w:color w:val="000000" w:themeColor="text1"/>
          <w:sz w:val="24"/>
          <w:szCs w:val="24"/>
          <w:lang w:val="sq-AL"/>
        </w:rPr>
        <w:t xml:space="preserve"> dhe </w:t>
      </w:r>
      <w:r w:rsidR="00766D45" w:rsidRPr="00641640">
        <w:rPr>
          <w:rFonts w:ascii="Times New Roman" w:hAnsi="Times New Roman" w:cs="Times New Roman"/>
          <w:noProof/>
          <w:color w:val="000000" w:themeColor="text1"/>
          <w:sz w:val="24"/>
          <w:szCs w:val="24"/>
          <w:lang w:val="sq-AL"/>
        </w:rPr>
        <w:t>shtrihen në një afat kohor afatmesëm</w:t>
      </w:r>
      <w:r w:rsidR="003A1D7C" w:rsidRPr="00641640">
        <w:rPr>
          <w:rFonts w:ascii="Times New Roman" w:hAnsi="Times New Roman" w:cs="Times New Roman"/>
          <w:noProof/>
          <w:color w:val="000000" w:themeColor="text1"/>
          <w:sz w:val="24"/>
          <w:szCs w:val="24"/>
          <w:lang w:val="sq-AL"/>
        </w:rPr>
        <w:t>,</w:t>
      </w:r>
      <w:r w:rsidR="00766D45" w:rsidRPr="00641640">
        <w:rPr>
          <w:rFonts w:ascii="Times New Roman" w:hAnsi="Times New Roman" w:cs="Times New Roman"/>
          <w:noProof/>
          <w:color w:val="000000" w:themeColor="text1"/>
          <w:sz w:val="24"/>
          <w:szCs w:val="24"/>
          <w:lang w:val="sq-AL"/>
        </w:rPr>
        <w:t xml:space="preserve"> nga ku mund të vlerësohet në mënyrë shumë më domethënëse kërkesa ose nevoja për ndryshime përgjatë zbatimit.  </w:t>
      </w:r>
    </w:p>
    <w:p w14:paraId="2C786E13" w14:textId="04E4C007" w:rsidR="008D2EF4" w:rsidRPr="00641640" w:rsidRDefault="00BC4368" w:rsidP="003A395D">
      <w:pPr>
        <w:spacing w:line="276" w:lineRule="auto"/>
        <w:jc w:val="both"/>
        <w:rPr>
          <w:rFonts w:ascii="Times New Roman" w:hAnsi="Times New Roman" w:cs="Times New Roman"/>
          <w:noProof/>
          <w:color w:val="000000" w:themeColor="text1"/>
          <w:sz w:val="24"/>
          <w:szCs w:val="24"/>
          <w:lang w:val="sq-AL"/>
        </w:rPr>
      </w:pPr>
      <w:r w:rsidRPr="00641640">
        <w:rPr>
          <w:rFonts w:ascii="Times New Roman" w:hAnsi="Times New Roman" w:cs="Times New Roman"/>
          <w:noProof/>
          <w:color w:val="000000" w:themeColor="text1"/>
          <w:sz w:val="24"/>
          <w:szCs w:val="24"/>
          <w:lang w:val="sq-AL"/>
        </w:rPr>
        <w:t>Mekanizmi i qasjes së gjerë sektoriale/ndërsektoriale dhe Dokumenti i Politikave Prioritare j</w:t>
      </w:r>
      <w:r w:rsidR="00F81A51" w:rsidRPr="00641640">
        <w:rPr>
          <w:rFonts w:ascii="Times New Roman" w:hAnsi="Times New Roman" w:cs="Times New Roman"/>
          <w:noProof/>
          <w:color w:val="000000" w:themeColor="text1"/>
          <w:sz w:val="24"/>
          <w:szCs w:val="24"/>
          <w:lang w:val="sq-AL"/>
        </w:rPr>
        <w:t>a</w:t>
      </w:r>
      <w:r w:rsidRPr="00641640">
        <w:rPr>
          <w:rFonts w:ascii="Times New Roman" w:hAnsi="Times New Roman" w:cs="Times New Roman"/>
          <w:noProof/>
          <w:color w:val="000000" w:themeColor="text1"/>
          <w:sz w:val="24"/>
          <w:szCs w:val="24"/>
          <w:lang w:val="sq-AL"/>
        </w:rPr>
        <w:t xml:space="preserve">në pjesë e </w:t>
      </w:r>
      <w:r w:rsidRPr="00641640">
        <w:rPr>
          <w:rFonts w:ascii="Times New Roman" w:hAnsi="Times New Roman" w:cs="Times New Roman"/>
          <w:bCs/>
          <w:noProof/>
          <w:color w:val="000000" w:themeColor="text1"/>
          <w:sz w:val="24"/>
          <w:szCs w:val="24"/>
          <w:lang w:val="sq-AL"/>
        </w:rPr>
        <w:t>Sistemit Informatik të Planifikimit të Integruar (SIPI/IPSIS)</w:t>
      </w:r>
      <w:r w:rsidRPr="00641640">
        <w:rPr>
          <w:rFonts w:ascii="Times New Roman" w:hAnsi="Times New Roman" w:cs="Times New Roman"/>
          <w:noProof/>
          <w:color w:val="000000" w:themeColor="text1"/>
          <w:sz w:val="24"/>
          <w:szCs w:val="24"/>
          <w:lang w:val="sq-AL"/>
        </w:rPr>
        <w:t xml:space="preserve"> si sistemi kryesor për planifikimin, analizimin, përgatitjen e të gjitha tipologjive të dokumenteve strategjike, si dhe monitorimin e performancës së arritur kundrejt politikave dhe objektivave të planifikuar. Modul i këtij sistemi është dhe integrimi i masave kombëtare prioritare në të cilën përfshihet Paketa Kombëtare e Projekteve Strategjike. Në sistemin aktual kjo paketë përmban projektet me rëndësi kombëtare </w:t>
      </w:r>
      <w:r w:rsidR="00663B1D" w:rsidRPr="00641640">
        <w:rPr>
          <w:rFonts w:ascii="Times New Roman" w:hAnsi="Times New Roman" w:cs="Times New Roman"/>
          <w:noProof/>
          <w:color w:val="000000" w:themeColor="text1"/>
          <w:sz w:val="24"/>
          <w:szCs w:val="24"/>
          <w:lang w:val="sq-AL"/>
        </w:rPr>
        <w:t>q</w:t>
      </w:r>
      <w:r w:rsidR="007F00FB" w:rsidRPr="00641640">
        <w:rPr>
          <w:rFonts w:ascii="Times New Roman" w:hAnsi="Times New Roman" w:cs="Times New Roman"/>
          <w:noProof/>
          <w:color w:val="000000" w:themeColor="text1"/>
          <w:sz w:val="24"/>
          <w:szCs w:val="24"/>
          <w:lang w:val="sq-AL"/>
        </w:rPr>
        <w:t>ë</w:t>
      </w:r>
      <w:r w:rsidR="000069E8" w:rsidRPr="00641640">
        <w:rPr>
          <w:rFonts w:ascii="Times New Roman" w:hAnsi="Times New Roman" w:cs="Times New Roman"/>
          <w:noProof/>
          <w:color w:val="000000" w:themeColor="text1"/>
          <w:sz w:val="24"/>
          <w:szCs w:val="24"/>
          <w:lang w:val="sq-AL"/>
        </w:rPr>
        <w:t>,</w:t>
      </w:r>
      <w:r w:rsidRPr="00641640">
        <w:rPr>
          <w:rFonts w:ascii="Times New Roman" w:hAnsi="Times New Roman" w:cs="Times New Roman"/>
          <w:noProof/>
          <w:color w:val="000000" w:themeColor="text1"/>
          <w:sz w:val="24"/>
          <w:szCs w:val="24"/>
          <w:lang w:val="sq-AL"/>
        </w:rPr>
        <w:t xml:space="preserve"> me ndryshimet e fundit ligjore</w:t>
      </w:r>
      <w:r w:rsidR="000069E8" w:rsidRPr="00641640">
        <w:rPr>
          <w:rFonts w:ascii="Times New Roman" w:hAnsi="Times New Roman" w:cs="Times New Roman"/>
          <w:noProof/>
          <w:color w:val="000000" w:themeColor="text1"/>
          <w:sz w:val="24"/>
          <w:szCs w:val="24"/>
          <w:lang w:val="sq-AL"/>
        </w:rPr>
        <w:t>,</w:t>
      </w:r>
      <w:r w:rsidRPr="00641640">
        <w:rPr>
          <w:rFonts w:ascii="Times New Roman" w:hAnsi="Times New Roman" w:cs="Times New Roman"/>
          <w:noProof/>
          <w:color w:val="000000" w:themeColor="text1"/>
          <w:sz w:val="24"/>
          <w:szCs w:val="24"/>
          <w:lang w:val="sq-AL"/>
        </w:rPr>
        <w:t xml:space="preserve"> miratohet si pjesë e Dokumentit të Politikave Prioritare. </w:t>
      </w:r>
      <w:r w:rsidR="00EF0180" w:rsidRPr="00641640">
        <w:rPr>
          <w:rFonts w:ascii="Times New Roman" w:hAnsi="Times New Roman" w:cs="Times New Roman"/>
          <w:noProof/>
          <w:color w:val="000000" w:themeColor="text1"/>
          <w:sz w:val="24"/>
          <w:szCs w:val="24"/>
          <w:lang w:val="sq-AL"/>
        </w:rPr>
        <w:t>Rishikimi i planifikuar i instrumentit</w:t>
      </w:r>
      <w:r w:rsidRPr="00641640">
        <w:rPr>
          <w:rFonts w:ascii="Times New Roman" w:hAnsi="Times New Roman" w:cs="Times New Roman"/>
          <w:noProof/>
          <w:color w:val="000000" w:themeColor="text1"/>
          <w:sz w:val="24"/>
          <w:szCs w:val="24"/>
          <w:lang w:val="sq-AL"/>
        </w:rPr>
        <w:t xml:space="preserve"> </w:t>
      </w:r>
      <w:r w:rsidRPr="00641640">
        <w:rPr>
          <w:rFonts w:ascii="Times New Roman" w:hAnsi="Times New Roman" w:cs="Times New Roman"/>
          <w:bCs/>
          <w:noProof/>
          <w:color w:val="000000" w:themeColor="text1"/>
          <w:sz w:val="24"/>
          <w:szCs w:val="24"/>
          <w:lang w:val="sq-AL"/>
        </w:rPr>
        <w:t>IPSIS</w:t>
      </w:r>
      <w:r w:rsidRPr="00641640">
        <w:rPr>
          <w:rFonts w:ascii="Times New Roman" w:hAnsi="Times New Roman" w:cs="Times New Roman"/>
          <w:noProof/>
          <w:color w:val="000000" w:themeColor="text1"/>
          <w:sz w:val="24"/>
          <w:szCs w:val="24"/>
          <w:lang w:val="sq-AL"/>
        </w:rPr>
        <w:t xml:space="preserve"> </w:t>
      </w:r>
      <w:r w:rsidR="00EF0180" w:rsidRPr="00641640">
        <w:rPr>
          <w:rFonts w:ascii="Times New Roman" w:hAnsi="Times New Roman" w:cs="Times New Roman"/>
          <w:noProof/>
          <w:color w:val="000000" w:themeColor="text1"/>
          <w:sz w:val="24"/>
          <w:szCs w:val="24"/>
          <w:lang w:val="sq-AL"/>
        </w:rPr>
        <w:t xml:space="preserve">do të mundësojë </w:t>
      </w:r>
      <w:r w:rsidRPr="00641640">
        <w:rPr>
          <w:rFonts w:ascii="Times New Roman" w:hAnsi="Times New Roman" w:cs="Times New Roman"/>
          <w:noProof/>
          <w:color w:val="000000" w:themeColor="text1"/>
          <w:sz w:val="24"/>
          <w:szCs w:val="24"/>
          <w:lang w:val="sq-AL"/>
        </w:rPr>
        <w:t>rritjen e transparencës, q</w:t>
      </w:r>
      <w:r w:rsidR="00F745D5" w:rsidRPr="00641640">
        <w:rPr>
          <w:rFonts w:ascii="Times New Roman" w:hAnsi="Times New Roman" w:cs="Times New Roman"/>
          <w:noProof/>
          <w:color w:val="000000" w:themeColor="text1"/>
          <w:sz w:val="24"/>
          <w:szCs w:val="24"/>
          <w:lang w:val="sq-AL"/>
        </w:rPr>
        <w:t>e</w:t>
      </w:r>
      <w:r w:rsidRPr="00641640">
        <w:rPr>
          <w:rFonts w:ascii="Times New Roman" w:hAnsi="Times New Roman" w:cs="Times New Roman"/>
          <w:noProof/>
          <w:color w:val="000000" w:themeColor="text1"/>
          <w:sz w:val="24"/>
          <w:szCs w:val="24"/>
          <w:lang w:val="sq-AL"/>
        </w:rPr>
        <w:t>ndrueshmërisë, efi</w:t>
      </w:r>
      <w:r w:rsidR="00663B1D" w:rsidRPr="00641640">
        <w:rPr>
          <w:rFonts w:ascii="Times New Roman" w:hAnsi="Times New Roman" w:cs="Times New Roman"/>
          <w:noProof/>
          <w:color w:val="000000" w:themeColor="text1"/>
          <w:sz w:val="24"/>
          <w:szCs w:val="24"/>
          <w:lang w:val="sq-AL"/>
        </w:rPr>
        <w:t>kasitetit</w:t>
      </w:r>
      <w:r w:rsidRPr="00641640">
        <w:rPr>
          <w:rFonts w:ascii="Times New Roman" w:hAnsi="Times New Roman" w:cs="Times New Roman"/>
          <w:noProof/>
          <w:color w:val="000000" w:themeColor="text1"/>
          <w:sz w:val="24"/>
          <w:szCs w:val="24"/>
          <w:lang w:val="sq-AL"/>
        </w:rPr>
        <w:t xml:space="preserve"> dhe efektivitetit në përdorimin e </w:t>
      </w:r>
      <w:r w:rsidR="00663B1D" w:rsidRPr="00641640">
        <w:rPr>
          <w:rFonts w:ascii="Times New Roman" w:hAnsi="Times New Roman" w:cs="Times New Roman"/>
          <w:noProof/>
          <w:color w:val="000000" w:themeColor="text1"/>
          <w:sz w:val="24"/>
          <w:szCs w:val="24"/>
          <w:lang w:val="sq-AL"/>
        </w:rPr>
        <w:t>burimeve</w:t>
      </w:r>
      <w:r w:rsidRPr="00641640">
        <w:rPr>
          <w:rFonts w:ascii="Times New Roman" w:hAnsi="Times New Roman" w:cs="Times New Roman"/>
          <w:noProof/>
          <w:color w:val="000000" w:themeColor="text1"/>
          <w:sz w:val="24"/>
          <w:szCs w:val="24"/>
          <w:lang w:val="sq-AL"/>
        </w:rPr>
        <w:t xml:space="preserve"> publike. </w:t>
      </w:r>
    </w:p>
    <w:p w14:paraId="226CE2B3" w14:textId="7CF99D49" w:rsidR="008D2EF4" w:rsidRPr="00641640" w:rsidRDefault="008D2EF4" w:rsidP="003A395D">
      <w:pPr>
        <w:spacing w:line="276" w:lineRule="auto"/>
        <w:jc w:val="both"/>
        <w:rPr>
          <w:rFonts w:ascii="Times New Roman" w:hAnsi="Times New Roman" w:cs="Times New Roman"/>
          <w:noProof/>
          <w:color w:val="000000" w:themeColor="text1"/>
          <w:sz w:val="24"/>
          <w:szCs w:val="24"/>
          <w:lang w:val="sq-AL"/>
        </w:rPr>
      </w:pPr>
      <w:r w:rsidRPr="00641640">
        <w:rPr>
          <w:rFonts w:ascii="Times New Roman" w:hAnsi="Times New Roman" w:cs="Times New Roman"/>
          <w:noProof/>
          <w:color w:val="000000" w:themeColor="text1"/>
          <w:sz w:val="24"/>
          <w:szCs w:val="24"/>
          <w:lang w:val="sq-AL"/>
        </w:rPr>
        <w:t>Lista Unike synon forcimin e lidhjes ndërmjet prioriteteve të qeverisë, Strategjisë Kombëtare për Zhvillim dhe Integrim Evropian 2022-2030, strategjive sektoriale e ndërsektoriale dhe Planit Ekonomik të Investimeve të Bashkimit Evropian për Ballkanin Perëndimor 2021-2027, me procesin e hartimit të Programit Buxhetor Afatmesëm. Gjithashtu, në kuadër të reformës së administratës publike, si një proces i domosdoshëm dhe i vazhdueshëm, i lidhur ngushtë me procesin e integrimit në Bash</w:t>
      </w:r>
      <w:r w:rsidR="00EF0180" w:rsidRPr="00641640">
        <w:rPr>
          <w:rFonts w:ascii="Times New Roman" w:hAnsi="Times New Roman" w:cs="Times New Roman"/>
          <w:noProof/>
          <w:color w:val="000000" w:themeColor="text1"/>
          <w:sz w:val="24"/>
          <w:szCs w:val="24"/>
          <w:lang w:val="sq-AL"/>
        </w:rPr>
        <w:t xml:space="preserve">kimin Evropian (BE), përditësimi i përvitshëm i listës do </w:t>
      </w:r>
      <w:r w:rsidRPr="00641640">
        <w:rPr>
          <w:rFonts w:ascii="Times New Roman" w:hAnsi="Times New Roman" w:cs="Times New Roman"/>
          <w:noProof/>
          <w:color w:val="000000" w:themeColor="text1"/>
          <w:sz w:val="24"/>
          <w:szCs w:val="24"/>
          <w:lang w:val="sq-AL"/>
        </w:rPr>
        <w:t>të sigurojë rritjen e transparencës dhe q</w:t>
      </w:r>
      <w:r w:rsidR="001D0C4D" w:rsidRPr="00641640">
        <w:rPr>
          <w:rFonts w:ascii="Times New Roman" w:hAnsi="Times New Roman" w:cs="Times New Roman"/>
          <w:noProof/>
          <w:color w:val="000000" w:themeColor="text1"/>
          <w:sz w:val="24"/>
          <w:szCs w:val="24"/>
          <w:lang w:val="sq-AL"/>
        </w:rPr>
        <w:t>e</w:t>
      </w:r>
      <w:r w:rsidRPr="00641640">
        <w:rPr>
          <w:rFonts w:ascii="Times New Roman" w:hAnsi="Times New Roman" w:cs="Times New Roman"/>
          <w:noProof/>
          <w:color w:val="000000" w:themeColor="text1"/>
          <w:sz w:val="24"/>
          <w:szCs w:val="24"/>
          <w:lang w:val="sq-AL"/>
        </w:rPr>
        <w:t>ndrueshmërisë, si dhe rritjen e efiçencës dhe efektivitetit në përdorimin e burimeve financiare publike.</w:t>
      </w:r>
    </w:p>
    <w:p w14:paraId="38A9F92B" w14:textId="0B8E2979" w:rsidR="0078270A" w:rsidRPr="00641640" w:rsidRDefault="00DD330F" w:rsidP="003A395D">
      <w:pPr>
        <w:spacing w:line="276" w:lineRule="auto"/>
        <w:jc w:val="both"/>
        <w:rPr>
          <w:rFonts w:ascii="Times New Roman" w:eastAsia="Times New Roman" w:hAnsi="Times New Roman" w:cs="Times New Roman"/>
          <w:noProof/>
          <w:sz w:val="24"/>
          <w:szCs w:val="24"/>
          <w:lang w:val="sq-AL"/>
        </w:rPr>
      </w:pPr>
      <w:r w:rsidRPr="00641640" w:rsidDel="001914E6">
        <w:rPr>
          <w:rFonts w:ascii="Times New Roman" w:hAnsi="Times New Roman" w:cs="Times New Roman"/>
          <w:noProof/>
          <w:color w:val="000000" w:themeColor="text1"/>
          <w:sz w:val="24"/>
          <w:szCs w:val="24"/>
          <w:lang w:val="sq-AL"/>
        </w:rPr>
        <w:lastRenderedPageBreak/>
        <w:t>Agjencia Shtetërore e Programimit Strategjik dhe Koordinimit të Ndihmës, n</w:t>
      </w:r>
      <w:r w:rsidR="0028287A" w:rsidRPr="00641640" w:rsidDel="001914E6">
        <w:rPr>
          <w:rFonts w:ascii="Times New Roman" w:hAnsi="Times New Roman" w:cs="Times New Roman"/>
          <w:noProof/>
          <w:color w:val="000000" w:themeColor="text1"/>
          <w:sz w:val="24"/>
          <w:szCs w:val="24"/>
          <w:lang w:val="sq-AL"/>
        </w:rPr>
        <w:t>ë</w:t>
      </w:r>
      <w:r w:rsidRPr="00641640" w:rsidDel="001914E6">
        <w:rPr>
          <w:rFonts w:ascii="Times New Roman" w:hAnsi="Times New Roman" w:cs="Times New Roman"/>
          <w:noProof/>
          <w:color w:val="000000" w:themeColor="text1"/>
          <w:sz w:val="24"/>
          <w:szCs w:val="24"/>
          <w:lang w:val="sq-AL"/>
        </w:rPr>
        <w:t xml:space="preserve"> pozicionin e institucionit p</w:t>
      </w:r>
      <w:r w:rsidR="0028287A" w:rsidRPr="00641640" w:rsidDel="001914E6">
        <w:rPr>
          <w:rFonts w:ascii="Times New Roman" w:hAnsi="Times New Roman" w:cs="Times New Roman"/>
          <w:noProof/>
          <w:color w:val="000000" w:themeColor="text1"/>
          <w:sz w:val="24"/>
          <w:szCs w:val="24"/>
          <w:lang w:val="sq-AL"/>
        </w:rPr>
        <w:t>ë</w:t>
      </w:r>
      <w:r w:rsidRPr="00641640" w:rsidDel="001914E6">
        <w:rPr>
          <w:rFonts w:ascii="Times New Roman" w:hAnsi="Times New Roman" w:cs="Times New Roman"/>
          <w:noProof/>
          <w:color w:val="000000" w:themeColor="text1"/>
          <w:sz w:val="24"/>
          <w:szCs w:val="24"/>
          <w:lang w:val="sq-AL"/>
        </w:rPr>
        <w:t>rgjegj</w:t>
      </w:r>
      <w:r w:rsidR="0028287A" w:rsidRPr="00641640" w:rsidDel="001914E6">
        <w:rPr>
          <w:rFonts w:ascii="Times New Roman" w:hAnsi="Times New Roman" w:cs="Times New Roman"/>
          <w:noProof/>
          <w:color w:val="000000" w:themeColor="text1"/>
          <w:sz w:val="24"/>
          <w:szCs w:val="24"/>
          <w:lang w:val="sq-AL"/>
        </w:rPr>
        <w:t>ë</w:t>
      </w:r>
      <w:r w:rsidRPr="00641640" w:rsidDel="001914E6">
        <w:rPr>
          <w:rFonts w:ascii="Times New Roman" w:hAnsi="Times New Roman" w:cs="Times New Roman"/>
          <w:noProof/>
          <w:color w:val="000000" w:themeColor="text1"/>
          <w:sz w:val="24"/>
          <w:szCs w:val="24"/>
          <w:lang w:val="sq-AL"/>
        </w:rPr>
        <w:t>s p</w:t>
      </w:r>
      <w:r w:rsidR="0028287A" w:rsidRPr="00641640" w:rsidDel="001914E6">
        <w:rPr>
          <w:rFonts w:ascii="Times New Roman" w:hAnsi="Times New Roman" w:cs="Times New Roman"/>
          <w:noProof/>
          <w:color w:val="000000" w:themeColor="text1"/>
          <w:sz w:val="24"/>
          <w:szCs w:val="24"/>
          <w:lang w:val="sq-AL"/>
        </w:rPr>
        <w:t>ë</w:t>
      </w:r>
      <w:r w:rsidRPr="00641640" w:rsidDel="001914E6">
        <w:rPr>
          <w:rFonts w:ascii="Times New Roman" w:hAnsi="Times New Roman" w:cs="Times New Roman"/>
          <w:noProof/>
          <w:color w:val="000000" w:themeColor="text1"/>
          <w:sz w:val="24"/>
          <w:szCs w:val="24"/>
          <w:lang w:val="sq-AL"/>
        </w:rPr>
        <w:t>r koordinimin e politikave dhe prioriteteve në përputhje me synimet kombëtare dhe globale, do t</w:t>
      </w:r>
      <w:r w:rsidR="0028287A" w:rsidRPr="00641640" w:rsidDel="001914E6">
        <w:rPr>
          <w:rFonts w:ascii="Times New Roman" w:hAnsi="Times New Roman" w:cs="Times New Roman"/>
          <w:noProof/>
          <w:color w:val="000000" w:themeColor="text1"/>
          <w:sz w:val="24"/>
          <w:szCs w:val="24"/>
          <w:lang w:val="sq-AL"/>
        </w:rPr>
        <w:t>ë</w:t>
      </w:r>
      <w:r w:rsidRPr="00641640" w:rsidDel="001914E6">
        <w:rPr>
          <w:rFonts w:ascii="Times New Roman" w:hAnsi="Times New Roman" w:cs="Times New Roman"/>
          <w:noProof/>
          <w:color w:val="000000" w:themeColor="text1"/>
          <w:sz w:val="24"/>
          <w:szCs w:val="24"/>
          <w:lang w:val="sq-AL"/>
        </w:rPr>
        <w:t xml:space="preserve"> punoj</w:t>
      </w:r>
      <w:r w:rsidR="0028287A" w:rsidRPr="00641640" w:rsidDel="001914E6">
        <w:rPr>
          <w:rFonts w:ascii="Times New Roman" w:hAnsi="Times New Roman" w:cs="Times New Roman"/>
          <w:noProof/>
          <w:color w:val="000000" w:themeColor="text1"/>
          <w:sz w:val="24"/>
          <w:szCs w:val="24"/>
          <w:lang w:val="sq-AL"/>
        </w:rPr>
        <w:t>ë</w:t>
      </w:r>
      <w:r w:rsidRPr="00641640" w:rsidDel="001914E6">
        <w:rPr>
          <w:rFonts w:ascii="Times New Roman" w:hAnsi="Times New Roman" w:cs="Times New Roman"/>
          <w:noProof/>
          <w:color w:val="000000" w:themeColor="text1"/>
          <w:sz w:val="24"/>
          <w:szCs w:val="24"/>
          <w:lang w:val="sq-AL"/>
        </w:rPr>
        <w:t xml:space="preserve"> p</w:t>
      </w:r>
      <w:r w:rsidR="0028287A" w:rsidRPr="00641640" w:rsidDel="001914E6">
        <w:rPr>
          <w:rFonts w:ascii="Times New Roman" w:hAnsi="Times New Roman" w:cs="Times New Roman"/>
          <w:noProof/>
          <w:color w:val="000000" w:themeColor="text1"/>
          <w:sz w:val="24"/>
          <w:szCs w:val="24"/>
          <w:lang w:val="sq-AL"/>
        </w:rPr>
        <w:t>ë</w:t>
      </w:r>
      <w:r w:rsidRPr="00641640" w:rsidDel="001914E6">
        <w:rPr>
          <w:rFonts w:ascii="Times New Roman" w:hAnsi="Times New Roman" w:cs="Times New Roman"/>
          <w:noProof/>
          <w:color w:val="000000" w:themeColor="text1"/>
          <w:sz w:val="24"/>
          <w:szCs w:val="24"/>
          <w:lang w:val="sq-AL"/>
        </w:rPr>
        <w:t>r t</w:t>
      </w:r>
      <w:r w:rsidR="0028287A" w:rsidRPr="00641640" w:rsidDel="001914E6">
        <w:rPr>
          <w:rFonts w:ascii="Times New Roman" w:hAnsi="Times New Roman" w:cs="Times New Roman"/>
          <w:noProof/>
          <w:color w:val="000000" w:themeColor="text1"/>
          <w:sz w:val="24"/>
          <w:szCs w:val="24"/>
          <w:lang w:val="sq-AL"/>
        </w:rPr>
        <w:t>ë</w:t>
      </w:r>
      <w:r w:rsidRPr="00641640" w:rsidDel="001914E6">
        <w:rPr>
          <w:rFonts w:ascii="Times New Roman" w:hAnsi="Times New Roman" w:cs="Times New Roman"/>
          <w:noProof/>
          <w:color w:val="000000" w:themeColor="text1"/>
          <w:sz w:val="24"/>
          <w:szCs w:val="24"/>
          <w:lang w:val="sq-AL"/>
        </w:rPr>
        <w:t xml:space="preserve"> përmirësuar mekanizmat e qasjes s</w:t>
      </w:r>
      <w:r w:rsidR="001D0C4D" w:rsidRPr="00641640">
        <w:rPr>
          <w:rFonts w:ascii="Times New Roman" w:hAnsi="Times New Roman" w:cs="Times New Roman"/>
          <w:noProof/>
          <w:color w:val="000000" w:themeColor="text1"/>
          <w:sz w:val="24"/>
          <w:szCs w:val="24"/>
          <w:lang w:val="sq-AL"/>
        </w:rPr>
        <w:t>ë</w:t>
      </w:r>
      <w:r w:rsidRPr="00641640" w:rsidDel="001914E6">
        <w:rPr>
          <w:rFonts w:ascii="Times New Roman" w:hAnsi="Times New Roman" w:cs="Times New Roman"/>
          <w:noProof/>
          <w:color w:val="000000" w:themeColor="text1"/>
          <w:sz w:val="24"/>
          <w:szCs w:val="24"/>
          <w:lang w:val="sq-AL"/>
        </w:rPr>
        <w:t xml:space="preserve"> gjerë sektoriale/ndërsektoriale dhe planifikimin dhe alokimin e burimeve për arritjen e objektivave kombëtare.</w:t>
      </w:r>
      <w:r w:rsidR="00AD163A" w:rsidRPr="00641640">
        <w:rPr>
          <w:rFonts w:ascii="Times New Roman" w:hAnsi="Times New Roman" w:cs="Times New Roman"/>
          <w:noProof/>
          <w:color w:val="000000" w:themeColor="text1"/>
          <w:sz w:val="24"/>
          <w:szCs w:val="24"/>
          <w:lang w:val="sq-AL"/>
        </w:rPr>
        <w:t xml:space="preserve"> </w:t>
      </w:r>
      <w:r w:rsidR="00AD163A" w:rsidRPr="00641640">
        <w:rPr>
          <w:rFonts w:ascii="Times New Roman" w:eastAsia="Times New Roman" w:hAnsi="Times New Roman" w:cs="Times New Roman"/>
          <w:noProof/>
          <w:sz w:val="24"/>
          <w:szCs w:val="24"/>
          <w:lang w:val="sq-AL"/>
        </w:rPr>
        <w:t>Përmirësimi i kapaciteteve administrative për planifikimin dhe monitorimin e politikave mbetet një përparësi për të garantuar një qasje të koordinuar dhe profesionale në procesin e integrimit evropian.</w:t>
      </w:r>
    </w:p>
    <w:p w14:paraId="0AAFCC6E" w14:textId="77777777" w:rsidR="00287CEB" w:rsidRPr="00641640" w:rsidRDefault="00287CEB" w:rsidP="00F863ED">
      <w:pPr>
        <w:spacing w:after="0" w:line="276" w:lineRule="auto"/>
        <w:jc w:val="both"/>
        <w:rPr>
          <w:rFonts w:ascii="Times New Roman" w:eastAsia="Times New Roman" w:hAnsi="Times New Roman" w:cs="Times New Roman"/>
          <w:noProof/>
          <w:sz w:val="24"/>
          <w:szCs w:val="24"/>
          <w:lang w:val="sq-AL"/>
        </w:rPr>
      </w:pPr>
    </w:p>
    <w:p w14:paraId="420BBC29" w14:textId="5E4E6AE9" w:rsidR="00254816" w:rsidRPr="00641640" w:rsidRDefault="00835E6E" w:rsidP="00F863ED">
      <w:p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imes New Roman" w:hAnsi="Times New Roman" w:cs="Times New Roman"/>
          <w:b/>
          <w:bCs/>
          <w:noProof/>
          <w:sz w:val="24"/>
          <w:szCs w:val="24"/>
          <w:lang w:val="sq-AL"/>
        </w:rPr>
        <w:t>Rezultatet e pritshme nga zbatimi i masave që lidhen me Objektivin Specifik</w:t>
      </w:r>
    </w:p>
    <w:p w14:paraId="3E646C79" w14:textId="6E83210A" w:rsidR="00770164" w:rsidRPr="00641640" w:rsidRDefault="00D97116"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 xml:space="preserve">Objektivi Specifik 1.1, </w:t>
      </w:r>
      <w:r w:rsidR="001142AA" w:rsidRPr="00641640">
        <w:rPr>
          <w:rFonts w:ascii="Times New Roman" w:eastAsia="Times New Roman" w:hAnsi="Times New Roman" w:cs="Times New Roman"/>
          <w:noProof/>
          <w:sz w:val="24"/>
          <w:szCs w:val="24"/>
          <w:lang w:val="sq-AL"/>
        </w:rPr>
        <w:t>synon</w:t>
      </w:r>
      <w:r w:rsidRPr="00641640">
        <w:rPr>
          <w:rFonts w:ascii="Times New Roman" w:eastAsia="Times New Roman" w:hAnsi="Times New Roman" w:cs="Times New Roman"/>
          <w:noProof/>
          <w:sz w:val="24"/>
          <w:szCs w:val="24"/>
          <w:lang w:val="sq-AL"/>
        </w:rPr>
        <w:t xml:space="preserve"> t</w:t>
      </w:r>
      <w:r w:rsidR="0041509C"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 xml:space="preserve"> adresoj</w:t>
      </w:r>
      <w:r w:rsidR="0041509C"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 xml:space="preserve"> </w:t>
      </w:r>
      <w:r w:rsidR="001379F6" w:rsidRPr="00641640">
        <w:rPr>
          <w:rFonts w:ascii="Times New Roman" w:eastAsia="Times New Roman" w:hAnsi="Times New Roman" w:cs="Times New Roman"/>
          <w:noProof/>
          <w:sz w:val="24"/>
          <w:szCs w:val="24"/>
          <w:lang w:val="sq-AL"/>
        </w:rPr>
        <w:t>t</w:t>
      </w:r>
      <w:r w:rsidR="0041509C" w:rsidRPr="00641640">
        <w:rPr>
          <w:rFonts w:ascii="Times New Roman" w:eastAsia="Times New Roman" w:hAnsi="Times New Roman" w:cs="Times New Roman"/>
          <w:noProof/>
          <w:sz w:val="24"/>
          <w:szCs w:val="24"/>
          <w:lang w:val="sq-AL"/>
        </w:rPr>
        <w:t>ë</w:t>
      </w:r>
      <w:r w:rsidR="001379F6" w:rsidRPr="00641640">
        <w:rPr>
          <w:rFonts w:ascii="Times New Roman" w:eastAsia="Times New Roman" w:hAnsi="Times New Roman" w:cs="Times New Roman"/>
          <w:noProof/>
          <w:sz w:val="24"/>
          <w:szCs w:val="24"/>
          <w:lang w:val="sq-AL"/>
        </w:rPr>
        <w:t xml:space="preserve"> gjitha ato gjetje dhe rekomandime n</w:t>
      </w:r>
      <w:r w:rsidR="0041509C" w:rsidRPr="00641640">
        <w:rPr>
          <w:rFonts w:ascii="Times New Roman" w:eastAsia="Times New Roman" w:hAnsi="Times New Roman" w:cs="Times New Roman"/>
          <w:noProof/>
          <w:sz w:val="24"/>
          <w:szCs w:val="24"/>
          <w:lang w:val="sq-AL"/>
        </w:rPr>
        <w:t>ë</w:t>
      </w:r>
      <w:r w:rsidR="001379F6" w:rsidRPr="00641640">
        <w:rPr>
          <w:rFonts w:ascii="Times New Roman" w:eastAsia="Times New Roman" w:hAnsi="Times New Roman" w:cs="Times New Roman"/>
          <w:noProof/>
          <w:sz w:val="24"/>
          <w:szCs w:val="24"/>
          <w:lang w:val="sq-AL"/>
        </w:rPr>
        <w:t xml:space="preserve"> lidhje me planifikimin</w:t>
      </w:r>
      <w:r w:rsidR="00BE506A" w:rsidRPr="00641640">
        <w:rPr>
          <w:rFonts w:ascii="Times New Roman" w:eastAsia="Times New Roman" w:hAnsi="Times New Roman" w:cs="Times New Roman"/>
          <w:noProof/>
          <w:sz w:val="24"/>
          <w:szCs w:val="24"/>
          <w:lang w:val="sq-AL"/>
        </w:rPr>
        <w:t xml:space="preserve">, </w:t>
      </w:r>
      <w:r w:rsidR="00661CF2" w:rsidRPr="00641640">
        <w:rPr>
          <w:rFonts w:ascii="Times New Roman" w:eastAsia="Times New Roman" w:hAnsi="Times New Roman" w:cs="Times New Roman"/>
          <w:noProof/>
          <w:sz w:val="24"/>
          <w:szCs w:val="24"/>
          <w:lang w:val="sq-AL"/>
        </w:rPr>
        <w:t xml:space="preserve">koordinimin </w:t>
      </w:r>
      <w:r w:rsidR="00E676A9" w:rsidRPr="00641640">
        <w:rPr>
          <w:rFonts w:ascii="Times New Roman" w:eastAsia="Times New Roman" w:hAnsi="Times New Roman" w:cs="Times New Roman"/>
          <w:noProof/>
          <w:sz w:val="24"/>
          <w:szCs w:val="24"/>
          <w:lang w:val="sq-AL"/>
        </w:rPr>
        <w:t xml:space="preserve">dhe monitorimin </w:t>
      </w:r>
      <w:r w:rsidR="00661CF2" w:rsidRPr="00641640">
        <w:rPr>
          <w:rFonts w:ascii="Times New Roman" w:eastAsia="Times New Roman" w:hAnsi="Times New Roman" w:cs="Times New Roman"/>
          <w:noProof/>
          <w:sz w:val="24"/>
          <w:szCs w:val="24"/>
          <w:lang w:val="sq-AL"/>
        </w:rPr>
        <w:t>e politikave n</w:t>
      </w:r>
      <w:r w:rsidR="0041509C" w:rsidRPr="00641640">
        <w:rPr>
          <w:rFonts w:ascii="Times New Roman" w:eastAsia="Times New Roman" w:hAnsi="Times New Roman" w:cs="Times New Roman"/>
          <w:noProof/>
          <w:sz w:val="24"/>
          <w:szCs w:val="24"/>
          <w:lang w:val="sq-AL"/>
        </w:rPr>
        <w:t>ë</w:t>
      </w:r>
      <w:r w:rsidR="00661CF2" w:rsidRPr="00641640">
        <w:rPr>
          <w:rFonts w:ascii="Times New Roman" w:eastAsia="Times New Roman" w:hAnsi="Times New Roman" w:cs="Times New Roman"/>
          <w:noProof/>
          <w:sz w:val="24"/>
          <w:szCs w:val="24"/>
          <w:lang w:val="sq-AL"/>
        </w:rPr>
        <w:t xml:space="preserve"> nivel komb</w:t>
      </w:r>
      <w:r w:rsidR="0041509C" w:rsidRPr="00641640">
        <w:rPr>
          <w:rFonts w:ascii="Times New Roman" w:eastAsia="Times New Roman" w:hAnsi="Times New Roman" w:cs="Times New Roman"/>
          <w:noProof/>
          <w:sz w:val="24"/>
          <w:szCs w:val="24"/>
          <w:lang w:val="sq-AL"/>
        </w:rPr>
        <w:t>ë</w:t>
      </w:r>
      <w:r w:rsidR="00661CF2" w:rsidRPr="00641640">
        <w:rPr>
          <w:rFonts w:ascii="Times New Roman" w:eastAsia="Times New Roman" w:hAnsi="Times New Roman" w:cs="Times New Roman"/>
          <w:noProof/>
          <w:sz w:val="24"/>
          <w:szCs w:val="24"/>
          <w:lang w:val="sq-AL"/>
        </w:rPr>
        <w:t>tar</w:t>
      </w:r>
      <w:r w:rsidR="00800D98" w:rsidRPr="00641640">
        <w:rPr>
          <w:rFonts w:ascii="Times New Roman" w:eastAsia="Times New Roman" w:hAnsi="Times New Roman" w:cs="Times New Roman"/>
          <w:noProof/>
          <w:sz w:val="24"/>
          <w:szCs w:val="24"/>
          <w:lang w:val="sq-AL"/>
        </w:rPr>
        <w:t xml:space="preserve"> </w:t>
      </w:r>
      <w:r w:rsidR="007F0E44" w:rsidRPr="00641640">
        <w:rPr>
          <w:rFonts w:ascii="Times New Roman" w:eastAsia="Times New Roman" w:hAnsi="Times New Roman" w:cs="Times New Roman"/>
          <w:noProof/>
          <w:sz w:val="24"/>
          <w:szCs w:val="24"/>
          <w:lang w:val="sq-AL"/>
        </w:rPr>
        <w:t>p</w:t>
      </w:r>
      <w:r w:rsidR="001142AA" w:rsidRPr="00641640">
        <w:rPr>
          <w:rFonts w:ascii="Times New Roman" w:eastAsia="Times New Roman" w:hAnsi="Times New Roman" w:cs="Times New Roman"/>
          <w:noProof/>
          <w:sz w:val="24"/>
          <w:szCs w:val="24"/>
          <w:lang w:val="sq-AL"/>
        </w:rPr>
        <w:t>ë</w:t>
      </w:r>
      <w:r w:rsidR="007F0E44" w:rsidRPr="00641640">
        <w:rPr>
          <w:rFonts w:ascii="Times New Roman" w:eastAsia="Times New Roman" w:hAnsi="Times New Roman" w:cs="Times New Roman"/>
          <w:noProof/>
          <w:sz w:val="24"/>
          <w:szCs w:val="24"/>
          <w:lang w:val="sq-AL"/>
        </w:rPr>
        <w:t>rmes</w:t>
      </w:r>
      <w:r w:rsidR="00800D98" w:rsidRPr="00641640">
        <w:rPr>
          <w:rFonts w:ascii="Times New Roman" w:eastAsia="Times New Roman" w:hAnsi="Times New Roman" w:cs="Times New Roman"/>
          <w:noProof/>
          <w:sz w:val="24"/>
          <w:szCs w:val="24"/>
          <w:lang w:val="sq-AL"/>
        </w:rPr>
        <w:t xml:space="preserve"> nj</w:t>
      </w:r>
      <w:r w:rsidR="0041509C" w:rsidRPr="00641640">
        <w:rPr>
          <w:rFonts w:ascii="Times New Roman" w:eastAsia="Times New Roman" w:hAnsi="Times New Roman" w:cs="Times New Roman"/>
          <w:noProof/>
          <w:sz w:val="24"/>
          <w:szCs w:val="24"/>
          <w:lang w:val="sq-AL"/>
        </w:rPr>
        <w:t>ë</w:t>
      </w:r>
      <w:r w:rsidR="00800D98" w:rsidRPr="00641640">
        <w:rPr>
          <w:rFonts w:ascii="Times New Roman" w:eastAsia="Times New Roman" w:hAnsi="Times New Roman" w:cs="Times New Roman"/>
          <w:noProof/>
          <w:sz w:val="24"/>
          <w:szCs w:val="24"/>
          <w:lang w:val="sq-AL"/>
        </w:rPr>
        <w:t xml:space="preserve"> qasje t</w:t>
      </w:r>
      <w:r w:rsidR="0041509C" w:rsidRPr="00641640">
        <w:rPr>
          <w:rFonts w:ascii="Times New Roman" w:eastAsia="Times New Roman" w:hAnsi="Times New Roman" w:cs="Times New Roman"/>
          <w:noProof/>
          <w:sz w:val="24"/>
          <w:szCs w:val="24"/>
          <w:lang w:val="sq-AL"/>
        </w:rPr>
        <w:t>ë</w:t>
      </w:r>
      <w:r w:rsidR="00800D98" w:rsidRPr="00641640">
        <w:rPr>
          <w:rFonts w:ascii="Times New Roman" w:eastAsia="Times New Roman" w:hAnsi="Times New Roman" w:cs="Times New Roman"/>
          <w:noProof/>
          <w:sz w:val="24"/>
          <w:szCs w:val="24"/>
          <w:lang w:val="sq-AL"/>
        </w:rPr>
        <w:t xml:space="preserve"> integruar </w:t>
      </w:r>
      <w:r w:rsidR="00A424AF" w:rsidRPr="00641640">
        <w:rPr>
          <w:rFonts w:ascii="Times New Roman" w:eastAsia="Times New Roman" w:hAnsi="Times New Roman" w:cs="Times New Roman"/>
          <w:noProof/>
          <w:sz w:val="24"/>
          <w:szCs w:val="24"/>
          <w:lang w:val="sq-AL"/>
        </w:rPr>
        <w:t>dhe t</w:t>
      </w:r>
      <w:r w:rsidR="0041509C" w:rsidRPr="00641640">
        <w:rPr>
          <w:rFonts w:ascii="Times New Roman" w:eastAsia="Times New Roman" w:hAnsi="Times New Roman" w:cs="Times New Roman"/>
          <w:noProof/>
          <w:sz w:val="24"/>
          <w:szCs w:val="24"/>
          <w:lang w:val="sq-AL"/>
        </w:rPr>
        <w:t>ë</w:t>
      </w:r>
      <w:r w:rsidR="00A424AF" w:rsidRPr="00641640">
        <w:rPr>
          <w:rFonts w:ascii="Times New Roman" w:eastAsia="Times New Roman" w:hAnsi="Times New Roman" w:cs="Times New Roman"/>
          <w:noProof/>
          <w:sz w:val="24"/>
          <w:szCs w:val="24"/>
          <w:lang w:val="sq-AL"/>
        </w:rPr>
        <w:t xml:space="preserve"> bashk</w:t>
      </w:r>
      <w:r w:rsidR="0041509C" w:rsidRPr="00641640">
        <w:rPr>
          <w:rFonts w:ascii="Times New Roman" w:eastAsia="Times New Roman" w:hAnsi="Times New Roman" w:cs="Times New Roman"/>
          <w:noProof/>
          <w:sz w:val="24"/>
          <w:szCs w:val="24"/>
          <w:lang w:val="sq-AL"/>
        </w:rPr>
        <w:t>ë</w:t>
      </w:r>
      <w:r w:rsidR="00A424AF" w:rsidRPr="00641640">
        <w:rPr>
          <w:rFonts w:ascii="Times New Roman" w:eastAsia="Times New Roman" w:hAnsi="Times New Roman" w:cs="Times New Roman"/>
          <w:noProof/>
          <w:sz w:val="24"/>
          <w:szCs w:val="24"/>
          <w:lang w:val="sq-AL"/>
        </w:rPr>
        <w:t>punimit efektiv nd</w:t>
      </w:r>
      <w:r w:rsidR="0041509C" w:rsidRPr="00641640">
        <w:rPr>
          <w:rFonts w:ascii="Times New Roman" w:eastAsia="Times New Roman" w:hAnsi="Times New Roman" w:cs="Times New Roman"/>
          <w:noProof/>
          <w:sz w:val="24"/>
          <w:szCs w:val="24"/>
          <w:lang w:val="sq-AL"/>
        </w:rPr>
        <w:t>ë</w:t>
      </w:r>
      <w:r w:rsidR="00A424AF" w:rsidRPr="00641640">
        <w:rPr>
          <w:rFonts w:ascii="Times New Roman" w:eastAsia="Times New Roman" w:hAnsi="Times New Roman" w:cs="Times New Roman"/>
          <w:noProof/>
          <w:sz w:val="24"/>
          <w:szCs w:val="24"/>
          <w:lang w:val="sq-AL"/>
        </w:rPr>
        <w:t>rsektorial</w:t>
      </w:r>
      <w:r w:rsidR="00A43A82" w:rsidRPr="00641640">
        <w:rPr>
          <w:rFonts w:ascii="Times New Roman" w:eastAsia="Times New Roman" w:hAnsi="Times New Roman" w:cs="Times New Roman"/>
          <w:noProof/>
          <w:sz w:val="24"/>
          <w:szCs w:val="24"/>
          <w:lang w:val="sq-AL"/>
        </w:rPr>
        <w:t>.</w:t>
      </w:r>
      <w:r w:rsidR="001142AA" w:rsidRPr="00641640">
        <w:rPr>
          <w:rFonts w:ascii="Times New Roman" w:eastAsia="Times New Roman" w:hAnsi="Times New Roman" w:cs="Times New Roman"/>
          <w:noProof/>
          <w:sz w:val="24"/>
          <w:szCs w:val="24"/>
          <w:lang w:val="sq-AL"/>
        </w:rPr>
        <w:t xml:space="preserve"> Në këtë kuadër, rezultatet e </w:t>
      </w:r>
      <w:r w:rsidR="00770164" w:rsidRPr="00641640">
        <w:rPr>
          <w:rFonts w:ascii="Times New Roman" w:eastAsia="Times New Roman" w:hAnsi="Times New Roman" w:cs="Times New Roman"/>
          <w:noProof/>
          <w:sz w:val="24"/>
          <w:szCs w:val="24"/>
          <w:lang w:val="sq-AL"/>
        </w:rPr>
        <w:t>pritshme p</w:t>
      </w:r>
      <w:r w:rsidR="0041509C" w:rsidRPr="00641640">
        <w:rPr>
          <w:rFonts w:ascii="Times New Roman" w:eastAsia="Times New Roman" w:hAnsi="Times New Roman" w:cs="Times New Roman"/>
          <w:noProof/>
          <w:sz w:val="24"/>
          <w:szCs w:val="24"/>
          <w:lang w:val="sq-AL"/>
        </w:rPr>
        <w:t>ë</w:t>
      </w:r>
      <w:r w:rsidR="00770164" w:rsidRPr="00641640">
        <w:rPr>
          <w:rFonts w:ascii="Times New Roman" w:eastAsia="Times New Roman" w:hAnsi="Times New Roman" w:cs="Times New Roman"/>
          <w:noProof/>
          <w:sz w:val="24"/>
          <w:szCs w:val="24"/>
          <w:lang w:val="sq-AL"/>
        </w:rPr>
        <w:t>r k</w:t>
      </w:r>
      <w:r w:rsidR="0041509C" w:rsidRPr="00641640">
        <w:rPr>
          <w:rFonts w:ascii="Times New Roman" w:eastAsia="Times New Roman" w:hAnsi="Times New Roman" w:cs="Times New Roman"/>
          <w:noProof/>
          <w:sz w:val="24"/>
          <w:szCs w:val="24"/>
          <w:lang w:val="sq-AL"/>
        </w:rPr>
        <w:t>ë</w:t>
      </w:r>
      <w:r w:rsidR="00770164" w:rsidRPr="00641640">
        <w:rPr>
          <w:rFonts w:ascii="Times New Roman" w:eastAsia="Times New Roman" w:hAnsi="Times New Roman" w:cs="Times New Roman"/>
          <w:noProof/>
          <w:sz w:val="24"/>
          <w:szCs w:val="24"/>
          <w:lang w:val="sq-AL"/>
        </w:rPr>
        <w:t>t</w:t>
      </w:r>
      <w:r w:rsidR="0041509C" w:rsidRPr="00641640">
        <w:rPr>
          <w:rFonts w:ascii="Times New Roman" w:eastAsia="Times New Roman" w:hAnsi="Times New Roman" w:cs="Times New Roman"/>
          <w:noProof/>
          <w:sz w:val="24"/>
          <w:szCs w:val="24"/>
          <w:lang w:val="sq-AL"/>
        </w:rPr>
        <w:t>ë</w:t>
      </w:r>
      <w:r w:rsidR="00770164" w:rsidRPr="00641640">
        <w:rPr>
          <w:rFonts w:ascii="Times New Roman" w:eastAsia="Times New Roman" w:hAnsi="Times New Roman" w:cs="Times New Roman"/>
          <w:noProof/>
          <w:sz w:val="24"/>
          <w:szCs w:val="24"/>
          <w:lang w:val="sq-AL"/>
        </w:rPr>
        <w:t xml:space="preserve"> objektiv p</w:t>
      </w:r>
      <w:r w:rsidR="0041509C" w:rsidRPr="00641640">
        <w:rPr>
          <w:rFonts w:ascii="Times New Roman" w:eastAsia="Times New Roman" w:hAnsi="Times New Roman" w:cs="Times New Roman"/>
          <w:noProof/>
          <w:sz w:val="24"/>
          <w:szCs w:val="24"/>
          <w:lang w:val="sq-AL"/>
        </w:rPr>
        <w:t>ë</w:t>
      </w:r>
      <w:r w:rsidR="00770164" w:rsidRPr="00641640">
        <w:rPr>
          <w:rFonts w:ascii="Times New Roman" w:eastAsia="Times New Roman" w:hAnsi="Times New Roman" w:cs="Times New Roman"/>
          <w:noProof/>
          <w:sz w:val="24"/>
          <w:szCs w:val="24"/>
          <w:lang w:val="sq-AL"/>
        </w:rPr>
        <w:t>rmend</w:t>
      </w:r>
      <w:r w:rsidR="00CB732C" w:rsidRPr="00641640">
        <w:rPr>
          <w:rFonts w:ascii="Times New Roman" w:eastAsia="Times New Roman" w:hAnsi="Times New Roman" w:cs="Times New Roman"/>
          <w:noProof/>
          <w:sz w:val="24"/>
          <w:szCs w:val="24"/>
          <w:lang w:val="sq-AL"/>
        </w:rPr>
        <w:t>im si më poshtë</w:t>
      </w:r>
      <w:r w:rsidR="00770164" w:rsidRPr="00641640">
        <w:rPr>
          <w:rFonts w:ascii="Times New Roman" w:eastAsia="Times New Roman" w:hAnsi="Times New Roman" w:cs="Times New Roman"/>
          <w:noProof/>
          <w:sz w:val="24"/>
          <w:szCs w:val="24"/>
          <w:lang w:val="sq-AL"/>
        </w:rPr>
        <w:t>:</w:t>
      </w:r>
    </w:p>
    <w:p w14:paraId="6B7CB4D0" w14:textId="70E88991" w:rsidR="00770164" w:rsidRPr="00641640" w:rsidRDefault="00770164" w:rsidP="00F863ED">
      <w:pPr>
        <w:spacing w:line="276" w:lineRule="auto"/>
        <w:jc w:val="both"/>
        <w:rPr>
          <w:rFonts w:ascii="Times New Roman" w:eastAsiaTheme="minorHAnsi"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1:</w:t>
      </w:r>
      <w:r w:rsidR="0013298B" w:rsidRPr="00641640">
        <w:rPr>
          <w:rFonts w:ascii="Times New Roman" w:eastAsia="Times New Roman" w:hAnsi="Times New Roman" w:cs="Times New Roman"/>
          <w:noProof/>
          <w:sz w:val="24"/>
          <w:szCs w:val="24"/>
          <w:lang w:val="sq-AL"/>
        </w:rPr>
        <w:t xml:space="preserve"> </w:t>
      </w:r>
      <w:r w:rsidR="0013298B" w:rsidRPr="00641640">
        <w:rPr>
          <w:rFonts w:ascii="Times New Roman" w:eastAsiaTheme="minorHAnsi" w:hAnsi="Times New Roman" w:cs="Times New Roman"/>
          <w:noProof/>
          <w:sz w:val="24"/>
          <w:szCs w:val="24"/>
          <w:lang w:val="sq-AL"/>
        </w:rPr>
        <w:t>Strukturat e ngritura të riorganizuara, të thjeshtuara dhe funksionale</w:t>
      </w:r>
      <w:r w:rsidR="009F67BE" w:rsidRPr="00641640">
        <w:rPr>
          <w:rFonts w:ascii="Times New Roman" w:eastAsiaTheme="minorHAnsi" w:hAnsi="Times New Roman" w:cs="Times New Roman"/>
          <w:noProof/>
          <w:sz w:val="24"/>
          <w:szCs w:val="24"/>
          <w:lang w:val="sq-AL"/>
        </w:rPr>
        <w:t xml:space="preserve"> p</w:t>
      </w:r>
      <w:r w:rsidR="0041509C" w:rsidRPr="00641640">
        <w:rPr>
          <w:rFonts w:ascii="Times New Roman" w:eastAsiaTheme="minorHAnsi" w:hAnsi="Times New Roman" w:cs="Times New Roman"/>
          <w:noProof/>
          <w:sz w:val="24"/>
          <w:szCs w:val="24"/>
          <w:lang w:val="sq-AL"/>
        </w:rPr>
        <w:t>ë</w:t>
      </w:r>
      <w:r w:rsidR="009F67BE" w:rsidRPr="00641640">
        <w:rPr>
          <w:rFonts w:ascii="Times New Roman" w:eastAsiaTheme="minorHAnsi" w:hAnsi="Times New Roman" w:cs="Times New Roman"/>
          <w:noProof/>
          <w:sz w:val="24"/>
          <w:szCs w:val="24"/>
          <w:lang w:val="sq-AL"/>
        </w:rPr>
        <w:t>r hartimin dhe monitorimin e politikave.</w:t>
      </w:r>
    </w:p>
    <w:p w14:paraId="1B22140A" w14:textId="2A84CE47" w:rsidR="0013298B" w:rsidRPr="00641640" w:rsidRDefault="0013298B" w:rsidP="00F863ED">
      <w:pPr>
        <w:spacing w:line="276" w:lineRule="auto"/>
        <w:jc w:val="both"/>
        <w:rPr>
          <w:rFonts w:ascii="Times New Roman" w:eastAsiaTheme="minorHAnsi" w:hAnsi="Times New Roman" w:cs="Times New Roman"/>
          <w:bCs/>
          <w:noProof/>
          <w:sz w:val="24"/>
          <w:szCs w:val="24"/>
          <w:lang w:val="sq-AL"/>
        </w:rPr>
      </w:pPr>
      <w:r w:rsidRPr="00641640">
        <w:rPr>
          <w:rFonts w:ascii="Times New Roman" w:eastAsia="Times New Roman" w:hAnsi="Times New Roman" w:cs="Times New Roman"/>
          <w:b/>
          <w:bCs/>
          <w:noProof/>
          <w:sz w:val="24"/>
          <w:szCs w:val="24"/>
          <w:lang w:val="sq-AL"/>
        </w:rPr>
        <w:t>Rezultati</w:t>
      </w:r>
      <w:r w:rsidR="00065553" w:rsidRPr="00641640">
        <w:rPr>
          <w:rFonts w:ascii="Times New Roman" w:eastAsia="Times New Roman" w:hAnsi="Times New Roman" w:cs="Times New Roman"/>
          <w:b/>
          <w:bCs/>
          <w:noProof/>
          <w:sz w:val="24"/>
          <w:szCs w:val="24"/>
          <w:lang w:val="sq-AL"/>
        </w:rPr>
        <w:t xml:space="preserve"> 2:</w:t>
      </w:r>
      <w:r w:rsidR="00065553" w:rsidRPr="00641640">
        <w:rPr>
          <w:rFonts w:ascii="Times New Roman" w:eastAsia="Times New Roman" w:hAnsi="Times New Roman" w:cs="Times New Roman"/>
          <w:noProof/>
          <w:sz w:val="24"/>
          <w:szCs w:val="24"/>
          <w:lang w:val="sq-AL"/>
        </w:rPr>
        <w:t xml:space="preserve"> </w:t>
      </w:r>
      <w:r w:rsidR="00B14A9C" w:rsidRPr="00641640">
        <w:rPr>
          <w:rFonts w:ascii="Times New Roman" w:eastAsiaTheme="minorHAnsi" w:hAnsi="Times New Roman" w:cs="Times New Roman"/>
          <w:bCs/>
          <w:noProof/>
          <w:sz w:val="24"/>
          <w:szCs w:val="24"/>
          <w:lang w:val="sq-AL"/>
        </w:rPr>
        <w:t xml:space="preserve">Hartimi dhe monitorimi i </w:t>
      </w:r>
      <w:r w:rsidR="00C63103" w:rsidRPr="00641640">
        <w:rPr>
          <w:rFonts w:ascii="Times New Roman" w:eastAsiaTheme="minorHAnsi" w:hAnsi="Times New Roman" w:cs="Times New Roman"/>
          <w:bCs/>
          <w:noProof/>
          <w:sz w:val="24"/>
          <w:szCs w:val="24"/>
          <w:lang w:val="sq-AL"/>
        </w:rPr>
        <w:t>dokumentave strategjik</w:t>
      </w:r>
      <w:r w:rsidR="0041509C" w:rsidRPr="00641640">
        <w:rPr>
          <w:rFonts w:ascii="Times New Roman" w:eastAsiaTheme="minorHAnsi" w:hAnsi="Times New Roman" w:cs="Times New Roman"/>
          <w:bCs/>
          <w:noProof/>
          <w:sz w:val="24"/>
          <w:szCs w:val="24"/>
          <w:lang w:val="sq-AL"/>
        </w:rPr>
        <w:t>ë</w:t>
      </w:r>
      <w:r w:rsidR="00C63103" w:rsidRPr="00641640">
        <w:rPr>
          <w:rFonts w:ascii="Times New Roman" w:eastAsiaTheme="minorHAnsi" w:hAnsi="Times New Roman" w:cs="Times New Roman"/>
          <w:bCs/>
          <w:noProof/>
          <w:sz w:val="24"/>
          <w:szCs w:val="24"/>
          <w:lang w:val="sq-AL"/>
        </w:rPr>
        <w:t xml:space="preserve"> n</w:t>
      </w:r>
      <w:r w:rsidR="0041509C" w:rsidRPr="00641640">
        <w:rPr>
          <w:rFonts w:ascii="Times New Roman" w:eastAsiaTheme="minorHAnsi" w:hAnsi="Times New Roman" w:cs="Times New Roman"/>
          <w:bCs/>
          <w:noProof/>
          <w:sz w:val="24"/>
          <w:szCs w:val="24"/>
          <w:lang w:val="sq-AL"/>
        </w:rPr>
        <w:t>ë</w:t>
      </w:r>
      <w:r w:rsidR="00C63103" w:rsidRPr="00641640">
        <w:rPr>
          <w:rFonts w:ascii="Times New Roman" w:eastAsiaTheme="minorHAnsi" w:hAnsi="Times New Roman" w:cs="Times New Roman"/>
          <w:bCs/>
          <w:noProof/>
          <w:sz w:val="24"/>
          <w:szCs w:val="24"/>
          <w:lang w:val="sq-AL"/>
        </w:rPr>
        <w:t xml:space="preserve"> p</w:t>
      </w:r>
      <w:r w:rsidR="0041509C" w:rsidRPr="00641640">
        <w:rPr>
          <w:rFonts w:ascii="Times New Roman" w:eastAsiaTheme="minorHAnsi" w:hAnsi="Times New Roman" w:cs="Times New Roman"/>
          <w:bCs/>
          <w:noProof/>
          <w:sz w:val="24"/>
          <w:szCs w:val="24"/>
          <w:lang w:val="sq-AL"/>
        </w:rPr>
        <w:t>ë</w:t>
      </w:r>
      <w:r w:rsidR="00C63103" w:rsidRPr="00641640">
        <w:rPr>
          <w:rFonts w:ascii="Times New Roman" w:eastAsiaTheme="minorHAnsi" w:hAnsi="Times New Roman" w:cs="Times New Roman"/>
          <w:bCs/>
          <w:noProof/>
          <w:sz w:val="24"/>
          <w:szCs w:val="24"/>
          <w:lang w:val="sq-AL"/>
        </w:rPr>
        <w:t>rputhje me metodologjin</w:t>
      </w:r>
      <w:r w:rsidR="0041509C" w:rsidRPr="00641640">
        <w:rPr>
          <w:rFonts w:ascii="Times New Roman" w:eastAsiaTheme="minorHAnsi" w:hAnsi="Times New Roman" w:cs="Times New Roman"/>
          <w:bCs/>
          <w:noProof/>
          <w:sz w:val="24"/>
          <w:szCs w:val="24"/>
          <w:lang w:val="sq-AL"/>
        </w:rPr>
        <w:t>ë</w:t>
      </w:r>
      <w:r w:rsidR="00C63103" w:rsidRPr="00641640">
        <w:rPr>
          <w:rFonts w:ascii="Times New Roman" w:eastAsiaTheme="minorHAnsi" w:hAnsi="Times New Roman" w:cs="Times New Roman"/>
          <w:bCs/>
          <w:noProof/>
          <w:sz w:val="24"/>
          <w:szCs w:val="24"/>
          <w:lang w:val="sq-AL"/>
        </w:rPr>
        <w:t xml:space="preserve"> dhe udh</w:t>
      </w:r>
      <w:r w:rsidR="0041509C" w:rsidRPr="00641640">
        <w:rPr>
          <w:rFonts w:ascii="Times New Roman" w:eastAsiaTheme="minorHAnsi" w:hAnsi="Times New Roman" w:cs="Times New Roman"/>
          <w:bCs/>
          <w:noProof/>
          <w:sz w:val="24"/>
          <w:szCs w:val="24"/>
          <w:lang w:val="sq-AL"/>
        </w:rPr>
        <w:t>ë</w:t>
      </w:r>
      <w:r w:rsidR="00C63103" w:rsidRPr="00641640">
        <w:rPr>
          <w:rFonts w:ascii="Times New Roman" w:eastAsiaTheme="minorHAnsi" w:hAnsi="Times New Roman" w:cs="Times New Roman"/>
          <w:bCs/>
          <w:noProof/>
          <w:sz w:val="24"/>
          <w:szCs w:val="24"/>
          <w:lang w:val="sq-AL"/>
        </w:rPr>
        <w:t>zimet e IPSIS</w:t>
      </w:r>
      <w:r w:rsidR="00816385" w:rsidRPr="00641640">
        <w:rPr>
          <w:rFonts w:ascii="Times New Roman" w:eastAsiaTheme="minorHAnsi" w:hAnsi="Times New Roman" w:cs="Times New Roman"/>
          <w:bCs/>
          <w:noProof/>
          <w:sz w:val="24"/>
          <w:szCs w:val="24"/>
          <w:lang w:val="sq-AL"/>
        </w:rPr>
        <w:t>.</w:t>
      </w:r>
    </w:p>
    <w:p w14:paraId="46BB4B7F" w14:textId="142E1C3A" w:rsidR="008915E2" w:rsidRPr="00641640" w:rsidRDefault="008915E2" w:rsidP="00F863ED">
      <w:pPr>
        <w:spacing w:line="276" w:lineRule="auto"/>
        <w:jc w:val="both"/>
        <w:rPr>
          <w:rFonts w:ascii="Times New Roman" w:eastAsiaTheme="minorHAnsi"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3:</w:t>
      </w:r>
      <w:r w:rsidRPr="00641640">
        <w:rPr>
          <w:rFonts w:ascii="Times New Roman" w:eastAsia="Times New Roman" w:hAnsi="Times New Roman" w:cs="Times New Roman"/>
          <w:noProof/>
          <w:sz w:val="24"/>
          <w:szCs w:val="24"/>
          <w:lang w:val="sq-AL"/>
        </w:rPr>
        <w:t xml:space="preserve"> </w:t>
      </w:r>
      <w:r w:rsidR="00504E9A" w:rsidRPr="00641640">
        <w:rPr>
          <w:rFonts w:ascii="Times New Roman" w:eastAsiaTheme="minorHAnsi" w:hAnsi="Times New Roman" w:cs="Times New Roman"/>
          <w:noProof/>
          <w:sz w:val="24"/>
          <w:szCs w:val="24"/>
          <w:lang w:val="sq-AL"/>
        </w:rPr>
        <w:t>Linj</w:t>
      </w:r>
      <w:r w:rsidR="0041509C" w:rsidRPr="00641640">
        <w:rPr>
          <w:rFonts w:ascii="Times New Roman" w:eastAsiaTheme="minorHAnsi" w:hAnsi="Times New Roman" w:cs="Times New Roman"/>
          <w:noProof/>
          <w:sz w:val="24"/>
          <w:szCs w:val="24"/>
          <w:lang w:val="sq-AL"/>
        </w:rPr>
        <w:t>ë</w:t>
      </w:r>
      <w:r w:rsidR="00504E9A" w:rsidRPr="00641640">
        <w:rPr>
          <w:rFonts w:ascii="Times New Roman" w:eastAsiaTheme="minorHAnsi" w:hAnsi="Times New Roman" w:cs="Times New Roman"/>
          <w:noProof/>
          <w:sz w:val="24"/>
          <w:szCs w:val="24"/>
          <w:lang w:val="sq-AL"/>
        </w:rPr>
        <w:t>zim</w:t>
      </w:r>
      <w:r w:rsidR="00696F2A" w:rsidRPr="00641640">
        <w:rPr>
          <w:rFonts w:ascii="Times New Roman" w:eastAsiaTheme="minorHAnsi" w:hAnsi="Times New Roman" w:cs="Times New Roman"/>
          <w:noProof/>
          <w:sz w:val="24"/>
          <w:szCs w:val="24"/>
          <w:lang w:val="sq-AL"/>
        </w:rPr>
        <w:t xml:space="preserve">i </w:t>
      </w:r>
      <w:r w:rsidR="002A5BE8" w:rsidRPr="00641640">
        <w:rPr>
          <w:rFonts w:ascii="Times New Roman" w:eastAsiaTheme="minorHAnsi" w:hAnsi="Times New Roman" w:cs="Times New Roman"/>
          <w:noProof/>
          <w:sz w:val="24"/>
          <w:szCs w:val="24"/>
          <w:lang w:val="sq-AL"/>
        </w:rPr>
        <w:t>mes</w:t>
      </w:r>
      <w:r w:rsidR="00504E9A" w:rsidRPr="00641640">
        <w:rPr>
          <w:rFonts w:ascii="Times New Roman" w:eastAsiaTheme="minorHAnsi" w:hAnsi="Times New Roman" w:cs="Times New Roman"/>
          <w:noProof/>
          <w:sz w:val="24"/>
          <w:szCs w:val="24"/>
          <w:lang w:val="sq-AL"/>
        </w:rPr>
        <w:t xml:space="preserve"> </w:t>
      </w:r>
      <w:r w:rsidR="00661EA3" w:rsidRPr="00641640">
        <w:rPr>
          <w:rFonts w:ascii="Times New Roman" w:eastAsiaTheme="minorHAnsi" w:hAnsi="Times New Roman" w:cs="Times New Roman"/>
          <w:noProof/>
          <w:sz w:val="24"/>
          <w:szCs w:val="24"/>
          <w:lang w:val="sq-AL"/>
        </w:rPr>
        <w:t>dokumentave strategjik</w:t>
      </w:r>
      <w:r w:rsidR="00C96E04" w:rsidRPr="00641640">
        <w:rPr>
          <w:rFonts w:ascii="Times New Roman" w:eastAsiaTheme="minorHAnsi" w:hAnsi="Times New Roman" w:cs="Times New Roman"/>
          <w:noProof/>
          <w:sz w:val="24"/>
          <w:szCs w:val="24"/>
          <w:lang w:val="sq-AL"/>
        </w:rPr>
        <w:t>ë</w:t>
      </w:r>
      <w:r w:rsidR="00661EA3" w:rsidRPr="00641640">
        <w:rPr>
          <w:rFonts w:ascii="Times New Roman" w:eastAsiaTheme="minorHAnsi" w:hAnsi="Times New Roman" w:cs="Times New Roman"/>
          <w:noProof/>
          <w:sz w:val="24"/>
          <w:szCs w:val="24"/>
          <w:lang w:val="sq-AL"/>
        </w:rPr>
        <w:t xml:space="preserve"> komb</w:t>
      </w:r>
      <w:r w:rsidR="0041509C" w:rsidRPr="00641640">
        <w:rPr>
          <w:rFonts w:ascii="Times New Roman" w:eastAsiaTheme="minorHAnsi" w:hAnsi="Times New Roman" w:cs="Times New Roman"/>
          <w:noProof/>
          <w:sz w:val="24"/>
          <w:szCs w:val="24"/>
          <w:lang w:val="sq-AL"/>
        </w:rPr>
        <w:t>ë</w:t>
      </w:r>
      <w:r w:rsidR="00661EA3" w:rsidRPr="00641640">
        <w:rPr>
          <w:rFonts w:ascii="Times New Roman" w:eastAsiaTheme="minorHAnsi" w:hAnsi="Times New Roman" w:cs="Times New Roman"/>
          <w:noProof/>
          <w:sz w:val="24"/>
          <w:szCs w:val="24"/>
          <w:lang w:val="sq-AL"/>
        </w:rPr>
        <w:t>tar</w:t>
      </w:r>
      <w:r w:rsidR="0041509C" w:rsidRPr="00641640">
        <w:rPr>
          <w:rFonts w:ascii="Times New Roman" w:eastAsiaTheme="minorHAnsi" w:hAnsi="Times New Roman" w:cs="Times New Roman"/>
          <w:noProof/>
          <w:sz w:val="24"/>
          <w:szCs w:val="24"/>
          <w:lang w:val="sq-AL"/>
        </w:rPr>
        <w:t>ë</w:t>
      </w:r>
      <w:r w:rsidR="00661EA3" w:rsidRPr="00641640">
        <w:rPr>
          <w:rFonts w:ascii="Times New Roman" w:eastAsiaTheme="minorHAnsi" w:hAnsi="Times New Roman" w:cs="Times New Roman"/>
          <w:noProof/>
          <w:sz w:val="24"/>
          <w:szCs w:val="24"/>
          <w:lang w:val="sq-AL"/>
        </w:rPr>
        <w:t>, refo</w:t>
      </w:r>
      <w:r w:rsidR="002A5BE8" w:rsidRPr="00641640">
        <w:rPr>
          <w:rFonts w:ascii="Times New Roman" w:eastAsiaTheme="minorHAnsi" w:hAnsi="Times New Roman" w:cs="Times New Roman"/>
          <w:noProof/>
          <w:sz w:val="24"/>
          <w:szCs w:val="24"/>
          <w:lang w:val="sq-AL"/>
        </w:rPr>
        <w:t>rmave ekonomike</w:t>
      </w:r>
      <w:r w:rsidR="00834BF8" w:rsidRPr="00641640">
        <w:rPr>
          <w:rFonts w:ascii="Times New Roman" w:eastAsiaTheme="minorHAnsi" w:hAnsi="Times New Roman" w:cs="Times New Roman"/>
          <w:noProof/>
          <w:sz w:val="24"/>
          <w:szCs w:val="24"/>
          <w:lang w:val="sq-AL"/>
        </w:rPr>
        <w:t>, PKIE dhe Dokumentit t</w:t>
      </w:r>
      <w:r w:rsidR="0041509C" w:rsidRPr="00641640">
        <w:rPr>
          <w:rFonts w:ascii="Times New Roman" w:eastAsiaTheme="minorHAnsi" w:hAnsi="Times New Roman" w:cs="Times New Roman"/>
          <w:noProof/>
          <w:sz w:val="24"/>
          <w:szCs w:val="24"/>
          <w:lang w:val="sq-AL"/>
        </w:rPr>
        <w:t>ë</w:t>
      </w:r>
      <w:r w:rsidR="00834BF8" w:rsidRPr="00641640">
        <w:rPr>
          <w:rFonts w:ascii="Times New Roman" w:eastAsiaTheme="minorHAnsi" w:hAnsi="Times New Roman" w:cs="Times New Roman"/>
          <w:noProof/>
          <w:sz w:val="24"/>
          <w:szCs w:val="24"/>
          <w:lang w:val="sq-AL"/>
        </w:rPr>
        <w:t xml:space="preserve"> Politikave Prioritare (DPP)</w:t>
      </w:r>
      <w:r w:rsidR="00AF7297" w:rsidRPr="00641640">
        <w:rPr>
          <w:rFonts w:ascii="Times New Roman" w:eastAsiaTheme="minorHAnsi" w:hAnsi="Times New Roman" w:cs="Times New Roman"/>
          <w:noProof/>
          <w:sz w:val="24"/>
          <w:szCs w:val="24"/>
          <w:lang w:val="sq-AL"/>
        </w:rPr>
        <w:t>.</w:t>
      </w:r>
    </w:p>
    <w:p w14:paraId="4D911833" w14:textId="660977BF" w:rsidR="001D20A7" w:rsidRPr="00641640" w:rsidRDefault="001D20A7"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4:</w:t>
      </w:r>
      <w:r w:rsidR="00CD6CBD" w:rsidRPr="00641640">
        <w:rPr>
          <w:rFonts w:ascii="Times New Roman" w:eastAsia="Times New Roman" w:hAnsi="Times New Roman" w:cs="Times New Roman"/>
          <w:b/>
          <w:bCs/>
          <w:noProof/>
          <w:sz w:val="24"/>
          <w:szCs w:val="24"/>
          <w:lang w:val="sq-AL"/>
        </w:rPr>
        <w:t xml:space="preserve"> </w:t>
      </w:r>
      <w:r w:rsidR="0024095C" w:rsidRPr="00641640">
        <w:rPr>
          <w:rFonts w:ascii="Times New Roman" w:hAnsi="Times New Roman" w:cs="Times New Roman"/>
          <w:bCs/>
          <w:noProof/>
          <w:sz w:val="24"/>
          <w:szCs w:val="24"/>
          <w:lang w:val="sq-AL"/>
        </w:rPr>
        <w:t>Linjëzimi i  dokumentave strategjikë sektorialë dhe ndërsektorialë me Objektivat e Zhvillimit të Q</w:t>
      </w:r>
      <w:r w:rsidR="00C96E04" w:rsidRPr="00641640">
        <w:rPr>
          <w:rFonts w:ascii="Times New Roman" w:hAnsi="Times New Roman" w:cs="Times New Roman"/>
          <w:bCs/>
          <w:noProof/>
          <w:sz w:val="24"/>
          <w:szCs w:val="24"/>
          <w:lang w:val="sq-AL"/>
        </w:rPr>
        <w:t>e</w:t>
      </w:r>
      <w:r w:rsidR="0024095C" w:rsidRPr="00641640">
        <w:rPr>
          <w:rFonts w:ascii="Times New Roman" w:hAnsi="Times New Roman" w:cs="Times New Roman"/>
          <w:bCs/>
          <w:noProof/>
          <w:sz w:val="24"/>
          <w:szCs w:val="24"/>
          <w:lang w:val="sq-AL"/>
        </w:rPr>
        <w:t>ndrueshëm (OZHQ)-të</w:t>
      </w:r>
      <w:r w:rsidR="00EE322C" w:rsidRPr="00641640">
        <w:rPr>
          <w:rFonts w:ascii="Times New Roman" w:eastAsiaTheme="minorHAnsi" w:hAnsi="Times New Roman" w:cs="Times New Roman"/>
          <w:bCs/>
          <w:noProof/>
          <w:sz w:val="24"/>
          <w:szCs w:val="24"/>
          <w:lang w:val="sq-AL"/>
        </w:rPr>
        <w:t xml:space="preserve"> dhe Agjendës 2030 të Kombeve të Bashkuara.</w:t>
      </w:r>
    </w:p>
    <w:p w14:paraId="27BA359B" w14:textId="184DA7E7" w:rsidR="00A80B9A" w:rsidRPr="00641640" w:rsidRDefault="0062050A"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kryesore:</w:t>
      </w:r>
      <w:r w:rsidRPr="00641640">
        <w:rPr>
          <w:rFonts w:ascii="Times New Roman" w:eastAsia="Times New Roman" w:hAnsi="Times New Roman" w:cs="Times New Roman"/>
          <w:noProof/>
          <w:sz w:val="24"/>
          <w:szCs w:val="24"/>
          <w:lang w:val="sq-AL"/>
        </w:rPr>
        <w:t xml:space="preserve"> </w:t>
      </w:r>
      <w:r w:rsidR="00495B11" w:rsidRPr="00641640">
        <w:rPr>
          <w:rFonts w:ascii="Times New Roman" w:eastAsia="Times New Roman" w:hAnsi="Times New Roman" w:cs="Times New Roman"/>
          <w:noProof/>
          <w:sz w:val="24"/>
          <w:szCs w:val="24"/>
          <w:lang w:val="sq-AL"/>
        </w:rPr>
        <w:t>Agjencia Shtetërore e Programimit Strategjik dhe Koordinimit të Ndihmës</w:t>
      </w:r>
      <w:r w:rsidR="0009500C">
        <w:rPr>
          <w:rFonts w:ascii="Times New Roman" w:eastAsia="Times New Roman" w:hAnsi="Times New Roman" w:cs="Times New Roman"/>
          <w:noProof/>
          <w:sz w:val="24"/>
          <w:szCs w:val="24"/>
          <w:lang w:val="sq-AL"/>
        </w:rPr>
        <w:t>.</w:t>
      </w:r>
    </w:p>
    <w:p w14:paraId="32672B18" w14:textId="6986D071" w:rsidR="00862C02" w:rsidRPr="00641640" w:rsidRDefault="0062050A"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kontributore:</w:t>
      </w:r>
      <w:r w:rsidRPr="00641640">
        <w:rPr>
          <w:rFonts w:ascii="Times New Roman" w:eastAsia="Times New Roman" w:hAnsi="Times New Roman" w:cs="Times New Roman"/>
          <w:noProof/>
          <w:sz w:val="24"/>
          <w:szCs w:val="24"/>
          <w:lang w:val="sq-AL"/>
        </w:rPr>
        <w:t xml:space="preserve"> Ministrit</w:t>
      </w:r>
      <w:r w:rsidR="0041509C"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 xml:space="preserve"> e linj</w:t>
      </w:r>
      <w:r w:rsidR="0041509C"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s</w:t>
      </w:r>
      <w:r w:rsidR="008D0DA9" w:rsidRPr="00641640">
        <w:rPr>
          <w:rFonts w:ascii="Times New Roman" w:eastAsia="Times New Roman" w:hAnsi="Times New Roman" w:cs="Times New Roman"/>
          <w:noProof/>
          <w:sz w:val="24"/>
          <w:szCs w:val="24"/>
          <w:lang w:val="sq-AL"/>
        </w:rPr>
        <w:t>, Shkolla Shqiptare e Administrat</w:t>
      </w:r>
      <w:r w:rsidR="0041509C" w:rsidRPr="00641640">
        <w:rPr>
          <w:rFonts w:ascii="Times New Roman" w:eastAsia="Times New Roman" w:hAnsi="Times New Roman" w:cs="Times New Roman"/>
          <w:noProof/>
          <w:sz w:val="24"/>
          <w:szCs w:val="24"/>
          <w:lang w:val="sq-AL"/>
        </w:rPr>
        <w:t>ë</w:t>
      </w:r>
      <w:r w:rsidR="008D0DA9" w:rsidRPr="00641640">
        <w:rPr>
          <w:rFonts w:ascii="Times New Roman" w:eastAsia="Times New Roman" w:hAnsi="Times New Roman" w:cs="Times New Roman"/>
          <w:noProof/>
          <w:sz w:val="24"/>
          <w:szCs w:val="24"/>
          <w:lang w:val="sq-AL"/>
        </w:rPr>
        <w:t>s Publike, AKSHI</w:t>
      </w:r>
      <w:r w:rsidR="00420BCE">
        <w:rPr>
          <w:rFonts w:ascii="Times New Roman" w:eastAsia="Times New Roman" w:hAnsi="Times New Roman" w:cs="Times New Roman"/>
          <w:noProof/>
          <w:sz w:val="24"/>
          <w:szCs w:val="24"/>
          <w:lang w:val="sq-AL"/>
        </w:rPr>
        <w:t>.</w:t>
      </w:r>
    </w:p>
    <w:p w14:paraId="55FB7850" w14:textId="77777777" w:rsidR="00287CEB" w:rsidRPr="00641640" w:rsidRDefault="00287CEB" w:rsidP="003A395D">
      <w:pPr>
        <w:spacing w:after="0" w:line="276" w:lineRule="auto"/>
        <w:jc w:val="both"/>
        <w:rPr>
          <w:rFonts w:ascii="Times New Roman" w:hAnsi="Times New Roman" w:cs="Times New Roman"/>
          <w:b/>
          <w:bCs/>
          <w:noProof/>
          <w:sz w:val="24"/>
          <w:szCs w:val="24"/>
          <w:lang w:val="sq-AL"/>
        </w:rPr>
      </w:pPr>
    </w:p>
    <w:p w14:paraId="510A2E69" w14:textId="4ED82B21" w:rsidR="00A80B9A" w:rsidRPr="00641640" w:rsidRDefault="00A80B9A"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 xml:space="preserve">Masat </w:t>
      </w:r>
      <w:r w:rsidR="00862C02" w:rsidRPr="00641640">
        <w:rPr>
          <w:rFonts w:ascii="Times New Roman" w:hAnsi="Times New Roman" w:cs="Times New Roman"/>
          <w:b/>
          <w:bCs/>
          <w:noProof/>
          <w:sz w:val="24"/>
          <w:szCs w:val="24"/>
          <w:lang w:val="sq-AL"/>
        </w:rPr>
        <w:t>dhe aktivitetet</w:t>
      </w:r>
    </w:p>
    <w:p w14:paraId="38FED151" w14:textId="6BD552E8" w:rsidR="001D50E9" w:rsidRPr="00641640" w:rsidRDefault="001D50E9"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Ky </w:t>
      </w:r>
      <w:r w:rsidR="003A3394" w:rsidRPr="00641640">
        <w:rPr>
          <w:rFonts w:ascii="Times New Roman" w:hAnsi="Times New Roman" w:cs="Times New Roman"/>
          <w:noProof/>
          <w:sz w:val="24"/>
          <w:szCs w:val="24"/>
          <w:lang w:val="sq-AL"/>
        </w:rPr>
        <w:t>o</w:t>
      </w:r>
      <w:r w:rsidRPr="00641640">
        <w:rPr>
          <w:rFonts w:ascii="Times New Roman" w:hAnsi="Times New Roman" w:cs="Times New Roman"/>
          <w:noProof/>
          <w:sz w:val="24"/>
          <w:szCs w:val="24"/>
          <w:lang w:val="sq-AL"/>
        </w:rPr>
        <w:t xml:space="preserve">bjektiv </w:t>
      </w:r>
      <w:r w:rsidR="003A3394" w:rsidRPr="00641640">
        <w:rPr>
          <w:rFonts w:ascii="Times New Roman" w:hAnsi="Times New Roman" w:cs="Times New Roman"/>
          <w:noProof/>
          <w:sz w:val="24"/>
          <w:szCs w:val="24"/>
          <w:lang w:val="sq-AL"/>
        </w:rPr>
        <w:t>s</w:t>
      </w:r>
      <w:r w:rsidRPr="00641640">
        <w:rPr>
          <w:rFonts w:ascii="Times New Roman" w:hAnsi="Times New Roman" w:cs="Times New Roman"/>
          <w:noProof/>
          <w:sz w:val="24"/>
          <w:szCs w:val="24"/>
          <w:lang w:val="sq-AL"/>
        </w:rPr>
        <w:t xml:space="preserve">pecifik do të zbatohet përmes masave të mëposhtme, </w:t>
      </w:r>
      <w:r w:rsidR="005F040F" w:rsidRPr="00641640">
        <w:rPr>
          <w:rFonts w:ascii="Times New Roman" w:hAnsi="Times New Roman" w:cs="Times New Roman"/>
          <w:noProof/>
          <w:sz w:val="24"/>
          <w:szCs w:val="24"/>
          <w:lang w:val="sq-AL"/>
        </w:rPr>
        <w:t>ndër</w:t>
      </w:r>
      <w:r w:rsidRPr="00641640">
        <w:rPr>
          <w:rFonts w:ascii="Times New Roman" w:hAnsi="Times New Roman" w:cs="Times New Roman"/>
          <w:noProof/>
          <w:sz w:val="24"/>
          <w:szCs w:val="24"/>
          <w:lang w:val="sq-AL"/>
        </w:rPr>
        <w:t>sa aktivitetet konkrete për periudhën e parë të zbatimit të SNRAP 202</w:t>
      </w:r>
      <w:r w:rsidR="00B155EE" w:rsidRPr="00641640">
        <w:rPr>
          <w:rFonts w:ascii="Times New Roman" w:hAnsi="Times New Roman" w:cs="Times New Roman"/>
          <w:noProof/>
          <w:sz w:val="24"/>
          <w:szCs w:val="24"/>
          <w:lang w:val="sq-AL"/>
        </w:rPr>
        <w:t>5</w:t>
      </w:r>
      <w:r w:rsidRPr="00641640">
        <w:rPr>
          <w:rFonts w:ascii="Times New Roman" w:hAnsi="Times New Roman" w:cs="Times New Roman"/>
          <w:noProof/>
          <w:sz w:val="24"/>
          <w:szCs w:val="24"/>
          <w:lang w:val="sq-AL"/>
        </w:rPr>
        <w:t>-2030 mund të gjenden në Planin e Veprimit 202</w:t>
      </w:r>
      <w:r w:rsidR="00B155EE" w:rsidRPr="00641640">
        <w:rPr>
          <w:rFonts w:ascii="Times New Roman" w:hAnsi="Times New Roman" w:cs="Times New Roman"/>
          <w:noProof/>
          <w:sz w:val="24"/>
          <w:szCs w:val="24"/>
          <w:lang w:val="sq-AL"/>
        </w:rPr>
        <w:t>5</w:t>
      </w:r>
      <w:r w:rsidRPr="00641640">
        <w:rPr>
          <w:rFonts w:ascii="Times New Roman" w:hAnsi="Times New Roman" w:cs="Times New Roman"/>
          <w:noProof/>
          <w:sz w:val="24"/>
          <w:szCs w:val="24"/>
          <w:lang w:val="sq-AL"/>
        </w:rPr>
        <w:t>-202</w:t>
      </w:r>
      <w:r w:rsidR="00B155EE" w:rsidRPr="00641640">
        <w:rPr>
          <w:rFonts w:ascii="Times New Roman" w:hAnsi="Times New Roman" w:cs="Times New Roman"/>
          <w:noProof/>
          <w:sz w:val="24"/>
          <w:szCs w:val="24"/>
          <w:lang w:val="sq-AL"/>
        </w:rPr>
        <w:t>7</w:t>
      </w:r>
      <w:r w:rsidRPr="00641640">
        <w:rPr>
          <w:rFonts w:ascii="Times New Roman" w:hAnsi="Times New Roman" w:cs="Times New Roman"/>
          <w:noProof/>
          <w:sz w:val="24"/>
          <w:szCs w:val="24"/>
          <w:lang w:val="sq-AL"/>
        </w:rPr>
        <w:t xml:space="preserve"> (Aneksi nr. 1).</w:t>
      </w:r>
    </w:p>
    <w:p w14:paraId="11296869" w14:textId="77777777" w:rsidR="002C78DB" w:rsidRPr="00641640" w:rsidRDefault="002C78DB" w:rsidP="003A395D">
      <w:pPr>
        <w:spacing w:line="276" w:lineRule="auto"/>
        <w:jc w:val="both"/>
        <w:rPr>
          <w:rFonts w:ascii="Times New Roman" w:hAnsi="Times New Roman" w:cs="Times New Roman"/>
          <w:noProof/>
          <w:sz w:val="24"/>
          <w:szCs w:val="24"/>
          <w:lang w:val="sq-AL"/>
        </w:rPr>
      </w:pPr>
    </w:p>
    <w:tbl>
      <w:tblPr>
        <w:tblStyle w:val="TableGrid"/>
        <w:tblW w:w="0" w:type="auto"/>
        <w:shd w:val="clear" w:color="auto" w:fill="C5E0B3" w:themeFill="accent6" w:themeFillTint="66"/>
        <w:tblLook w:val="04A0" w:firstRow="1" w:lastRow="0" w:firstColumn="1" w:lastColumn="0" w:noHBand="0" w:noVBand="1"/>
      </w:tblPr>
      <w:tblGrid>
        <w:gridCol w:w="805"/>
        <w:gridCol w:w="8545"/>
      </w:tblGrid>
      <w:tr w:rsidR="00BB0410" w:rsidRPr="00641640" w14:paraId="08723DE5" w14:textId="77777777" w:rsidTr="004000FD">
        <w:trPr>
          <w:trHeight w:val="1232"/>
        </w:trPr>
        <w:tc>
          <w:tcPr>
            <w:tcW w:w="9350" w:type="dxa"/>
            <w:gridSpan w:val="2"/>
            <w:shd w:val="clear" w:color="auto" w:fill="C5E0B3" w:themeFill="accent6" w:themeFillTint="66"/>
          </w:tcPr>
          <w:p w14:paraId="16850735" w14:textId="43E0B884" w:rsidR="00BB0410" w:rsidRPr="00641640" w:rsidRDefault="006012DF" w:rsidP="003A395D">
            <w:pPr>
              <w:spacing w:before="240" w:line="276" w:lineRule="auto"/>
              <w:textAlignment w:val="baseline"/>
              <w:rPr>
                <w:rFonts w:ascii="Times New Roman" w:hAnsi="Times New Roman" w:cs="Times New Roman"/>
                <w:b/>
                <w:i/>
                <w:noProof/>
                <w:sz w:val="22"/>
                <w:szCs w:val="22"/>
                <w:lang w:val="sq-AL"/>
              </w:rPr>
            </w:pPr>
            <w:r w:rsidRPr="00641640">
              <w:rPr>
                <w:rFonts w:ascii="Times New Roman" w:hAnsi="Times New Roman" w:cs="Times New Roman"/>
                <w:b/>
                <w:i/>
                <w:noProof/>
                <w:sz w:val="22"/>
                <w:szCs w:val="22"/>
                <w:lang w:val="sq-AL"/>
              </w:rPr>
              <w:lastRenderedPageBreak/>
              <w:t xml:space="preserve">Objektivi Specifik </w:t>
            </w:r>
            <w:r w:rsidR="009B6CF1" w:rsidRPr="00641640">
              <w:rPr>
                <w:rFonts w:ascii="Times New Roman" w:hAnsi="Times New Roman" w:cs="Times New Roman"/>
                <w:b/>
                <w:i/>
                <w:noProof/>
                <w:sz w:val="22"/>
                <w:szCs w:val="22"/>
                <w:lang w:val="sq-AL"/>
              </w:rPr>
              <w:t>1.</w:t>
            </w:r>
            <w:r w:rsidRPr="00641640">
              <w:rPr>
                <w:rFonts w:ascii="Times New Roman" w:hAnsi="Times New Roman" w:cs="Times New Roman"/>
                <w:b/>
                <w:i/>
                <w:noProof/>
                <w:sz w:val="22"/>
                <w:szCs w:val="22"/>
                <w:lang w:val="sq-AL"/>
              </w:rPr>
              <w:t>1</w:t>
            </w:r>
            <w:r w:rsidR="00BB0410" w:rsidRPr="00641640">
              <w:rPr>
                <w:rFonts w:ascii="Times New Roman" w:hAnsi="Times New Roman" w:cs="Times New Roman"/>
                <w:b/>
                <w:i/>
                <w:noProof/>
                <w:sz w:val="22"/>
                <w:szCs w:val="22"/>
                <w:lang w:val="sq-AL"/>
              </w:rPr>
              <w:t xml:space="preserve">: </w:t>
            </w:r>
            <w:r w:rsidR="00B356B7" w:rsidRPr="00641640">
              <w:rPr>
                <w:rFonts w:ascii="Times New Roman" w:hAnsi="Times New Roman" w:cs="Times New Roman"/>
                <w:b/>
                <w:i/>
                <w:noProof/>
                <w:sz w:val="22"/>
                <w:szCs w:val="22"/>
                <w:lang w:val="sq-AL"/>
              </w:rPr>
              <w:t>Përmirësimi i koordinimit, përafrimit dhe buxhetimit të politikave me objektivat kombë</w:t>
            </w:r>
            <w:r w:rsidR="002B6E27" w:rsidRPr="00641640">
              <w:rPr>
                <w:rFonts w:ascii="Times New Roman" w:hAnsi="Times New Roman" w:cs="Times New Roman"/>
                <w:b/>
                <w:i/>
                <w:noProof/>
                <w:sz w:val="22"/>
                <w:szCs w:val="22"/>
                <w:lang w:val="sq-AL"/>
              </w:rPr>
              <w:t>tare dhe globale të zhvillimit p</w:t>
            </w:r>
            <w:r w:rsidR="00407B71" w:rsidRPr="00641640">
              <w:rPr>
                <w:rFonts w:ascii="Times New Roman" w:hAnsi="Times New Roman" w:cs="Times New Roman"/>
                <w:b/>
                <w:i/>
                <w:noProof/>
                <w:sz w:val="22"/>
                <w:szCs w:val="22"/>
                <w:lang w:val="sq-AL"/>
              </w:rPr>
              <w:t>ë</w:t>
            </w:r>
            <w:r w:rsidR="002B6E27" w:rsidRPr="00641640">
              <w:rPr>
                <w:rFonts w:ascii="Times New Roman" w:hAnsi="Times New Roman" w:cs="Times New Roman"/>
                <w:b/>
                <w:i/>
                <w:noProof/>
                <w:sz w:val="22"/>
                <w:szCs w:val="22"/>
                <w:lang w:val="sq-AL"/>
              </w:rPr>
              <w:t>rgjat</w:t>
            </w:r>
            <w:r w:rsidR="00407B71" w:rsidRPr="00641640">
              <w:rPr>
                <w:rFonts w:ascii="Times New Roman" w:hAnsi="Times New Roman" w:cs="Times New Roman"/>
                <w:b/>
                <w:i/>
                <w:noProof/>
                <w:sz w:val="22"/>
                <w:szCs w:val="22"/>
                <w:lang w:val="sq-AL"/>
              </w:rPr>
              <w:t>ë</w:t>
            </w:r>
            <w:r w:rsidR="002B6E27" w:rsidRPr="00641640">
              <w:rPr>
                <w:rFonts w:ascii="Times New Roman" w:hAnsi="Times New Roman" w:cs="Times New Roman"/>
                <w:b/>
                <w:i/>
                <w:noProof/>
                <w:sz w:val="22"/>
                <w:szCs w:val="22"/>
                <w:lang w:val="sq-AL"/>
              </w:rPr>
              <w:t xml:space="preserve"> gjith</w:t>
            </w:r>
            <w:r w:rsidR="00407B71" w:rsidRPr="00641640">
              <w:rPr>
                <w:rFonts w:ascii="Times New Roman" w:hAnsi="Times New Roman" w:cs="Times New Roman"/>
                <w:b/>
                <w:i/>
                <w:noProof/>
                <w:sz w:val="22"/>
                <w:szCs w:val="22"/>
                <w:lang w:val="sq-AL"/>
              </w:rPr>
              <w:t>ë</w:t>
            </w:r>
            <w:r w:rsidR="002B6E27" w:rsidRPr="00641640">
              <w:rPr>
                <w:rFonts w:ascii="Times New Roman" w:hAnsi="Times New Roman" w:cs="Times New Roman"/>
                <w:b/>
                <w:i/>
                <w:noProof/>
                <w:sz w:val="22"/>
                <w:szCs w:val="22"/>
                <w:lang w:val="sq-AL"/>
              </w:rPr>
              <w:t xml:space="preserve"> ciklit t</w:t>
            </w:r>
            <w:r w:rsidR="00407B71" w:rsidRPr="00641640">
              <w:rPr>
                <w:rFonts w:ascii="Times New Roman" w:hAnsi="Times New Roman" w:cs="Times New Roman"/>
                <w:b/>
                <w:i/>
                <w:noProof/>
                <w:sz w:val="22"/>
                <w:szCs w:val="22"/>
                <w:lang w:val="sq-AL"/>
              </w:rPr>
              <w:t>ë</w:t>
            </w:r>
            <w:r w:rsidR="002B6E27" w:rsidRPr="00641640">
              <w:rPr>
                <w:rFonts w:ascii="Times New Roman" w:hAnsi="Times New Roman" w:cs="Times New Roman"/>
                <w:b/>
                <w:i/>
                <w:noProof/>
                <w:sz w:val="22"/>
                <w:szCs w:val="22"/>
                <w:lang w:val="sq-AL"/>
              </w:rPr>
              <w:t xml:space="preserve"> planifikimit t</w:t>
            </w:r>
            <w:r w:rsidR="00407B71" w:rsidRPr="00641640">
              <w:rPr>
                <w:rFonts w:ascii="Times New Roman" w:hAnsi="Times New Roman" w:cs="Times New Roman"/>
                <w:b/>
                <w:i/>
                <w:noProof/>
                <w:sz w:val="22"/>
                <w:szCs w:val="22"/>
                <w:lang w:val="sq-AL"/>
              </w:rPr>
              <w:t>ë</w:t>
            </w:r>
            <w:r w:rsidR="002B6E27" w:rsidRPr="00641640">
              <w:rPr>
                <w:rFonts w:ascii="Times New Roman" w:hAnsi="Times New Roman" w:cs="Times New Roman"/>
                <w:b/>
                <w:i/>
                <w:noProof/>
                <w:sz w:val="22"/>
                <w:szCs w:val="22"/>
                <w:lang w:val="sq-AL"/>
              </w:rPr>
              <w:t xml:space="preserve"> integruar t</w:t>
            </w:r>
            <w:r w:rsidR="00407B71" w:rsidRPr="00641640">
              <w:rPr>
                <w:rFonts w:ascii="Times New Roman" w:hAnsi="Times New Roman" w:cs="Times New Roman"/>
                <w:b/>
                <w:i/>
                <w:noProof/>
                <w:sz w:val="22"/>
                <w:szCs w:val="22"/>
                <w:lang w:val="sq-AL"/>
              </w:rPr>
              <w:t>ë</w:t>
            </w:r>
            <w:r w:rsidR="002B6E27" w:rsidRPr="00641640">
              <w:rPr>
                <w:rFonts w:ascii="Times New Roman" w:hAnsi="Times New Roman" w:cs="Times New Roman"/>
                <w:b/>
                <w:i/>
                <w:noProof/>
                <w:sz w:val="22"/>
                <w:szCs w:val="22"/>
                <w:lang w:val="sq-AL"/>
              </w:rPr>
              <w:t xml:space="preserve"> politikave. </w:t>
            </w:r>
          </w:p>
        </w:tc>
      </w:tr>
      <w:tr w:rsidR="00BB0410" w:rsidRPr="00641640" w14:paraId="402A7893" w14:textId="77777777" w:rsidTr="004000FD">
        <w:trPr>
          <w:trHeight w:val="710"/>
        </w:trPr>
        <w:tc>
          <w:tcPr>
            <w:tcW w:w="805" w:type="dxa"/>
            <w:shd w:val="clear" w:color="auto" w:fill="C5E0B3" w:themeFill="accent6" w:themeFillTint="66"/>
          </w:tcPr>
          <w:p w14:paraId="21BD322A" w14:textId="283C3F07" w:rsidR="00BB0410" w:rsidRPr="00641640" w:rsidRDefault="00891798"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B57142" w:rsidRPr="00641640">
              <w:rPr>
                <w:rFonts w:ascii="Times New Roman" w:hAnsi="Times New Roman" w:cs="Times New Roman"/>
                <w:b/>
                <w:noProof/>
                <w:sz w:val="22"/>
                <w:szCs w:val="22"/>
                <w:lang w:val="sq-AL"/>
              </w:rPr>
              <w:t>1</w:t>
            </w:r>
            <w:r w:rsidR="00B356B7" w:rsidRPr="00641640">
              <w:rPr>
                <w:rFonts w:ascii="Times New Roman" w:hAnsi="Times New Roman" w:cs="Times New Roman"/>
                <w:b/>
                <w:noProof/>
                <w:sz w:val="22"/>
                <w:szCs w:val="22"/>
                <w:lang w:val="sq-AL"/>
              </w:rPr>
              <w:t>.</w:t>
            </w:r>
            <w:r w:rsidR="006012DF" w:rsidRPr="00641640">
              <w:rPr>
                <w:rFonts w:ascii="Times New Roman" w:hAnsi="Times New Roman" w:cs="Times New Roman"/>
                <w:b/>
                <w:noProof/>
                <w:sz w:val="22"/>
                <w:szCs w:val="22"/>
                <w:lang w:val="sq-AL"/>
              </w:rPr>
              <w:t>1</w:t>
            </w:r>
            <w:r w:rsidR="00BB0410" w:rsidRPr="00641640">
              <w:rPr>
                <w:rFonts w:ascii="Times New Roman" w:hAnsi="Times New Roman" w:cs="Times New Roman"/>
                <w:b/>
                <w:noProof/>
                <w:sz w:val="22"/>
                <w:szCs w:val="22"/>
                <w:lang w:val="sq-AL"/>
              </w:rPr>
              <w:t>.1</w:t>
            </w:r>
          </w:p>
        </w:tc>
        <w:tc>
          <w:tcPr>
            <w:tcW w:w="8545" w:type="dxa"/>
            <w:shd w:val="clear" w:color="auto" w:fill="auto"/>
          </w:tcPr>
          <w:p w14:paraId="723A4308" w14:textId="66586640" w:rsidR="00EA4B48" w:rsidRPr="00641640" w:rsidRDefault="00B3390F" w:rsidP="003A395D">
            <w:pPr>
              <w:spacing w:line="276" w:lineRule="auto"/>
              <w:contextualSpacing/>
              <w:jc w:val="both"/>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Rishikimi dhe garantimi i funksionimit efikas të mekanizmit të koordinimit të politikave, me synim thjeshtimin e koordinimit ndërinstitucional</w:t>
            </w:r>
            <w:r w:rsidR="00E24D25" w:rsidRPr="00641640">
              <w:rPr>
                <w:rFonts w:ascii="Times New Roman" w:hAnsi="Times New Roman" w:cs="Times New Roman"/>
                <w:noProof/>
                <w:sz w:val="22"/>
                <w:szCs w:val="22"/>
                <w:lang w:val="sq-AL"/>
              </w:rPr>
              <w:t>.</w:t>
            </w:r>
          </w:p>
        </w:tc>
      </w:tr>
      <w:tr w:rsidR="00BB0410" w:rsidRPr="00641640" w14:paraId="6280E897" w14:textId="77777777" w:rsidTr="004000FD">
        <w:trPr>
          <w:trHeight w:val="710"/>
        </w:trPr>
        <w:tc>
          <w:tcPr>
            <w:tcW w:w="805" w:type="dxa"/>
            <w:shd w:val="clear" w:color="auto" w:fill="C5E0B3" w:themeFill="accent6" w:themeFillTint="66"/>
          </w:tcPr>
          <w:p w14:paraId="3860842F" w14:textId="2A4ABCB9" w:rsidR="00BB0410" w:rsidRPr="00641640" w:rsidRDefault="00891798"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B57142" w:rsidRPr="00641640">
              <w:rPr>
                <w:rFonts w:ascii="Times New Roman" w:hAnsi="Times New Roman" w:cs="Times New Roman"/>
                <w:b/>
                <w:noProof/>
                <w:sz w:val="22"/>
                <w:szCs w:val="22"/>
                <w:lang w:val="sq-AL"/>
              </w:rPr>
              <w:t>1</w:t>
            </w:r>
            <w:r w:rsidR="006012DF" w:rsidRPr="00641640">
              <w:rPr>
                <w:rFonts w:ascii="Times New Roman" w:hAnsi="Times New Roman" w:cs="Times New Roman"/>
                <w:b/>
                <w:noProof/>
                <w:sz w:val="22"/>
                <w:szCs w:val="22"/>
                <w:lang w:val="sq-AL"/>
              </w:rPr>
              <w:t>.1</w:t>
            </w:r>
            <w:r w:rsidR="00BB0410" w:rsidRPr="00641640">
              <w:rPr>
                <w:rFonts w:ascii="Times New Roman" w:hAnsi="Times New Roman" w:cs="Times New Roman"/>
                <w:b/>
                <w:noProof/>
                <w:sz w:val="22"/>
                <w:szCs w:val="22"/>
                <w:lang w:val="sq-AL"/>
              </w:rPr>
              <w:t>.2</w:t>
            </w:r>
          </w:p>
        </w:tc>
        <w:tc>
          <w:tcPr>
            <w:tcW w:w="8545" w:type="dxa"/>
            <w:shd w:val="clear" w:color="auto" w:fill="auto"/>
          </w:tcPr>
          <w:p w14:paraId="69BBBE50" w14:textId="3CA4C133" w:rsidR="00BB0410" w:rsidRPr="00641640" w:rsidRDefault="00B3390F"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Përmirësimi i Sistemit Informatik të Planifikimit Strategjik të Integruar, me synim përmirësimin e monitorimit dhe raportimit të politikave</w:t>
            </w:r>
            <w:r w:rsidR="002A04DB" w:rsidRPr="00641640">
              <w:rPr>
                <w:rFonts w:ascii="Times New Roman" w:hAnsi="Times New Roman" w:cs="Times New Roman"/>
                <w:noProof/>
                <w:sz w:val="22"/>
                <w:szCs w:val="22"/>
                <w:lang w:val="sq-AL"/>
              </w:rPr>
              <w:t>.</w:t>
            </w:r>
          </w:p>
        </w:tc>
      </w:tr>
      <w:tr w:rsidR="00A7603F" w:rsidRPr="00641640" w14:paraId="103E668E" w14:textId="77777777" w:rsidTr="004000FD">
        <w:trPr>
          <w:trHeight w:val="683"/>
        </w:trPr>
        <w:tc>
          <w:tcPr>
            <w:tcW w:w="805" w:type="dxa"/>
            <w:shd w:val="clear" w:color="auto" w:fill="C5E0B3" w:themeFill="accent6" w:themeFillTint="66"/>
          </w:tcPr>
          <w:p w14:paraId="2CA77AB2" w14:textId="1036BC22" w:rsidR="00A7603F" w:rsidRPr="00641640" w:rsidRDefault="00891798"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E24D25" w:rsidRPr="00641640">
              <w:rPr>
                <w:rFonts w:ascii="Times New Roman" w:hAnsi="Times New Roman" w:cs="Times New Roman"/>
                <w:b/>
                <w:noProof/>
                <w:sz w:val="22"/>
                <w:szCs w:val="22"/>
                <w:lang w:val="sq-AL"/>
              </w:rPr>
              <w:t>1</w:t>
            </w:r>
            <w:r w:rsidR="00A7603F" w:rsidRPr="00641640">
              <w:rPr>
                <w:rFonts w:ascii="Times New Roman" w:hAnsi="Times New Roman" w:cs="Times New Roman"/>
                <w:b/>
                <w:noProof/>
                <w:sz w:val="22"/>
                <w:szCs w:val="22"/>
                <w:lang w:val="sq-AL"/>
              </w:rPr>
              <w:t>.1.3</w:t>
            </w:r>
          </w:p>
        </w:tc>
        <w:tc>
          <w:tcPr>
            <w:tcW w:w="8545" w:type="dxa"/>
            <w:shd w:val="clear" w:color="auto" w:fill="auto"/>
          </w:tcPr>
          <w:p w14:paraId="301AD3DC" w14:textId="7D5CC83E" w:rsidR="00A7603F" w:rsidRPr="00641640" w:rsidRDefault="00E24D25" w:rsidP="003A395D">
            <w:pPr>
              <w:spacing w:line="276" w:lineRule="auto"/>
              <w:rPr>
                <w:rFonts w:ascii="Times New Roman" w:hAnsi="Times New Roman" w:cs="Times New Roman"/>
                <w:noProof/>
                <w:sz w:val="22"/>
                <w:szCs w:val="22"/>
                <w:lang w:val="sq-AL"/>
              </w:rPr>
            </w:pPr>
            <w:r w:rsidRPr="00641640">
              <w:rPr>
                <w:rFonts w:ascii="Times New Roman" w:eastAsiaTheme="minorHAnsi" w:hAnsi="Times New Roman" w:cs="Times New Roman"/>
                <w:noProof/>
                <w:sz w:val="22"/>
                <w:szCs w:val="22"/>
                <w:lang w:val="sq-AL"/>
              </w:rPr>
              <w:t>Garantimi i shpërndarjes efektive të burimeve dhe vendimmarrjeve strategjike, në përputhje të plotë me zhvillimet shoqërore</w:t>
            </w:r>
            <w:r w:rsidR="00A7603F" w:rsidRPr="00641640">
              <w:rPr>
                <w:rFonts w:ascii="Times New Roman" w:eastAsiaTheme="minorHAnsi" w:hAnsi="Times New Roman" w:cs="Times New Roman"/>
                <w:noProof/>
                <w:sz w:val="22"/>
                <w:szCs w:val="22"/>
                <w:lang w:val="sq-AL"/>
              </w:rPr>
              <w:t>.</w:t>
            </w:r>
            <w:r w:rsidR="00891798" w:rsidRPr="00641640">
              <w:rPr>
                <w:rFonts w:ascii="Times New Roman" w:eastAsiaTheme="minorHAnsi" w:hAnsi="Times New Roman" w:cs="Times New Roman"/>
                <w:noProof/>
                <w:sz w:val="22"/>
                <w:szCs w:val="22"/>
                <w:lang w:val="sq-AL"/>
              </w:rPr>
              <w:t xml:space="preserve"> </w:t>
            </w:r>
          </w:p>
        </w:tc>
      </w:tr>
      <w:tr w:rsidR="002B6E27" w:rsidRPr="00641640" w14:paraId="19F910F5" w14:textId="77777777" w:rsidTr="004000FD">
        <w:trPr>
          <w:trHeight w:val="800"/>
        </w:trPr>
        <w:tc>
          <w:tcPr>
            <w:tcW w:w="805" w:type="dxa"/>
            <w:shd w:val="clear" w:color="auto" w:fill="C5E0B3" w:themeFill="accent6" w:themeFillTint="66"/>
          </w:tcPr>
          <w:p w14:paraId="5252B6BE" w14:textId="1EDC1D4D" w:rsidR="002B6E27" w:rsidRPr="00641640" w:rsidRDefault="00891798"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EA4B48" w:rsidRPr="00641640">
              <w:rPr>
                <w:rFonts w:ascii="Times New Roman" w:hAnsi="Times New Roman" w:cs="Times New Roman"/>
                <w:b/>
                <w:noProof/>
                <w:sz w:val="22"/>
                <w:szCs w:val="22"/>
                <w:lang w:val="sq-AL"/>
              </w:rPr>
              <w:t>1</w:t>
            </w:r>
            <w:r w:rsidR="002B6E27" w:rsidRPr="00641640">
              <w:rPr>
                <w:rFonts w:ascii="Times New Roman" w:hAnsi="Times New Roman" w:cs="Times New Roman"/>
                <w:b/>
                <w:noProof/>
                <w:sz w:val="22"/>
                <w:szCs w:val="22"/>
                <w:lang w:val="sq-AL"/>
              </w:rPr>
              <w:t>.1.</w:t>
            </w:r>
            <w:r w:rsidR="00A7603F" w:rsidRPr="00641640">
              <w:rPr>
                <w:rFonts w:ascii="Times New Roman" w:hAnsi="Times New Roman" w:cs="Times New Roman"/>
                <w:b/>
                <w:noProof/>
                <w:sz w:val="22"/>
                <w:szCs w:val="22"/>
                <w:lang w:val="sq-AL"/>
              </w:rPr>
              <w:t>4</w:t>
            </w:r>
          </w:p>
        </w:tc>
        <w:tc>
          <w:tcPr>
            <w:tcW w:w="8545" w:type="dxa"/>
            <w:shd w:val="clear" w:color="auto" w:fill="auto"/>
          </w:tcPr>
          <w:p w14:paraId="4A39798E" w14:textId="1224F159" w:rsidR="002B6E27" w:rsidRPr="00641640" w:rsidRDefault="00CC785F"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Linjëzimi i dokumentave strategjikë sektorialë dhe ndërsektorialë me Objektivat e Zhvillimit të Q</w:t>
            </w:r>
            <w:r w:rsidR="00DC2131" w:rsidRPr="00641640">
              <w:rPr>
                <w:rFonts w:ascii="Times New Roman" w:hAnsi="Times New Roman" w:cs="Times New Roman"/>
                <w:noProof/>
                <w:sz w:val="22"/>
                <w:szCs w:val="22"/>
                <w:lang w:val="sq-AL"/>
              </w:rPr>
              <w:t>e</w:t>
            </w:r>
            <w:r w:rsidRPr="00641640">
              <w:rPr>
                <w:rFonts w:ascii="Times New Roman" w:hAnsi="Times New Roman" w:cs="Times New Roman"/>
                <w:noProof/>
                <w:sz w:val="22"/>
                <w:szCs w:val="22"/>
                <w:lang w:val="sq-AL"/>
              </w:rPr>
              <w:t>ndrueshëm (OZHQ)-të</w:t>
            </w:r>
            <w:r w:rsidR="002B6E27" w:rsidRPr="00641640">
              <w:rPr>
                <w:rFonts w:ascii="Times New Roman" w:hAnsi="Times New Roman" w:cs="Times New Roman"/>
                <w:noProof/>
                <w:sz w:val="22"/>
                <w:szCs w:val="22"/>
                <w:lang w:val="sq-AL"/>
              </w:rPr>
              <w:t>.</w:t>
            </w:r>
          </w:p>
        </w:tc>
      </w:tr>
    </w:tbl>
    <w:p w14:paraId="7A422618" w14:textId="5E88D1B1" w:rsidR="00F10B51" w:rsidRPr="00641640" w:rsidRDefault="00F10B51" w:rsidP="003A395D">
      <w:pPr>
        <w:pStyle w:val="TableParagraph"/>
        <w:tabs>
          <w:tab w:val="left" w:pos="519"/>
        </w:tabs>
        <w:spacing w:after="120" w:line="276" w:lineRule="auto"/>
        <w:ind w:left="448" w:right="114"/>
        <w:rPr>
          <w:noProof/>
          <w:highlight w:val="yellow"/>
        </w:rPr>
      </w:pPr>
    </w:p>
    <w:p w14:paraId="717A6BA2" w14:textId="77777777" w:rsidR="00287CEB" w:rsidRPr="00641640" w:rsidRDefault="00287CEB" w:rsidP="003A395D">
      <w:pPr>
        <w:pStyle w:val="TableParagraph"/>
        <w:tabs>
          <w:tab w:val="left" w:pos="519"/>
        </w:tabs>
        <w:spacing w:line="276" w:lineRule="auto"/>
        <w:ind w:left="448" w:right="114"/>
        <w:rPr>
          <w:noProof/>
          <w:highlight w:val="yellow"/>
        </w:rPr>
      </w:pPr>
    </w:p>
    <w:p w14:paraId="6D90382C" w14:textId="23922422" w:rsidR="00BB0410" w:rsidRPr="00641640" w:rsidRDefault="00293340"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 xml:space="preserve">Lidhja e treguesve </w:t>
      </w:r>
      <w:r w:rsidR="0091285D" w:rsidRPr="00641640">
        <w:rPr>
          <w:rFonts w:ascii="Times New Roman" w:hAnsi="Times New Roman" w:cs="Times New Roman"/>
          <w:b/>
          <w:bCs/>
          <w:noProof/>
          <w:sz w:val="24"/>
          <w:szCs w:val="24"/>
          <w:lang w:val="sq-AL"/>
        </w:rPr>
        <w:t>kryesor</w:t>
      </w:r>
      <w:r w:rsidR="00867D24" w:rsidRPr="00641640">
        <w:rPr>
          <w:rFonts w:ascii="Times New Roman" w:hAnsi="Times New Roman" w:cs="Times New Roman"/>
          <w:b/>
          <w:bCs/>
          <w:noProof/>
          <w:sz w:val="24"/>
          <w:szCs w:val="24"/>
          <w:lang w:val="sq-AL"/>
        </w:rPr>
        <w:t>ë</w:t>
      </w:r>
      <w:r w:rsidRPr="00641640">
        <w:rPr>
          <w:rFonts w:ascii="Times New Roman" w:hAnsi="Times New Roman" w:cs="Times New Roman"/>
          <w:b/>
          <w:bCs/>
          <w:noProof/>
          <w:sz w:val="24"/>
          <w:szCs w:val="24"/>
          <w:lang w:val="sq-AL"/>
        </w:rPr>
        <w:t xml:space="preserve"> </w:t>
      </w:r>
      <w:r w:rsidR="0091285D" w:rsidRPr="00641640">
        <w:rPr>
          <w:rFonts w:ascii="Times New Roman" w:hAnsi="Times New Roman" w:cs="Times New Roman"/>
          <w:b/>
          <w:bCs/>
          <w:noProof/>
          <w:sz w:val="24"/>
          <w:szCs w:val="24"/>
          <w:lang w:val="sq-AL"/>
        </w:rPr>
        <w:t>t</w:t>
      </w:r>
      <w:r w:rsidR="00867D24" w:rsidRPr="00641640">
        <w:rPr>
          <w:rFonts w:ascii="Times New Roman" w:hAnsi="Times New Roman" w:cs="Times New Roman"/>
          <w:b/>
          <w:bCs/>
          <w:noProof/>
          <w:sz w:val="24"/>
          <w:szCs w:val="24"/>
          <w:lang w:val="sq-AL"/>
        </w:rPr>
        <w:t>ë</w:t>
      </w:r>
      <w:r w:rsidR="0091285D" w:rsidRPr="00641640">
        <w:rPr>
          <w:rFonts w:ascii="Times New Roman" w:hAnsi="Times New Roman" w:cs="Times New Roman"/>
          <w:b/>
          <w:bCs/>
          <w:noProof/>
          <w:sz w:val="24"/>
          <w:szCs w:val="24"/>
          <w:lang w:val="sq-AL"/>
        </w:rPr>
        <w:t xml:space="preserve"> </w:t>
      </w:r>
      <w:r w:rsidR="00DE50DA" w:rsidRPr="00641640">
        <w:rPr>
          <w:rFonts w:ascii="Times New Roman" w:hAnsi="Times New Roman" w:cs="Times New Roman"/>
          <w:b/>
          <w:bCs/>
          <w:noProof/>
          <w:sz w:val="24"/>
          <w:szCs w:val="24"/>
          <w:lang w:val="sq-AL"/>
        </w:rPr>
        <w:t>performanc</w:t>
      </w:r>
      <w:r w:rsidR="00867D24" w:rsidRPr="00641640">
        <w:rPr>
          <w:rFonts w:ascii="Times New Roman" w:hAnsi="Times New Roman" w:cs="Times New Roman"/>
          <w:b/>
          <w:bCs/>
          <w:noProof/>
          <w:sz w:val="24"/>
          <w:szCs w:val="24"/>
          <w:lang w:val="sq-AL"/>
        </w:rPr>
        <w:t>ë</w:t>
      </w:r>
      <w:r w:rsidR="00DE50DA" w:rsidRPr="00641640">
        <w:rPr>
          <w:rFonts w:ascii="Times New Roman" w:hAnsi="Times New Roman" w:cs="Times New Roman"/>
          <w:b/>
          <w:bCs/>
          <w:noProof/>
          <w:sz w:val="24"/>
          <w:szCs w:val="24"/>
          <w:lang w:val="sq-AL"/>
        </w:rPr>
        <w:t>s m</w:t>
      </w:r>
      <w:r w:rsidR="00DC2131" w:rsidRPr="00641640">
        <w:rPr>
          <w:rFonts w:ascii="Times New Roman" w:hAnsi="Times New Roman" w:cs="Times New Roman"/>
          <w:b/>
          <w:bCs/>
          <w:noProof/>
          <w:sz w:val="24"/>
          <w:szCs w:val="24"/>
          <w:lang w:val="sq-AL"/>
        </w:rPr>
        <w:t>e</w:t>
      </w:r>
      <w:r w:rsidR="00DE50DA" w:rsidRPr="00641640">
        <w:rPr>
          <w:rFonts w:ascii="Times New Roman" w:hAnsi="Times New Roman" w:cs="Times New Roman"/>
          <w:b/>
          <w:bCs/>
          <w:noProof/>
          <w:sz w:val="24"/>
          <w:szCs w:val="24"/>
          <w:lang w:val="sq-AL"/>
        </w:rPr>
        <w:t xml:space="preserve"> Q</w:t>
      </w:r>
      <w:r w:rsidR="00867D24" w:rsidRPr="00641640">
        <w:rPr>
          <w:rFonts w:ascii="Times New Roman" w:hAnsi="Times New Roman" w:cs="Times New Roman"/>
          <w:b/>
          <w:bCs/>
          <w:noProof/>
          <w:sz w:val="24"/>
          <w:szCs w:val="24"/>
          <w:lang w:val="sq-AL"/>
        </w:rPr>
        <w:t>ë</w:t>
      </w:r>
      <w:r w:rsidR="00DE50DA" w:rsidRPr="00641640">
        <w:rPr>
          <w:rFonts w:ascii="Times New Roman" w:hAnsi="Times New Roman" w:cs="Times New Roman"/>
          <w:b/>
          <w:bCs/>
          <w:noProof/>
          <w:sz w:val="24"/>
          <w:szCs w:val="24"/>
          <w:lang w:val="sq-AL"/>
        </w:rPr>
        <w:t>llimin e Politik</w:t>
      </w:r>
      <w:r w:rsidR="00867D24" w:rsidRPr="00641640">
        <w:rPr>
          <w:rFonts w:ascii="Times New Roman" w:hAnsi="Times New Roman" w:cs="Times New Roman"/>
          <w:b/>
          <w:bCs/>
          <w:noProof/>
          <w:sz w:val="24"/>
          <w:szCs w:val="24"/>
          <w:lang w:val="sq-AL"/>
        </w:rPr>
        <w:t>ë</w:t>
      </w:r>
      <w:r w:rsidR="00DE50DA" w:rsidRPr="00641640">
        <w:rPr>
          <w:rFonts w:ascii="Times New Roman" w:hAnsi="Times New Roman" w:cs="Times New Roman"/>
          <w:b/>
          <w:bCs/>
          <w:noProof/>
          <w:sz w:val="24"/>
          <w:szCs w:val="24"/>
          <w:lang w:val="sq-AL"/>
        </w:rPr>
        <w:t>s I, Objektivin Specifik 1.1</w:t>
      </w:r>
      <w:r w:rsidR="00C7182F" w:rsidRPr="00641640">
        <w:rPr>
          <w:rFonts w:ascii="Times New Roman" w:hAnsi="Times New Roman" w:cs="Times New Roman"/>
          <w:b/>
          <w:bCs/>
          <w:noProof/>
          <w:sz w:val="24"/>
          <w:szCs w:val="24"/>
          <w:lang w:val="sq-AL"/>
        </w:rPr>
        <w:t xml:space="preserve"> dhe institucionet p</w:t>
      </w:r>
      <w:r w:rsidR="00867D24" w:rsidRPr="00641640">
        <w:rPr>
          <w:rFonts w:ascii="Times New Roman" w:hAnsi="Times New Roman" w:cs="Times New Roman"/>
          <w:b/>
          <w:bCs/>
          <w:noProof/>
          <w:sz w:val="24"/>
          <w:szCs w:val="24"/>
          <w:lang w:val="sq-AL"/>
        </w:rPr>
        <w:t>ë</w:t>
      </w:r>
      <w:r w:rsidR="00C7182F" w:rsidRPr="00641640">
        <w:rPr>
          <w:rFonts w:ascii="Times New Roman" w:hAnsi="Times New Roman" w:cs="Times New Roman"/>
          <w:b/>
          <w:bCs/>
          <w:noProof/>
          <w:sz w:val="24"/>
          <w:szCs w:val="24"/>
          <w:lang w:val="sq-AL"/>
        </w:rPr>
        <w:t>rgjegj</w:t>
      </w:r>
      <w:r w:rsidR="00867D24" w:rsidRPr="00641640">
        <w:rPr>
          <w:rFonts w:ascii="Times New Roman" w:hAnsi="Times New Roman" w:cs="Times New Roman"/>
          <w:b/>
          <w:bCs/>
          <w:noProof/>
          <w:sz w:val="24"/>
          <w:szCs w:val="24"/>
          <w:lang w:val="sq-AL"/>
        </w:rPr>
        <w:t>ë</w:t>
      </w:r>
      <w:r w:rsidR="00C7182F" w:rsidRPr="00641640">
        <w:rPr>
          <w:rFonts w:ascii="Times New Roman" w:hAnsi="Times New Roman" w:cs="Times New Roman"/>
          <w:b/>
          <w:bCs/>
          <w:noProof/>
          <w:sz w:val="24"/>
          <w:szCs w:val="24"/>
          <w:lang w:val="sq-AL"/>
        </w:rPr>
        <w:t>se</w:t>
      </w:r>
      <w:r w:rsidR="00210F03" w:rsidRPr="00641640">
        <w:rPr>
          <w:rFonts w:ascii="Times New Roman" w:hAnsi="Times New Roman" w:cs="Times New Roman"/>
          <w:b/>
          <w:bCs/>
          <w:noProof/>
          <w:sz w:val="24"/>
          <w:szCs w:val="24"/>
          <w:lang w:val="sq-AL"/>
        </w:rPr>
        <w:t>.</w:t>
      </w:r>
    </w:p>
    <w:tbl>
      <w:tblPr>
        <w:tblStyle w:val="TableGrid"/>
        <w:tblW w:w="93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2"/>
        <w:gridCol w:w="1980"/>
        <w:gridCol w:w="2160"/>
        <w:gridCol w:w="2340"/>
        <w:gridCol w:w="1890"/>
      </w:tblGrid>
      <w:tr w:rsidR="00CE57AB" w:rsidRPr="00641640" w14:paraId="53F7D3F1" w14:textId="4F724B0A" w:rsidTr="004000FD">
        <w:trPr>
          <w:trHeight w:val="15"/>
        </w:trPr>
        <w:tc>
          <w:tcPr>
            <w:tcW w:w="982" w:type="dxa"/>
            <w:shd w:val="clear" w:color="auto" w:fill="C5E0B3" w:themeFill="accent6" w:themeFillTint="66"/>
            <w:tcMar>
              <w:top w:w="15" w:type="dxa"/>
              <w:left w:w="75" w:type="dxa"/>
              <w:bottom w:w="15" w:type="dxa"/>
              <w:right w:w="75" w:type="dxa"/>
            </w:tcMar>
          </w:tcPr>
          <w:p w14:paraId="20ACE31D" w14:textId="77777777" w:rsidR="00CE57AB" w:rsidRPr="00641640" w:rsidRDefault="00CE57AB" w:rsidP="003A395D">
            <w:pPr>
              <w:spacing w:line="276" w:lineRule="auto"/>
              <w:jc w:val="center"/>
              <w:rPr>
                <w:rFonts w:ascii="Times New Roman" w:eastAsia="Arial" w:hAnsi="Times New Roman" w:cs="Times New Roman"/>
                <w:b/>
                <w:bCs/>
                <w:noProof/>
                <w:sz w:val="22"/>
                <w:szCs w:val="22"/>
                <w:lang w:val="sq-AL"/>
              </w:rPr>
            </w:pPr>
          </w:p>
          <w:p w14:paraId="3E1BA4FF" w14:textId="25EE35A0" w:rsidR="00CE57AB" w:rsidRPr="00641640" w:rsidRDefault="00CE57AB"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Lloji i treguesit</w:t>
            </w:r>
          </w:p>
        </w:tc>
        <w:tc>
          <w:tcPr>
            <w:tcW w:w="1980" w:type="dxa"/>
            <w:shd w:val="clear" w:color="auto" w:fill="C5E0B3" w:themeFill="accent6" w:themeFillTint="66"/>
            <w:tcMar>
              <w:top w:w="15" w:type="dxa"/>
              <w:left w:w="75" w:type="dxa"/>
              <w:bottom w:w="15" w:type="dxa"/>
              <w:right w:w="75" w:type="dxa"/>
            </w:tcMar>
          </w:tcPr>
          <w:p w14:paraId="6AC52216" w14:textId="77777777" w:rsidR="00CE57AB" w:rsidRPr="00641640" w:rsidRDefault="00CE57AB" w:rsidP="003A395D">
            <w:pPr>
              <w:spacing w:line="276" w:lineRule="auto"/>
              <w:jc w:val="center"/>
              <w:rPr>
                <w:rFonts w:ascii="Times New Roman" w:eastAsia="Arial" w:hAnsi="Times New Roman" w:cs="Times New Roman"/>
                <w:b/>
                <w:bCs/>
                <w:noProof/>
                <w:sz w:val="22"/>
                <w:szCs w:val="22"/>
                <w:lang w:val="sq-AL"/>
              </w:rPr>
            </w:pPr>
          </w:p>
          <w:p w14:paraId="49DE47A1" w14:textId="059B0FF4" w:rsidR="00CE57AB" w:rsidRPr="00641640" w:rsidRDefault="00CE57AB"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Em</w:t>
            </w:r>
            <w:r w:rsidR="00DA6A6D" w:rsidRPr="00641640">
              <w:rPr>
                <w:rFonts w:ascii="Times New Roman" w:eastAsia="Arial" w:hAnsi="Times New Roman" w:cs="Times New Roman"/>
                <w:b/>
                <w:bCs/>
                <w:noProof/>
                <w:sz w:val="22"/>
                <w:szCs w:val="22"/>
                <w:lang w:val="sq-AL"/>
              </w:rPr>
              <w:t>ë</w:t>
            </w:r>
            <w:r w:rsidRPr="00641640">
              <w:rPr>
                <w:rFonts w:ascii="Times New Roman" w:eastAsia="Arial" w:hAnsi="Times New Roman" w:cs="Times New Roman"/>
                <w:b/>
                <w:bCs/>
                <w:noProof/>
                <w:sz w:val="22"/>
                <w:szCs w:val="22"/>
                <w:lang w:val="sq-AL"/>
              </w:rPr>
              <w:t>rtimi i treguesit t</w:t>
            </w:r>
            <w:r w:rsidR="00DA6A6D" w:rsidRPr="00641640">
              <w:rPr>
                <w:rFonts w:ascii="Times New Roman" w:eastAsia="Arial" w:hAnsi="Times New Roman" w:cs="Times New Roman"/>
                <w:b/>
                <w:bCs/>
                <w:noProof/>
                <w:sz w:val="22"/>
                <w:szCs w:val="22"/>
                <w:lang w:val="sq-AL"/>
              </w:rPr>
              <w:t>ë</w:t>
            </w:r>
            <w:r w:rsidRPr="00641640">
              <w:rPr>
                <w:rFonts w:ascii="Times New Roman" w:eastAsia="Arial" w:hAnsi="Times New Roman" w:cs="Times New Roman"/>
                <w:b/>
                <w:bCs/>
                <w:noProof/>
                <w:sz w:val="22"/>
                <w:szCs w:val="22"/>
                <w:lang w:val="sq-AL"/>
              </w:rPr>
              <w:t xml:space="preserve"> </w:t>
            </w:r>
            <w:r w:rsidR="00EC4F31" w:rsidRPr="00641640">
              <w:rPr>
                <w:rFonts w:ascii="Times New Roman" w:eastAsia="Arial" w:hAnsi="Times New Roman" w:cs="Times New Roman"/>
                <w:b/>
                <w:bCs/>
                <w:noProof/>
                <w:sz w:val="22"/>
                <w:szCs w:val="22"/>
                <w:lang w:val="sq-AL"/>
              </w:rPr>
              <w:t>performances</w:t>
            </w:r>
          </w:p>
          <w:p w14:paraId="45959185" w14:textId="6B9A74B6" w:rsidR="00EC4F31" w:rsidRPr="00641640" w:rsidRDefault="00EC4F31" w:rsidP="003A395D">
            <w:pPr>
              <w:spacing w:line="276" w:lineRule="auto"/>
              <w:jc w:val="center"/>
              <w:rPr>
                <w:rFonts w:ascii="Times New Roman" w:eastAsia="Arial" w:hAnsi="Times New Roman" w:cs="Times New Roman"/>
                <w:noProof/>
                <w:sz w:val="22"/>
                <w:szCs w:val="22"/>
                <w:lang w:val="sq-AL"/>
              </w:rPr>
            </w:pPr>
          </w:p>
        </w:tc>
        <w:tc>
          <w:tcPr>
            <w:tcW w:w="2160" w:type="dxa"/>
            <w:shd w:val="clear" w:color="auto" w:fill="C5E0B3" w:themeFill="accent6" w:themeFillTint="66"/>
          </w:tcPr>
          <w:p w14:paraId="3838640F" w14:textId="77777777" w:rsidR="00CE57AB" w:rsidRPr="00641640" w:rsidRDefault="00CE57AB" w:rsidP="003A395D">
            <w:pPr>
              <w:spacing w:line="276" w:lineRule="auto"/>
              <w:jc w:val="center"/>
              <w:rPr>
                <w:rFonts w:ascii="Times New Roman" w:eastAsia="Arial" w:hAnsi="Times New Roman" w:cs="Times New Roman"/>
                <w:b/>
                <w:bCs/>
                <w:noProof/>
                <w:sz w:val="22"/>
                <w:szCs w:val="22"/>
                <w:lang w:val="sq-AL"/>
              </w:rPr>
            </w:pPr>
          </w:p>
          <w:p w14:paraId="11C20460" w14:textId="6B4150F1" w:rsidR="00CE57AB" w:rsidRPr="00641640" w:rsidRDefault="00CE57AB"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Q</w:t>
            </w:r>
            <w:r w:rsidR="00DA6A6D" w:rsidRPr="00641640">
              <w:rPr>
                <w:rFonts w:ascii="Times New Roman" w:eastAsia="Arial" w:hAnsi="Times New Roman" w:cs="Times New Roman"/>
                <w:b/>
                <w:bCs/>
                <w:noProof/>
                <w:sz w:val="22"/>
                <w:szCs w:val="22"/>
                <w:lang w:val="sq-AL"/>
              </w:rPr>
              <w:t>ë</w:t>
            </w:r>
            <w:r w:rsidRPr="00641640">
              <w:rPr>
                <w:rFonts w:ascii="Times New Roman" w:eastAsia="Arial" w:hAnsi="Times New Roman" w:cs="Times New Roman"/>
                <w:b/>
                <w:bCs/>
                <w:noProof/>
                <w:sz w:val="22"/>
                <w:szCs w:val="22"/>
                <w:lang w:val="sq-AL"/>
              </w:rPr>
              <w:t>llimin e Politik</w:t>
            </w:r>
            <w:r w:rsidR="00DA6A6D" w:rsidRPr="00641640">
              <w:rPr>
                <w:rFonts w:ascii="Times New Roman" w:eastAsia="Arial" w:hAnsi="Times New Roman" w:cs="Times New Roman"/>
                <w:b/>
                <w:bCs/>
                <w:noProof/>
                <w:sz w:val="22"/>
                <w:szCs w:val="22"/>
                <w:lang w:val="sq-AL"/>
              </w:rPr>
              <w:t>ë</w:t>
            </w:r>
            <w:r w:rsidRPr="00641640">
              <w:rPr>
                <w:rFonts w:ascii="Times New Roman" w:eastAsia="Arial" w:hAnsi="Times New Roman" w:cs="Times New Roman"/>
                <w:b/>
                <w:bCs/>
                <w:noProof/>
                <w:sz w:val="22"/>
                <w:szCs w:val="22"/>
                <w:lang w:val="sq-AL"/>
              </w:rPr>
              <w:t>s</w:t>
            </w:r>
          </w:p>
        </w:tc>
        <w:tc>
          <w:tcPr>
            <w:tcW w:w="2340" w:type="dxa"/>
            <w:shd w:val="clear" w:color="auto" w:fill="C5E0B3" w:themeFill="accent6" w:themeFillTint="66"/>
          </w:tcPr>
          <w:p w14:paraId="0FDF2FFF" w14:textId="77777777" w:rsidR="00CE57AB" w:rsidRPr="00641640" w:rsidRDefault="00CE57AB" w:rsidP="003A395D">
            <w:pPr>
              <w:spacing w:line="276" w:lineRule="auto"/>
              <w:jc w:val="center"/>
              <w:rPr>
                <w:rFonts w:ascii="Times New Roman" w:eastAsia="Arial" w:hAnsi="Times New Roman" w:cs="Times New Roman"/>
                <w:b/>
                <w:bCs/>
                <w:noProof/>
                <w:sz w:val="22"/>
                <w:szCs w:val="22"/>
                <w:lang w:val="sq-AL"/>
              </w:rPr>
            </w:pPr>
          </w:p>
          <w:p w14:paraId="5F8743F1" w14:textId="2B9AB051" w:rsidR="00CE57AB" w:rsidRPr="00641640" w:rsidRDefault="00CE57AB"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Objektivin Specifik</w:t>
            </w:r>
          </w:p>
        </w:tc>
        <w:tc>
          <w:tcPr>
            <w:tcW w:w="1890" w:type="dxa"/>
            <w:shd w:val="clear" w:color="auto" w:fill="C5E0B3" w:themeFill="accent6" w:themeFillTint="66"/>
            <w:tcMar>
              <w:top w:w="15" w:type="dxa"/>
              <w:left w:w="75" w:type="dxa"/>
              <w:bottom w:w="15" w:type="dxa"/>
              <w:right w:w="75" w:type="dxa"/>
            </w:tcMar>
          </w:tcPr>
          <w:p w14:paraId="2730CAB3" w14:textId="77777777" w:rsidR="0008278A" w:rsidRPr="00641640" w:rsidRDefault="0008278A" w:rsidP="003A395D">
            <w:pPr>
              <w:spacing w:line="276" w:lineRule="auto"/>
              <w:jc w:val="center"/>
              <w:rPr>
                <w:rFonts w:ascii="Times New Roman" w:eastAsia="Arial" w:hAnsi="Times New Roman" w:cs="Times New Roman"/>
                <w:noProof/>
                <w:sz w:val="22"/>
                <w:szCs w:val="22"/>
                <w:lang w:val="sq-AL"/>
              </w:rPr>
            </w:pPr>
          </w:p>
          <w:p w14:paraId="20BB7EAF" w14:textId="5A60008C" w:rsidR="00CE57AB" w:rsidRPr="00641640" w:rsidRDefault="0008278A"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Institucioni p</w:t>
            </w:r>
            <w:r w:rsidR="00DA6A6D" w:rsidRPr="00641640">
              <w:rPr>
                <w:rFonts w:ascii="Times New Roman" w:eastAsia="Arial" w:hAnsi="Times New Roman" w:cs="Times New Roman"/>
                <w:b/>
                <w:bCs/>
                <w:noProof/>
                <w:sz w:val="22"/>
                <w:szCs w:val="22"/>
                <w:lang w:val="sq-AL"/>
              </w:rPr>
              <w:t>ë</w:t>
            </w:r>
            <w:r w:rsidRPr="00641640">
              <w:rPr>
                <w:rFonts w:ascii="Times New Roman" w:eastAsia="Arial" w:hAnsi="Times New Roman" w:cs="Times New Roman"/>
                <w:b/>
                <w:bCs/>
                <w:noProof/>
                <w:sz w:val="22"/>
                <w:szCs w:val="22"/>
                <w:lang w:val="sq-AL"/>
              </w:rPr>
              <w:t>rgj</w:t>
            </w:r>
            <w:r w:rsidR="00FE471F" w:rsidRPr="00641640">
              <w:rPr>
                <w:rFonts w:ascii="Times New Roman" w:eastAsia="Arial" w:hAnsi="Times New Roman" w:cs="Times New Roman"/>
                <w:b/>
                <w:bCs/>
                <w:noProof/>
                <w:sz w:val="22"/>
                <w:szCs w:val="22"/>
                <w:lang w:val="sq-AL"/>
              </w:rPr>
              <w:t>e</w:t>
            </w:r>
            <w:r w:rsidRPr="00641640">
              <w:rPr>
                <w:rFonts w:ascii="Times New Roman" w:eastAsia="Arial" w:hAnsi="Times New Roman" w:cs="Times New Roman"/>
                <w:b/>
                <w:bCs/>
                <w:noProof/>
                <w:sz w:val="22"/>
                <w:szCs w:val="22"/>
                <w:lang w:val="sq-AL"/>
              </w:rPr>
              <w:t>gj</w:t>
            </w:r>
            <w:r w:rsidR="00DA6A6D" w:rsidRPr="00641640">
              <w:rPr>
                <w:rFonts w:ascii="Times New Roman" w:eastAsia="Arial" w:hAnsi="Times New Roman" w:cs="Times New Roman"/>
                <w:b/>
                <w:bCs/>
                <w:noProof/>
                <w:sz w:val="22"/>
                <w:szCs w:val="22"/>
                <w:lang w:val="sq-AL"/>
              </w:rPr>
              <w:t>ë</w:t>
            </w:r>
            <w:r w:rsidRPr="00641640">
              <w:rPr>
                <w:rFonts w:ascii="Times New Roman" w:eastAsia="Arial" w:hAnsi="Times New Roman" w:cs="Times New Roman"/>
                <w:b/>
                <w:bCs/>
                <w:noProof/>
                <w:sz w:val="22"/>
                <w:szCs w:val="22"/>
                <w:lang w:val="sq-AL"/>
              </w:rPr>
              <w:t>s</w:t>
            </w:r>
          </w:p>
        </w:tc>
      </w:tr>
      <w:tr w:rsidR="00CE57AB" w:rsidRPr="00641640" w14:paraId="1FAB70BD" w14:textId="79575275" w:rsidTr="005C4D41">
        <w:trPr>
          <w:trHeight w:val="2189"/>
        </w:trPr>
        <w:tc>
          <w:tcPr>
            <w:tcW w:w="982" w:type="dxa"/>
            <w:tcMar>
              <w:top w:w="15" w:type="dxa"/>
              <w:left w:w="75" w:type="dxa"/>
              <w:bottom w:w="15" w:type="dxa"/>
              <w:right w:w="75" w:type="dxa"/>
            </w:tcMar>
          </w:tcPr>
          <w:p w14:paraId="557A6BDE" w14:textId="09DE774F" w:rsidR="00CE57AB" w:rsidRPr="00641640" w:rsidRDefault="00DA429E" w:rsidP="003A395D">
            <w:pPr>
              <w:spacing w:before="240" w:line="276" w:lineRule="auto"/>
              <w:jc w:val="center"/>
              <w:rPr>
                <w:rFonts w:ascii="Times New Roman" w:hAnsi="Times New Roman" w:cs="Times New Roman"/>
                <w:noProof/>
                <w:color w:val="000000" w:themeColor="text1"/>
                <w:sz w:val="22"/>
                <w:szCs w:val="22"/>
                <w:lang w:val="sq-AL"/>
              </w:rPr>
            </w:pPr>
            <w:r w:rsidRPr="00641640">
              <w:rPr>
                <w:rFonts w:ascii="Times New Roman" w:hAnsi="Times New Roman" w:cs="Times New Roman"/>
                <w:noProof/>
                <w:color w:val="000000" w:themeColor="text1"/>
                <w:sz w:val="22"/>
                <w:szCs w:val="22"/>
                <w:lang w:val="sq-AL"/>
              </w:rPr>
              <w:t>Rezultati</w:t>
            </w:r>
          </w:p>
        </w:tc>
        <w:tc>
          <w:tcPr>
            <w:tcW w:w="1980" w:type="dxa"/>
            <w:tcBorders>
              <w:bottom w:val="single" w:sz="4" w:space="0" w:color="auto"/>
            </w:tcBorders>
            <w:tcMar>
              <w:top w:w="15" w:type="dxa"/>
              <w:left w:w="75" w:type="dxa"/>
              <w:bottom w:w="15" w:type="dxa"/>
              <w:right w:w="75" w:type="dxa"/>
            </w:tcMar>
            <w:vAlign w:val="center"/>
          </w:tcPr>
          <w:p w14:paraId="0FE0A5D3" w14:textId="4F953F3B" w:rsidR="00CE57AB" w:rsidRPr="00641640" w:rsidRDefault="00DA429E"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1.1.1</w:t>
            </w:r>
            <w:r w:rsidR="00977772" w:rsidRPr="00641640">
              <w:rPr>
                <w:rFonts w:ascii="Times New Roman" w:hAnsi="Times New Roman" w:cs="Times New Roman"/>
                <w:noProof/>
                <w:sz w:val="22"/>
                <w:szCs w:val="22"/>
                <w:lang w:val="sq-AL"/>
              </w:rPr>
              <w:t xml:space="preserve"> Indeksi i përmirësimit të standardit të Sistemit Informatik të Planifikimit Strategjik të Integruar</w:t>
            </w:r>
            <w:r w:rsidR="001369C5">
              <w:rPr>
                <w:rFonts w:ascii="Times New Roman" w:hAnsi="Times New Roman" w:cs="Times New Roman"/>
                <w:noProof/>
                <w:sz w:val="22"/>
                <w:szCs w:val="22"/>
                <w:lang w:val="sq-AL"/>
              </w:rPr>
              <w:t>.</w:t>
            </w:r>
          </w:p>
          <w:p w14:paraId="0B525923" w14:textId="250F99B1" w:rsidR="00CE57AB" w:rsidRPr="00641640" w:rsidRDefault="00CE57AB" w:rsidP="003A395D">
            <w:pPr>
              <w:pStyle w:val="T-number"/>
              <w:spacing w:line="276" w:lineRule="auto"/>
              <w:ind w:left="0"/>
              <w:jc w:val="both"/>
              <w:rPr>
                <w:rFonts w:ascii="Times New Roman" w:eastAsiaTheme="minorHAnsi" w:hAnsi="Times New Roman" w:cs="Times New Roman"/>
                <w:noProof/>
                <w:sz w:val="22"/>
                <w:szCs w:val="22"/>
                <w:lang w:val="sq-AL"/>
              </w:rPr>
            </w:pPr>
            <w:r w:rsidRPr="00641640">
              <w:rPr>
                <w:rFonts w:ascii="Times New Roman" w:hAnsi="Times New Roman" w:cs="Times New Roman"/>
                <w:noProof/>
                <w:sz w:val="22"/>
                <w:szCs w:val="22"/>
                <w:lang w:val="sq-AL"/>
              </w:rPr>
              <w:t xml:space="preserve">       </w:t>
            </w:r>
          </w:p>
          <w:p w14:paraId="54890A4D" w14:textId="47776FBE" w:rsidR="00CE57AB" w:rsidRPr="00641640" w:rsidRDefault="00CE57AB" w:rsidP="003A395D">
            <w:pPr>
              <w:pStyle w:val="T-number"/>
              <w:spacing w:line="276" w:lineRule="auto"/>
              <w:ind w:left="0"/>
              <w:jc w:val="both"/>
              <w:rPr>
                <w:rFonts w:ascii="Times New Roman" w:hAnsi="Times New Roman" w:cs="Times New Roman"/>
                <w:b/>
                <w:noProof/>
                <w:sz w:val="22"/>
                <w:szCs w:val="22"/>
                <w:lang w:val="sq-AL"/>
              </w:rPr>
            </w:pPr>
            <w:r w:rsidRPr="00641640">
              <w:rPr>
                <w:rFonts w:ascii="Times New Roman" w:eastAsiaTheme="minorHAnsi" w:hAnsi="Times New Roman" w:cs="Times New Roman"/>
                <w:noProof/>
                <w:sz w:val="22"/>
                <w:szCs w:val="22"/>
                <w:lang w:val="sq-AL"/>
              </w:rPr>
              <w:t xml:space="preserve">     </w:t>
            </w:r>
          </w:p>
        </w:tc>
        <w:tc>
          <w:tcPr>
            <w:tcW w:w="2160" w:type="dxa"/>
          </w:tcPr>
          <w:p w14:paraId="7181694A" w14:textId="77777777" w:rsidR="007D1BF4" w:rsidRPr="00641640" w:rsidRDefault="007D1BF4" w:rsidP="003A395D">
            <w:pPr>
              <w:spacing w:line="276" w:lineRule="auto"/>
              <w:rPr>
                <w:rFonts w:ascii="Times New Roman" w:eastAsia="Arial" w:hAnsi="Times New Roman" w:cs="Times New Roman"/>
                <w:noProof/>
                <w:sz w:val="22"/>
                <w:szCs w:val="22"/>
                <w:lang w:val="sq-AL"/>
              </w:rPr>
            </w:pPr>
          </w:p>
          <w:p w14:paraId="1D206CC8" w14:textId="27EE06A3" w:rsidR="00CE57AB" w:rsidRPr="00641640" w:rsidRDefault="00DB7DAB"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Zhvillimi dhe koordinimi i politikave</w:t>
            </w:r>
          </w:p>
        </w:tc>
        <w:tc>
          <w:tcPr>
            <w:tcW w:w="2340" w:type="dxa"/>
          </w:tcPr>
          <w:p w14:paraId="0227DA1C" w14:textId="77777777" w:rsidR="007D1BF4" w:rsidRPr="00641640" w:rsidRDefault="007D1BF4" w:rsidP="003A395D">
            <w:pPr>
              <w:spacing w:line="276" w:lineRule="auto"/>
              <w:rPr>
                <w:rFonts w:ascii="Times New Roman" w:hAnsi="Times New Roman" w:cs="Times New Roman"/>
                <w:bCs/>
                <w:iCs/>
                <w:noProof/>
                <w:sz w:val="22"/>
                <w:szCs w:val="22"/>
                <w:lang w:val="sq-AL"/>
              </w:rPr>
            </w:pPr>
          </w:p>
          <w:p w14:paraId="24F35508" w14:textId="2BA7AA27" w:rsidR="00CE57AB" w:rsidRPr="00641640" w:rsidRDefault="00C54D90" w:rsidP="003A395D">
            <w:pPr>
              <w:spacing w:line="276" w:lineRule="auto"/>
              <w:rPr>
                <w:rFonts w:ascii="Times New Roman" w:eastAsia="Arial" w:hAnsi="Times New Roman" w:cs="Times New Roman"/>
                <w:bCs/>
                <w:iCs/>
                <w:noProof/>
                <w:sz w:val="22"/>
                <w:szCs w:val="22"/>
                <w:lang w:val="sq-AL"/>
              </w:rPr>
            </w:pPr>
            <w:r w:rsidRPr="00641640">
              <w:rPr>
                <w:rFonts w:ascii="Times New Roman" w:hAnsi="Times New Roman" w:cs="Times New Roman"/>
                <w:bCs/>
                <w:iCs/>
                <w:noProof/>
                <w:sz w:val="22"/>
                <w:szCs w:val="22"/>
                <w:lang w:val="sq-AL"/>
              </w:rPr>
              <w:t>1.1 Përmirësimi i koordinimit, përafrimit dhe buxhetimit të politikave me objektivat kombëtare dhe globale të zhvillimit përgjatë gjithë ciklit të planifikimit të integruar të politikave</w:t>
            </w:r>
            <w:r w:rsidR="001369C5">
              <w:rPr>
                <w:rFonts w:ascii="Times New Roman" w:hAnsi="Times New Roman" w:cs="Times New Roman"/>
                <w:bCs/>
                <w:iCs/>
                <w:noProof/>
                <w:sz w:val="22"/>
                <w:szCs w:val="22"/>
                <w:lang w:val="sq-AL"/>
              </w:rPr>
              <w:t>.</w:t>
            </w:r>
          </w:p>
        </w:tc>
        <w:tc>
          <w:tcPr>
            <w:tcW w:w="1890" w:type="dxa"/>
            <w:tcMar>
              <w:top w:w="15" w:type="dxa"/>
              <w:left w:w="75" w:type="dxa"/>
              <w:bottom w:w="15" w:type="dxa"/>
              <w:right w:w="75" w:type="dxa"/>
            </w:tcMar>
          </w:tcPr>
          <w:p w14:paraId="377FD617" w14:textId="77777777" w:rsidR="007D1BF4" w:rsidRPr="00641640" w:rsidRDefault="007D1BF4" w:rsidP="003A395D">
            <w:pPr>
              <w:spacing w:line="276" w:lineRule="auto"/>
              <w:rPr>
                <w:rFonts w:ascii="Times New Roman" w:eastAsia="Times New Roman" w:hAnsi="Times New Roman" w:cs="Times New Roman"/>
                <w:noProof/>
                <w:sz w:val="22"/>
                <w:szCs w:val="22"/>
                <w:lang w:val="sq-AL"/>
              </w:rPr>
            </w:pPr>
          </w:p>
          <w:p w14:paraId="7816D9B8" w14:textId="4DE724E9" w:rsidR="00CE57AB" w:rsidRPr="00641640" w:rsidRDefault="00C54D90" w:rsidP="003A395D">
            <w:pPr>
              <w:spacing w:line="276" w:lineRule="auto"/>
              <w:rPr>
                <w:rFonts w:ascii="Times New Roman" w:eastAsia="Arial" w:hAnsi="Times New Roman" w:cs="Times New Roman"/>
                <w:noProof/>
                <w:sz w:val="22"/>
                <w:szCs w:val="22"/>
                <w:lang w:val="sq-AL"/>
              </w:rPr>
            </w:pPr>
            <w:r w:rsidRPr="00641640">
              <w:rPr>
                <w:rFonts w:ascii="Times New Roman" w:eastAsia="Times New Roman" w:hAnsi="Times New Roman" w:cs="Times New Roman"/>
                <w:noProof/>
                <w:sz w:val="22"/>
                <w:szCs w:val="22"/>
                <w:lang w:val="sq-AL"/>
              </w:rPr>
              <w:t>Agjencia Shtetërore e Programimit Strategjik dhe Koordinimit të Ndihmës</w:t>
            </w:r>
          </w:p>
        </w:tc>
      </w:tr>
    </w:tbl>
    <w:p w14:paraId="5AD631C9" w14:textId="77777777" w:rsidR="00222020" w:rsidRDefault="00222020" w:rsidP="003A395D">
      <w:pPr>
        <w:spacing w:line="276" w:lineRule="auto"/>
        <w:jc w:val="both"/>
        <w:rPr>
          <w:rFonts w:ascii="Times New Roman" w:hAnsi="Times New Roman" w:cs="Times New Roman"/>
          <w:noProof/>
          <w:lang w:val="sq-AL"/>
        </w:rPr>
      </w:pPr>
    </w:p>
    <w:p w14:paraId="52C48D71" w14:textId="77777777" w:rsidR="00881A13" w:rsidRDefault="00881A13" w:rsidP="003A395D">
      <w:pPr>
        <w:spacing w:line="276" w:lineRule="auto"/>
        <w:jc w:val="both"/>
        <w:rPr>
          <w:rFonts w:ascii="Times New Roman" w:hAnsi="Times New Roman" w:cs="Times New Roman"/>
          <w:noProof/>
          <w:lang w:val="sq-AL"/>
        </w:rPr>
      </w:pPr>
    </w:p>
    <w:p w14:paraId="2ACEE881" w14:textId="77777777" w:rsidR="00881A13" w:rsidRDefault="00881A13" w:rsidP="003A395D">
      <w:pPr>
        <w:spacing w:line="276" w:lineRule="auto"/>
        <w:jc w:val="both"/>
        <w:rPr>
          <w:rFonts w:ascii="Times New Roman" w:hAnsi="Times New Roman" w:cs="Times New Roman"/>
          <w:noProof/>
          <w:lang w:val="sq-AL"/>
        </w:rPr>
      </w:pPr>
    </w:p>
    <w:p w14:paraId="2F3E0D89" w14:textId="77777777" w:rsidR="00881A13" w:rsidRDefault="00881A13" w:rsidP="003A395D">
      <w:pPr>
        <w:spacing w:line="276" w:lineRule="auto"/>
        <w:jc w:val="both"/>
        <w:rPr>
          <w:rFonts w:ascii="Times New Roman" w:hAnsi="Times New Roman" w:cs="Times New Roman"/>
          <w:noProof/>
          <w:lang w:val="sq-AL"/>
        </w:rPr>
      </w:pPr>
    </w:p>
    <w:p w14:paraId="00D9D3F1" w14:textId="77777777" w:rsidR="00881A13" w:rsidRPr="00641640" w:rsidRDefault="00881A13" w:rsidP="003A395D">
      <w:pPr>
        <w:spacing w:line="276" w:lineRule="auto"/>
        <w:jc w:val="both"/>
        <w:rPr>
          <w:rFonts w:ascii="Times New Roman" w:hAnsi="Times New Roman" w:cs="Times New Roman"/>
          <w:noProof/>
          <w:lang w:val="sq-AL"/>
        </w:rPr>
      </w:pPr>
    </w:p>
    <w:p w14:paraId="13F2AEAF" w14:textId="7A8A033F" w:rsidR="007A3B0C" w:rsidRPr="00641640" w:rsidRDefault="00B356B7" w:rsidP="003A395D">
      <w:pPr>
        <w:spacing w:line="276" w:lineRule="auto"/>
        <w:jc w:val="both"/>
        <w:rPr>
          <w:rFonts w:ascii="Times New Roman" w:hAnsi="Times New Roman" w:cs="Times New Roman"/>
          <w:b/>
          <w:i/>
          <w:noProof/>
          <w:sz w:val="24"/>
          <w:szCs w:val="24"/>
          <w:lang w:val="sq-AL"/>
        </w:rPr>
      </w:pPr>
      <w:r w:rsidRPr="00641640">
        <w:rPr>
          <w:rFonts w:ascii="Times New Roman" w:hAnsi="Times New Roman" w:cs="Times New Roman"/>
          <w:b/>
          <w:i/>
          <w:noProof/>
          <w:sz w:val="24"/>
          <w:szCs w:val="24"/>
          <w:lang w:val="sq-AL"/>
        </w:rPr>
        <w:lastRenderedPageBreak/>
        <w:t>Komponenti 1</w:t>
      </w:r>
      <w:r w:rsidR="006012DF" w:rsidRPr="00641640">
        <w:rPr>
          <w:rFonts w:ascii="Times New Roman" w:hAnsi="Times New Roman" w:cs="Times New Roman"/>
          <w:b/>
          <w:i/>
          <w:noProof/>
          <w:sz w:val="24"/>
          <w:szCs w:val="24"/>
          <w:lang w:val="sq-AL"/>
        </w:rPr>
        <w:t>.2</w:t>
      </w:r>
      <w:r w:rsidR="00C508B9" w:rsidRPr="00641640">
        <w:rPr>
          <w:rFonts w:ascii="Times New Roman" w:hAnsi="Times New Roman" w:cs="Times New Roman"/>
          <w:b/>
          <w:i/>
          <w:noProof/>
          <w:sz w:val="24"/>
          <w:szCs w:val="24"/>
          <w:lang w:val="sq-AL"/>
        </w:rPr>
        <w:t xml:space="preserve">: </w:t>
      </w:r>
      <w:r w:rsidR="009179B8" w:rsidRPr="00641640">
        <w:rPr>
          <w:rFonts w:ascii="Times New Roman" w:hAnsi="Times New Roman" w:cs="Times New Roman"/>
          <w:b/>
          <w:i/>
          <w:noProof/>
          <w:sz w:val="24"/>
          <w:szCs w:val="24"/>
          <w:lang w:val="sq-AL"/>
        </w:rPr>
        <w:t xml:space="preserve">Koordinimi </w:t>
      </w:r>
      <w:r w:rsidR="003958D2" w:rsidRPr="00641640">
        <w:rPr>
          <w:rFonts w:ascii="Times New Roman" w:hAnsi="Times New Roman" w:cs="Times New Roman"/>
          <w:b/>
          <w:i/>
          <w:noProof/>
          <w:sz w:val="24"/>
          <w:szCs w:val="24"/>
          <w:lang w:val="sq-AL"/>
        </w:rPr>
        <w:t xml:space="preserve">efikas </w:t>
      </w:r>
      <w:r w:rsidR="009179B8" w:rsidRPr="00641640">
        <w:rPr>
          <w:rFonts w:ascii="Times New Roman" w:hAnsi="Times New Roman" w:cs="Times New Roman"/>
          <w:b/>
          <w:i/>
          <w:noProof/>
          <w:sz w:val="24"/>
          <w:szCs w:val="24"/>
          <w:lang w:val="sq-AL"/>
        </w:rPr>
        <w:t xml:space="preserve">i </w:t>
      </w:r>
      <w:r w:rsidR="001D50E9" w:rsidRPr="00641640">
        <w:rPr>
          <w:rFonts w:ascii="Times New Roman" w:hAnsi="Times New Roman" w:cs="Times New Roman"/>
          <w:b/>
          <w:i/>
          <w:noProof/>
          <w:sz w:val="24"/>
          <w:szCs w:val="24"/>
          <w:lang w:val="sq-AL"/>
        </w:rPr>
        <w:t>p</w:t>
      </w:r>
      <w:r w:rsidR="009179B8" w:rsidRPr="00641640">
        <w:rPr>
          <w:rFonts w:ascii="Times New Roman" w:hAnsi="Times New Roman" w:cs="Times New Roman"/>
          <w:b/>
          <w:i/>
          <w:noProof/>
          <w:sz w:val="24"/>
          <w:szCs w:val="24"/>
          <w:lang w:val="sq-AL"/>
        </w:rPr>
        <w:t xml:space="preserve">rocesit të </w:t>
      </w:r>
      <w:r w:rsidR="001D50E9" w:rsidRPr="00641640">
        <w:rPr>
          <w:rFonts w:ascii="Times New Roman" w:hAnsi="Times New Roman" w:cs="Times New Roman"/>
          <w:b/>
          <w:i/>
          <w:noProof/>
          <w:sz w:val="24"/>
          <w:szCs w:val="24"/>
          <w:lang w:val="sq-AL"/>
        </w:rPr>
        <w:t>integrimit e</w:t>
      </w:r>
      <w:r w:rsidR="009179B8" w:rsidRPr="00641640">
        <w:rPr>
          <w:rFonts w:ascii="Times New Roman" w:hAnsi="Times New Roman" w:cs="Times New Roman"/>
          <w:b/>
          <w:i/>
          <w:noProof/>
          <w:sz w:val="24"/>
          <w:szCs w:val="24"/>
          <w:lang w:val="sq-AL"/>
        </w:rPr>
        <w:t xml:space="preserve">vropian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E4"/>
        <w:tblLook w:val="04A0" w:firstRow="1" w:lastRow="0" w:firstColumn="1" w:lastColumn="0" w:noHBand="0" w:noVBand="1"/>
      </w:tblPr>
      <w:tblGrid>
        <w:gridCol w:w="535"/>
        <w:gridCol w:w="8815"/>
      </w:tblGrid>
      <w:tr w:rsidR="003E2DE5" w:rsidRPr="00641640" w14:paraId="36C48742" w14:textId="77777777" w:rsidTr="003E2DE5">
        <w:tc>
          <w:tcPr>
            <w:tcW w:w="535" w:type="dxa"/>
            <w:shd w:val="clear" w:color="auto" w:fill="EAF4E4"/>
          </w:tcPr>
          <w:p w14:paraId="3C5DA6C8" w14:textId="78743739" w:rsidR="0081340E" w:rsidRPr="00641640" w:rsidRDefault="0081340E" w:rsidP="003A395D">
            <w:pPr>
              <w:spacing w:line="276" w:lineRule="auto"/>
              <w:jc w:val="both"/>
              <w:rPr>
                <w:rFonts w:ascii="Times New Roman" w:hAnsi="Times New Roman" w:cs="Times New Roman"/>
                <w:b/>
                <w:iCs/>
                <w:noProof/>
                <w:color w:val="003300"/>
                <w:sz w:val="24"/>
                <w:szCs w:val="24"/>
                <w:lang w:val="sq-AL"/>
              </w:rPr>
            </w:pPr>
            <w:r w:rsidRPr="00641640">
              <w:rPr>
                <w:rFonts w:ascii="Times New Roman" w:hAnsi="Times New Roman" w:cs="Times New Roman"/>
                <w:b/>
                <w:iCs/>
                <w:noProof/>
                <w:color w:val="003300"/>
                <w:sz w:val="24"/>
                <w:szCs w:val="24"/>
                <w:lang w:val="sq-AL"/>
              </w:rPr>
              <w:t>1.2</w:t>
            </w:r>
          </w:p>
        </w:tc>
        <w:tc>
          <w:tcPr>
            <w:tcW w:w="8815" w:type="dxa"/>
            <w:shd w:val="clear" w:color="auto" w:fill="EAF4E4"/>
          </w:tcPr>
          <w:p w14:paraId="6FD418B3" w14:textId="11BD7D3E" w:rsidR="0081340E" w:rsidRPr="00641640" w:rsidRDefault="0081340E" w:rsidP="003A395D">
            <w:pPr>
              <w:spacing w:line="276" w:lineRule="auto"/>
              <w:jc w:val="both"/>
              <w:rPr>
                <w:rFonts w:ascii="Times New Roman" w:hAnsi="Times New Roman" w:cs="Times New Roman"/>
                <w:b/>
                <w:i/>
                <w:noProof/>
                <w:color w:val="003300"/>
                <w:sz w:val="24"/>
                <w:szCs w:val="24"/>
                <w:lang w:val="sq-AL"/>
              </w:rPr>
            </w:pPr>
            <w:r w:rsidRPr="00641640">
              <w:rPr>
                <w:rFonts w:ascii="Times New Roman" w:hAnsi="Times New Roman" w:cs="Times New Roman"/>
                <w:b/>
                <w:bCs/>
                <w:noProof/>
                <w:color w:val="003300"/>
                <w:sz w:val="24"/>
                <w:szCs w:val="24"/>
                <w:lang w:val="sq-AL"/>
              </w:rPr>
              <w:t xml:space="preserve">Objektivi Specifik 1.2:  </w:t>
            </w:r>
            <w:r w:rsidRPr="00641640">
              <w:rPr>
                <w:rFonts w:ascii="Times New Roman" w:hAnsi="Times New Roman" w:cs="Times New Roman"/>
                <w:b/>
                <w:noProof/>
                <w:color w:val="003300"/>
                <w:sz w:val="24"/>
                <w:szCs w:val="24"/>
                <w:lang w:val="sq-AL"/>
              </w:rPr>
              <w:t>Zbatimi i një procesi të mirëkoordinuar dhe gjithëpërfshirës për integrimin evropian, duke fuqizuar kapacitetet e strukturave negociuese për të përballuar me sukses kërkesat e procesit</w:t>
            </w:r>
          </w:p>
        </w:tc>
      </w:tr>
    </w:tbl>
    <w:p w14:paraId="3DC94AED" w14:textId="3738C475" w:rsidR="0020795A" w:rsidRPr="00641640" w:rsidRDefault="0020795A" w:rsidP="003A395D">
      <w:pPr>
        <w:shd w:val="clear" w:color="auto" w:fill="FFFFFF"/>
        <w:spacing w:beforeAutospacing="1" w:line="276" w:lineRule="auto"/>
        <w:jc w:val="both"/>
        <w:textAlignment w:val="baseline"/>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Prioritetet</w:t>
      </w:r>
    </w:p>
    <w:p w14:paraId="3EDB3E71" w14:textId="36BE9727" w:rsidR="001D50E9" w:rsidRPr="00641640" w:rsidRDefault="001D50E9"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Procesi i integrimit në Bashkimin Evropian </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sht</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projekti madhor strategjik i Qeveris</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dhe shtetit shqiptar, i cili ofron udh</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rr</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fyesin m</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t</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qart</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për konsolidimin e institucioneve demokratike, garantimin e shtetit t</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drejt</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 dhe avancimin e reformave themelore drejt p</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rmbushjes s</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standardeve evropiane. Përmes këtij Objektivi Specifik synohet përshpejtimi i procesit të përmbushjes së kritereve të anëtarësimit në Bashkimin Evropian, në përputhje me Metodologjinë e re të Zgjerimit, përmes koordinimit efektiv të strukturave t</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rfshira n</w:t>
      </w:r>
      <w:r w:rsidR="00414343"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procesin e negociatave dhe forcimit të kapaciteteve institucionale për zbatimin e Marrëveshjes së Stabilizim-Asociimit.</w:t>
      </w:r>
    </w:p>
    <w:p w14:paraId="1868D433" w14:textId="032FDC3B" w:rsidR="009179B8" w:rsidRPr="00641640" w:rsidRDefault="009179B8"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Në këtë kontekst, Departamenti i Politikës dhe Integrimit Evropian në Kryeministri luan një rol </w:t>
      </w:r>
      <w:r w:rsidR="001D50E9" w:rsidRPr="00641640">
        <w:rPr>
          <w:rFonts w:ascii="Times New Roman" w:hAnsi="Times New Roman" w:cs="Times New Roman"/>
          <w:noProof/>
          <w:sz w:val="24"/>
          <w:szCs w:val="24"/>
          <w:lang w:val="sq-AL"/>
        </w:rPr>
        <w:t xml:space="preserve">kyç. </w:t>
      </w:r>
      <w:r w:rsidRPr="00641640">
        <w:rPr>
          <w:rFonts w:ascii="Times New Roman" w:hAnsi="Times New Roman" w:cs="Times New Roman"/>
          <w:noProof/>
          <w:sz w:val="24"/>
          <w:szCs w:val="24"/>
          <w:lang w:val="sq-AL"/>
        </w:rPr>
        <w:t xml:space="preserve">Në kuadër të forcimit të Sekretariatit të BE-së në rolin e qendrës së qeverisjes për monitorimin, garantimin e cilësisë dhe rritjen e kapaciteteve dhe aftësive në kuadër të procesit të integrimit evropian, si dhe Grupeve Ndërinstitucionale të Punës për Integrimin Evropian për përshpejtimin e procesit të anëtarësimit të Shqipërisë në BE, një sfidë potenciale </w:t>
      </w:r>
      <w:r w:rsidR="007F00FB" w:rsidRPr="00641640">
        <w:rPr>
          <w:rFonts w:ascii="Times New Roman" w:hAnsi="Times New Roman" w:cs="Times New Roman"/>
          <w:noProof/>
          <w:sz w:val="24"/>
          <w:szCs w:val="24"/>
          <w:lang w:val="sq-AL"/>
        </w:rPr>
        <w:t>ë</w:t>
      </w:r>
      <w:r w:rsidR="001F3C6F" w:rsidRPr="00641640">
        <w:rPr>
          <w:rFonts w:ascii="Times New Roman" w:hAnsi="Times New Roman" w:cs="Times New Roman"/>
          <w:noProof/>
          <w:sz w:val="24"/>
          <w:szCs w:val="24"/>
          <w:lang w:val="sq-AL"/>
        </w:rPr>
        <w:t>sht</w:t>
      </w:r>
      <w:r w:rsidR="007F00FB" w:rsidRPr="00641640">
        <w:rPr>
          <w:rFonts w:ascii="Times New Roman" w:hAnsi="Times New Roman" w:cs="Times New Roman"/>
          <w:noProof/>
          <w:sz w:val="24"/>
          <w:szCs w:val="24"/>
          <w:lang w:val="sq-AL"/>
        </w:rPr>
        <w:t>ë</w:t>
      </w:r>
      <w:r w:rsidR="001F3C6F"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nevoja për forcim të sekretariateve teknike të GNPIE me qëllim përmirësimin e punës dhe koordinimin e procesit të integrimit.</w:t>
      </w:r>
    </w:p>
    <w:p w14:paraId="06D66CD2" w14:textId="77777777" w:rsidR="003E2DE5" w:rsidRPr="00641640" w:rsidRDefault="003E2DE5" w:rsidP="00F863ED">
      <w:pPr>
        <w:spacing w:after="0" w:line="276" w:lineRule="auto"/>
        <w:jc w:val="both"/>
        <w:rPr>
          <w:rFonts w:ascii="Times New Roman" w:hAnsi="Times New Roman" w:cs="Times New Roman"/>
          <w:noProof/>
          <w:sz w:val="24"/>
          <w:szCs w:val="24"/>
          <w:lang w:val="sq-AL"/>
        </w:rPr>
      </w:pPr>
    </w:p>
    <w:p w14:paraId="2D5522A8" w14:textId="77777777" w:rsidR="00222020" w:rsidRPr="00641640" w:rsidRDefault="00222020" w:rsidP="00F863ED">
      <w:p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imes New Roman" w:hAnsi="Times New Roman" w:cs="Times New Roman"/>
          <w:b/>
          <w:bCs/>
          <w:noProof/>
          <w:sz w:val="24"/>
          <w:szCs w:val="24"/>
          <w:lang w:val="sq-AL"/>
        </w:rPr>
        <w:t>Rezultatet e pritshme nga zbatimi i masave që lidhen me Objektivin Specifik</w:t>
      </w:r>
    </w:p>
    <w:p w14:paraId="365B81B2" w14:textId="577B0832" w:rsidR="004B6906" w:rsidRPr="00641640" w:rsidRDefault="004B6906" w:rsidP="00F863ED">
      <w:pPr>
        <w:spacing w:line="276" w:lineRule="auto"/>
        <w:jc w:val="both"/>
        <w:rPr>
          <w:rFonts w:ascii="Times New Roman" w:eastAsia="Times New Roman" w:hAnsi="Times New Roman" w:cs="Times New Roman"/>
          <w:bCs/>
          <w:iCs/>
          <w:noProof/>
          <w:sz w:val="24"/>
          <w:szCs w:val="24"/>
          <w:lang w:val="sq-AL"/>
        </w:rPr>
      </w:pPr>
      <w:r w:rsidRPr="00641640">
        <w:rPr>
          <w:rFonts w:ascii="Times New Roman" w:hAnsi="Times New Roman" w:cs="Times New Roman"/>
          <w:bCs/>
          <w:iCs/>
          <w:noProof/>
          <w:sz w:val="24"/>
          <w:szCs w:val="24"/>
          <w:lang w:val="sq-AL"/>
        </w:rPr>
        <w:t xml:space="preserve">Objektivi Specifik 1.2, </w:t>
      </w:r>
      <w:r w:rsidR="00EE539E" w:rsidRPr="00641640">
        <w:rPr>
          <w:rFonts w:ascii="Times New Roman" w:hAnsi="Times New Roman" w:cs="Times New Roman"/>
          <w:bCs/>
          <w:iCs/>
          <w:noProof/>
          <w:sz w:val="24"/>
          <w:szCs w:val="24"/>
          <w:lang w:val="sq-AL"/>
        </w:rPr>
        <w:t>duke synuar nj</w:t>
      </w:r>
      <w:r w:rsidR="00F7690C" w:rsidRPr="00641640">
        <w:rPr>
          <w:rFonts w:ascii="Times New Roman" w:hAnsi="Times New Roman" w:cs="Times New Roman"/>
          <w:bCs/>
          <w:iCs/>
          <w:noProof/>
          <w:sz w:val="24"/>
          <w:szCs w:val="24"/>
          <w:lang w:val="sq-AL"/>
        </w:rPr>
        <w:t>ë</w:t>
      </w:r>
      <w:r w:rsidR="00EE539E" w:rsidRPr="00641640">
        <w:rPr>
          <w:rFonts w:ascii="Times New Roman" w:hAnsi="Times New Roman" w:cs="Times New Roman"/>
          <w:bCs/>
          <w:iCs/>
          <w:noProof/>
          <w:sz w:val="24"/>
          <w:szCs w:val="24"/>
          <w:lang w:val="sq-AL"/>
        </w:rPr>
        <w:t xml:space="preserve"> k</w:t>
      </w:r>
      <w:r w:rsidRPr="00641640">
        <w:rPr>
          <w:rFonts w:ascii="Times New Roman" w:hAnsi="Times New Roman" w:cs="Times New Roman"/>
          <w:bCs/>
          <w:iCs/>
          <w:noProof/>
          <w:sz w:val="24"/>
          <w:szCs w:val="24"/>
          <w:lang w:val="sq-AL"/>
        </w:rPr>
        <w:t xml:space="preserve">oordinim efikas </w:t>
      </w:r>
      <w:r w:rsidR="00F7690C" w:rsidRPr="00641640">
        <w:rPr>
          <w:rFonts w:ascii="Times New Roman" w:hAnsi="Times New Roman" w:cs="Times New Roman"/>
          <w:bCs/>
          <w:iCs/>
          <w:noProof/>
          <w:sz w:val="24"/>
          <w:szCs w:val="24"/>
          <w:lang w:val="sq-AL"/>
        </w:rPr>
        <w:t>të</w:t>
      </w:r>
      <w:r w:rsidRPr="00641640">
        <w:rPr>
          <w:rFonts w:ascii="Times New Roman" w:hAnsi="Times New Roman" w:cs="Times New Roman"/>
          <w:bCs/>
          <w:iCs/>
          <w:noProof/>
          <w:sz w:val="24"/>
          <w:szCs w:val="24"/>
          <w:lang w:val="sq-AL"/>
        </w:rPr>
        <w:t xml:space="preserve"> procesit të integrimit evropian</w:t>
      </w:r>
      <w:r w:rsidR="00A84CEE" w:rsidRPr="00641640">
        <w:rPr>
          <w:rFonts w:ascii="Times New Roman" w:hAnsi="Times New Roman" w:cs="Times New Roman"/>
          <w:bCs/>
          <w:iCs/>
          <w:noProof/>
          <w:sz w:val="24"/>
          <w:szCs w:val="24"/>
          <w:lang w:val="sq-AL"/>
        </w:rPr>
        <w:t>, n</w:t>
      </w:r>
      <w:r w:rsidR="00F7690C" w:rsidRPr="00641640">
        <w:rPr>
          <w:rFonts w:ascii="Times New Roman" w:hAnsi="Times New Roman" w:cs="Times New Roman"/>
          <w:bCs/>
          <w:iCs/>
          <w:noProof/>
          <w:sz w:val="24"/>
          <w:szCs w:val="24"/>
          <w:lang w:val="sq-AL"/>
        </w:rPr>
        <w:t>ë</w:t>
      </w:r>
      <w:r w:rsidR="00A84CEE" w:rsidRPr="00641640">
        <w:rPr>
          <w:rFonts w:ascii="Times New Roman" w:hAnsi="Times New Roman" w:cs="Times New Roman"/>
          <w:bCs/>
          <w:iCs/>
          <w:noProof/>
          <w:sz w:val="24"/>
          <w:szCs w:val="24"/>
          <w:lang w:val="sq-AL"/>
        </w:rPr>
        <w:t>p</w:t>
      </w:r>
      <w:r w:rsidR="00F7690C" w:rsidRPr="00641640">
        <w:rPr>
          <w:rFonts w:ascii="Times New Roman" w:hAnsi="Times New Roman" w:cs="Times New Roman"/>
          <w:bCs/>
          <w:iCs/>
          <w:noProof/>
          <w:sz w:val="24"/>
          <w:szCs w:val="24"/>
          <w:lang w:val="sq-AL"/>
        </w:rPr>
        <w:t>ë</w:t>
      </w:r>
      <w:r w:rsidR="00A84CEE" w:rsidRPr="00641640">
        <w:rPr>
          <w:rFonts w:ascii="Times New Roman" w:hAnsi="Times New Roman" w:cs="Times New Roman"/>
          <w:bCs/>
          <w:iCs/>
          <w:noProof/>
          <w:sz w:val="24"/>
          <w:szCs w:val="24"/>
          <w:lang w:val="sq-AL"/>
        </w:rPr>
        <w:t xml:space="preserve">rmjet </w:t>
      </w:r>
      <w:r w:rsidR="00F7690C" w:rsidRPr="00641640">
        <w:rPr>
          <w:rFonts w:ascii="Times New Roman" w:hAnsi="Times New Roman" w:cs="Times New Roman"/>
          <w:bCs/>
          <w:iCs/>
          <w:noProof/>
          <w:sz w:val="24"/>
          <w:szCs w:val="24"/>
          <w:lang w:val="sq-AL"/>
        </w:rPr>
        <w:t>masave dhe aktiviteteve të planifikuara në këtë drejtim, pritet të ketë rezultatet si më poshtë:</w:t>
      </w:r>
    </w:p>
    <w:p w14:paraId="34D784E3" w14:textId="23695697" w:rsidR="00222020" w:rsidRPr="00641640" w:rsidRDefault="00222020" w:rsidP="00F863ED">
      <w:pPr>
        <w:spacing w:line="276" w:lineRule="auto"/>
        <w:jc w:val="both"/>
        <w:rPr>
          <w:rFonts w:ascii="Times New Roman" w:eastAsiaTheme="minorHAnsi"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1:</w:t>
      </w:r>
      <w:r w:rsidRPr="00641640">
        <w:rPr>
          <w:rFonts w:ascii="Times New Roman" w:eastAsia="Times New Roman" w:hAnsi="Times New Roman" w:cs="Times New Roman"/>
          <w:noProof/>
          <w:sz w:val="24"/>
          <w:szCs w:val="24"/>
          <w:lang w:val="sq-AL"/>
        </w:rPr>
        <w:t xml:space="preserve"> </w:t>
      </w:r>
      <w:r w:rsidR="0081059B" w:rsidRPr="00641640">
        <w:rPr>
          <w:rFonts w:ascii="Times New Roman" w:eastAsiaTheme="minorHAnsi" w:hAnsi="Times New Roman" w:cs="Times New Roman"/>
          <w:bCs/>
          <w:noProof/>
          <w:sz w:val="24"/>
          <w:szCs w:val="24"/>
          <w:lang w:val="sq-AL"/>
        </w:rPr>
        <w:t>Plani i ri Kombëtar gjithëpërfshirës për Integrimin Evropian 2024-2030 i miratuar, bazuar në Programin Kombëtar të Aderimit në Bashkimin Evropian (PKABE).</w:t>
      </w:r>
      <w:r w:rsidRPr="00641640">
        <w:rPr>
          <w:rFonts w:ascii="Times New Roman" w:eastAsiaTheme="minorHAnsi" w:hAnsi="Times New Roman" w:cs="Times New Roman"/>
          <w:noProof/>
          <w:sz w:val="24"/>
          <w:szCs w:val="24"/>
          <w:lang w:val="sq-AL"/>
        </w:rPr>
        <w:t xml:space="preserve"> </w:t>
      </w:r>
    </w:p>
    <w:p w14:paraId="4B11C2CB" w14:textId="739FDBEC" w:rsidR="00222020" w:rsidRPr="00641640" w:rsidRDefault="00222020" w:rsidP="00F863ED">
      <w:pPr>
        <w:spacing w:line="276" w:lineRule="auto"/>
        <w:jc w:val="both"/>
        <w:rPr>
          <w:rFonts w:ascii="Times New Roman" w:eastAsiaTheme="minorHAnsi" w:hAnsi="Times New Roman" w:cs="Times New Roman"/>
          <w:bCs/>
          <w:noProof/>
          <w:sz w:val="24"/>
          <w:szCs w:val="24"/>
          <w:lang w:val="sq-AL"/>
        </w:rPr>
      </w:pPr>
      <w:r w:rsidRPr="00641640">
        <w:rPr>
          <w:rFonts w:ascii="Times New Roman" w:eastAsia="Times New Roman" w:hAnsi="Times New Roman" w:cs="Times New Roman"/>
          <w:b/>
          <w:bCs/>
          <w:noProof/>
          <w:sz w:val="24"/>
          <w:szCs w:val="24"/>
          <w:lang w:val="sq-AL"/>
        </w:rPr>
        <w:t>Rezultati 2:</w:t>
      </w:r>
      <w:r w:rsidRPr="00641640">
        <w:rPr>
          <w:rFonts w:ascii="Times New Roman" w:eastAsia="Times New Roman" w:hAnsi="Times New Roman" w:cs="Times New Roman"/>
          <w:noProof/>
          <w:sz w:val="24"/>
          <w:szCs w:val="24"/>
          <w:lang w:val="sq-AL"/>
        </w:rPr>
        <w:t xml:space="preserve"> </w:t>
      </w:r>
      <w:r w:rsidR="00134CD4" w:rsidRPr="00641640">
        <w:rPr>
          <w:rFonts w:ascii="Times New Roman" w:eastAsiaTheme="minorHAnsi" w:hAnsi="Times New Roman" w:cs="Times New Roman"/>
          <w:bCs/>
          <w:noProof/>
          <w:sz w:val="24"/>
          <w:szCs w:val="24"/>
          <w:lang w:val="sq-AL"/>
        </w:rPr>
        <w:t xml:space="preserve">Kuadri rregullator për përgatitjen e versionit kombëtar të </w:t>
      </w:r>
      <w:r w:rsidR="00134CD4" w:rsidRPr="00641640">
        <w:rPr>
          <w:rFonts w:ascii="Times New Roman" w:eastAsiaTheme="minorHAnsi" w:hAnsi="Times New Roman" w:cs="Times New Roman"/>
          <w:bCs/>
          <w:i/>
          <w:noProof/>
          <w:sz w:val="24"/>
          <w:szCs w:val="24"/>
          <w:lang w:val="sq-AL"/>
        </w:rPr>
        <w:t>acquis</w:t>
      </w:r>
      <w:r w:rsidR="00134CD4" w:rsidRPr="00641640">
        <w:rPr>
          <w:rFonts w:ascii="Times New Roman" w:eastAsiaTheme="minorHAnsi" w:hAnsi="Times New Roman" w:cs="Times New Roman"/>
          <w:bCs/>
          <w:noProof/>
          <w:sz w:val="24"/>
          <w:szCs w:val="24"/>
          <w:lang w:val="sq-AL"/>
        </w:rPr>
        <w:t>-së së BE-së i miratuar dhe funksional</w:t>
      </w:r>
      <w:r w:rsidR="00E64547" w:rsidRPr="00641640">
        <w:rPr>
          <w:rFonts w:ascii="Times New Roman" w:eastAsiaTheme="minorHAnsi" w:hAnsi="Times New Roman" w:cs="Times New Roman"/>
          <w:bCs/>
          <w:noProof/>
          <w:sz w:val="24"/>
          <w:szCs w:val="24"/>
          <w:lang w:val="sq-AL"/>
        </w:rPr>
        <w:t>.</w:t>
      </w:r>
    </w:p>
    <w:p w14:paraId="036AC6C8" w14:textId="65F17CD8" w:rsidR="00222020" w:rsidRPr="00641640" w:rsidRDefault="00222020"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3:</w:t>
      </w:r>
      <w:r w:rsidRPr="00641640">
        <w:rPr>
          <w:rFonts w:ascii="Times New Roman" w:eastAsia="Times New Roman" w:hAnsi="Times New Roman" w:cs="Times New Roman"/>
          <w:noProof/>
          <w:sz w:val="24"/>
          <w:szCs w:val="24"/>
          <w:lang w:val="sq-AL"/>
        </w:rPr>
        <w:t xml:space="preserve"> </w:t>
      </w:r>
      <w:r w:rsidR="00C83610" w:rsidRPr="00641640">
        <w:rPr>
          <w:rFonts w:ascii="Times New Roman" w:eastAsiaTheme="minorHAnsi" w:hAnsi="Times New Roman" w:cs="Times New Roman"/>
          <w:noProof/>
          <w:sz w:val="24"/>
          <w:szCs w:val="24"/>
          <w:lang w:val="sq-AL"/>
        </w:rPr>
        <w:t>For</w:t>
      </w:r>
      <w:r w:rsidR="009A0130" w:rsidRPr="00641640">
        <w:rPr>
          <w:rFonts w:ascii="Times New Roman" w:eastAsiaTheme="minorHAnsi" w:hAnsi="Times New Roman" w:cs="Times New Roman"/>
          <w:noProof/>
          <w:sz w:val="24"/>
          <w:szCs w:val="24"/>
          <w:lang w:val="sq-AL"/>
        </w:rPr>
        <w:t xml:space="preserve">cimi i kapaciteteve </w:t>
      </w:r>
      <w:r w:rsidR="00EF51F7" w:rsidRPr="00641640">
        <w:rPr>
          <w:rFonts w:ascii="Times New Roman" w:eastAsiaTheme="minorHAnsi" w:hAnsi="Times New Roman" w:cs="Times New Roman"/>
          <w:noProof/>
          <w:sz w:val="24"/>
          <w:szCs w:val="24"/>
          <w:lang w:val="sq-AL"/>
        </w:rPr>
        <w:t>administrative t</w:t>
      </w:r>
      <w:r w:rsidR="00EC274E" w:rsidRPr="00641640">
        <w:rPr>
          <w:rFonts w:ascii="Times New Roman" w:eastAsiaTheme="minorHAnsi" w:hAnsi="Times New Roman" w:cs="Times New Roman"/>
          <w:noProof/>
          <w:sz w:val="24"/>
          <w:szCs w:val="24"/>
          <w:lang w:val="sq-AL"/>
        </w:rPr>
        <w:t>ë</w:t>
      </w:r>
      <w:r w:rsidR="00EF51F7" w:rsidRPr="00641640">
        <w:rPr>
          <w:rFonts w:ascii="Times New Roman" w:eastAsiaTheme="minorHAnsi" w:hAnsi="Times New Roman" w:cs="Times New Roman"/>
          <w:noProof/>
          <w:sz w:val="24"/>
          <w:szCs w:val="24"/>
          <w:lang w:val="sq-AL"/>
        </w:rPr>
        <w:t xml:space="preserve"> </w:t>
      </w:r>
      <w:r w:rsidR="005B5C4F" w:rsidRPr="00641640">
        <w:rPr>
          <w:rFonts w:ascii="Times New Roman" w:eastAsiaTheme="minorHAnsi" w:hAnsi="Times New Roman" w:cs="Times New Roman"/>
          <w:noProof/>
          <w:sz w:val="24"/>
          <w:szCs w:val="24"/>
          <w:lang w:val="sq-AL"/>
        </w:rPr>
        <w:t>Sekretariatit të BE dhe</w:t>
      </w:r>
      <w:r w:rsidR="00577CF8" w:rsidRPr="00641640">
        <w:rPr>
          <w:rFonts w:ascii="Times New Roman" w:eastAsiaTheme="minorHAnsi" w:hAnsi="Times New Roman" w:cs="Times New Roman"/>
          <w:noProof/>
          <w:sz w:val="24"/>
          <w:szCs w:val="24"/>
          <w:lang w:val="sq-AL"/>
        </w:rPr>
        <w:t xml:space="preserve"> </w:t>
      </w:r>
      <w:r w:rsidR="007769DC" w:rsidRPr="00641640">
        <w:rPr>
          <w:rFonts w:ascii="Times New Roman" w:hAnsi="Times New Roman" w:cs="Times New Roman"/>
          <w:noProof/>
          <w:sz w:val="24"/>
          <w:szCs w:val="24"/>
          <w:lang w:val="sq-AL"/>
        </w:rPr>
        <w:t>Grupeve Ndërinstitucionale të Punës për Integrimin Evropian</w:t>
      </w:r>
      <w:r w:rsidRPr="00641640">
        <w:rPr>
          <w:rFonts w:ascii="Times New Roman" w:eastAsiaTheme="minorHAnsi" w:hAnsi="Times New Roman" w:cs="Times New Roman"/>
          <w:noProof/>
          <w:sz w:val="24"/>
          <w:szCs w:val="24"/>
          <w:lang w:val="sq-AL"/>
        </w:rPr>
        <w:t xml:space="preserve"> </w:t>
      </w:r>
      <w:r w:rsidR="005B5C4F" w:rsidRPr="00641640">
        <w:rPr>
          <w:rFonts w:ascii="Times New Roman" w:eastAsiaTheme="minorHAnsi" w:hAnsi="Times New Roman" w:cs="Times New Roman"/>
          <w:noProof/>
          <w:sz w:val="24"/>
          <w:szCs w:val="24"/>
          <w:lang w:val="sq-AL"/>
        </w:rPr>
        <w:t>(GNPIE).</w:t>
      </w:r>
    </w:p>
    <w:p w14:paraId="3258A2C0" w14:textId="175CC4C8" w:rsidR="00222020" w:rsidRPr="00641640" w:rsidRDefault="00222020"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kryesore:</w:t>
      </w:r>
      <w:r w:rsidRPr="00641640">
        <w:rPr>
          <w:rFonts w:ascii="Times New Roman" w:eastAsia="Times New Roman" w:hAnsi="Times New Roman" w:cs="Times New Roman"/>
          <w:noProof/>
          <w:sz w:val="24"/>
          <w:szCs w:val="24"/>
          <w:lang w:val="sq-AL"/>
        </w:rPr>
        <w:t xml:space="preserve"> </w:t>
      </w:r>
      <w:r w:rsidR="00585055" w:rsidRPr="00641640">
        <w:rPr>
          <w:rFonts w:ascii="Times New Roman" w:eastAsia="Times New Roman" w:hAnsi="Times New Roman" w:cs="Times New Roman"/>
          <w:noProof/>
          <w:sz w:val="24"/>
          <w:szCs w:val="24"/>
          <w:lang w:val="sq-AL"/>
        </w:rPr>
        <w:t>Kryeministri</w:t>
      </w:r>
      <w:r w:rsidR="005E2C93">
        <w:rPr>
          <w:rFonts w:ascii="Times New Roman" w:eastAsia="Times New Roman" w:hAnsi="Times New Roman" w:cs="Times New Roman"/>
          <w:noProof/>
          <w:sz w:val="24"/>
          <w:szCs w:val="24"/>
          <w:lang w:val="sq-AL"/>
        </w:rPr>
        <w:t>a, MSHKN</w:t>
      </w:r>
      <w:r w:rsidR="00A70A11">
        <w:rPr>
          <w:rFonts w:ascii="Times New Roman" w:eastAsia="Times New Roman" w:hAnsi="Times New Roman" w:cs="Times New Roman"/>
          <w:noProof/>
          <w:sz w:val="24"/>
          <w:szCs w:val="24"/>
          <w:lang w:val="sq-AL"/>
        </w:rPr>
        <w:t>, ASPA</w:t>
      </w:r>
      <w:r w:rsidR="00B14566">
        <w:rPr>
          <w:rFonts w:ascii="Times New Roman" w:eastAsia="Times New Roman" w:hAnsi="Times New Roman" w:cs="Times New Roman"/>
          <w:noProof/>
          <w:sz w:val="24"/>
          <w:szCs w:val="24"/>
          <w:lang w:val="sq-AL"/>
        </w:rPr>
        <w:t>.</w:t>
      </w:r>
    </w:p>
    <w:p w14:paraId="0D686D28" w14:textId="3E6D5FDB" w:rsidR="00222020" w:rsidRPr="00641640" w:rsidDel="001914E6" w:rsidRDefault="00222020"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kontributore:</w:t>
      </w:r>
      <w:r w:rsidRPr="00641640">
        <w:rPr>
          <w:rFonts w:ascii="Times New Roman" w:eastAsia="Times New Roman" w:hAnsi="Times New Roman" w:cs="Times New Roman"/>
          <w:noProof/>
          <w:sz w:val="24"/>
          <w:szCs w:val="24"/>
          <w:lang w:val="sq-AL"/>
        </w:rPr>
        <w:t xml:space="preserve"> </w:t>
      </w:r>
      <w:r w:rsidR="00A70A11" w:rsidRPr="00641640">
        <w:rPr>
          <w:rFonts w:ascii="Times New Roman" w:eastAsia="Times New Roman" w:hAnsi="Times New Roman" w:cs="Times New Roman"/>
          <w:noProof/>
          <w:sz w:val="24"/>
          <w:szCs w:val="24"/>
          <w:lang w:val="sq-AL"/>
        </w:rPr>
        <w:t>Kryeministri</w:t>
      </w:r>
      <w:r w:rsidR="00A70A11">
        <w:rPr>
          <w:rFonts w:ascii="Times New Roman" w:eastAsia="Times New Roman" w:hAnsi="Times New Roman" w:cs="Times New Roman"/>
          <w:noProof/>
          <w:sz w:val="24"/>
          <w:szCs w:val="24"/>
          <w:lang w:val="sq-AL"/>
        </w:rPr>
        <w:t>a, Ministritë e linjës</w:t>
      </w:r>
      <w:r w:rsidR="00B14566">
        <w:rPr>
          <w:rFonts w:ascii="Times New Roman" w:eastAsia="Times New Roman" w:hAnsi="Times New Roman" w:cs="Times New Roman"/>
          <w:noProof/>
          <w:sz w:val="24"/>
          <w:szCs w:val="24"/>
          <w:lang w:val="sq-AL"/>
        </w:rPr>
        <w:t>.</w:t>
      </w:r>
    </w:p>
    <w:p w14:paraId="7A303CFE" w14:textId="77777777" w:rsidR="00222020" w:rsidRPr="00641640" w:rsidRDefault="00222020" w:rsidP="003A395D">
      <w:pPr>
        <w:spacing w:after="0" w:line="276" w:lineRule="auto"/>
        <w:jc w:val="both"/>
        <w:rPr>
          <w:rFonts w:ascii="Times New Roman" w:hAnsi="Times New Roman" w:cs="Times New Roman"/>
          <w:noProof/>
          <w:sz w:val="24"/>
          <w:szCs w:val="24"/>
          <w:lang w:val="sq-AL"/>
        </w:rPr>
      </w:pPr>
    </w:p>
    <w:p w14:paraId="70C76AB2" w14:textId="7F4D19E3" w:rsidR="00222020" w:rsidRPr="00641640" w:rsidRDefault="00222020"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lastRenderedPageBreak/>
        <w:t>Masat dhe aktivitetet</w:t>
      </w:r>
    </w:p>
    <w:p w14:paraId="73C2ECCC" w14:textId="704F073D" w:rsidR="00121E2B" w:rsidRPr="00641640" w:rsidRDefault="00121E2B"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Ky </w:t>
      </w:r>
      <w:r w:rsidR="00457ECC" w:rsidRPr="00641640">
        <w:rPr>
          <w:rFonts w:ascii="Times New Roman" w:hAnsi="Times New Roman" w:cs="Times New Roman"/>
          <w:noProof/>
          <w:sz w:val="24"/>
          <w:szCs w:val="24"/>
          <w:lang w:val="sq-AL"/>
        </w:rPr>
        <w:t>o</w:t>
      </w:r>
      <w:r w:rsidRPr="00641640">
        <w:rPr>
          <w:rFonts w:ascii="Times New Roman" w:hAnsi="Times New Roman" w:cs="Times New Roman"/>
          <w:noProof/>
          <w:sz w:val="24"/>
          <w:szCs w:val="24"/>
          <w:lang w:val="sq-AL"/>
        </w:rPr>
        <w:t xml:space="preserve">bjektiv </w:t>
      </w:r>
      <w:r w:rsidR="00457ECC" w:rsidRPr="00641640">
        <w:rPr>
          <w:rFonts w:ascii="Times New Roman" w:hAnsi="Times New Roman" w:cs="Times New Roman"/>
          <w:noProof/>
          <w:sz w:val="24"/>
          <w:szCs w:val="24"/>
          <w:lang w:val="sq-AL"/>
        </w:rPr>
        <w:t>s</w:t>
      </w:r>
      <w:r w:rsidRPr="00641640">
        <w:rPr>
          <w:rFonts w:ascii="Times New Roman" w:hAnsi="Times New Roman" w:cs="Times New Roman"/>
          <w:noProof/>
          <w:sz w:val="24"/>
          <w:szCs w:val="24"/>
          <w:lang w:val="sq-AL"/>
        </w:rPr>
        <w:t>pecifik do të zbatohet përmes masave të mëposhtme, teksa aktivitetet konkrete për periudhën e parë të zbatimit të SNRAP 202</w:t>
      </w:r>
      <w:r w:rsidR="00457ECC" w:rsidRPr="00641640">
        <w:rPr>
          <w:rFonts w:ascii="Times New Roman" w:hAnsi="Times New Roman" w:cs="Times New Roman"/>
          <w:noProof/>
          <w:sz w:val="24"/>
          <w:szCs w:val="24"/>
          <w:lang w:val="sq-AL"/>
        </w:rPr>
        <w:t>5</w:t>
      </w:r>
      <w:r w:rsidRPr="00641640">
        <w:rPr>
          <w:rFonts w:ascii="Times New Roman" w:hAnsi="Times New Roman" w:cs="Times New Roman"/>
          <w:noProof/>
          <w:sz w:val="24"/>
          <w:szCs w:val="24"/>
          <w:lang w:val="sq-AL"/>
        </w:rPr>
        <w:t>-2030 mund të gjenden në Planin e Veprimit 202</w:t>
      </w:r>
      <w:r w:rsidR="00457ECC" w:rsidRPr="00641640">
        <w:rPr>
          <w:rFonts w:ascii="Times New Roman" w:hAnsi="Times New Roman" w:cs="Times New Roman"/>
          <w:noProof/>
          <w:sz w:val="24"/>
          <w:szCs w:val="24"/>
          <w:lang w:val="sq-AL"/>
        </w:rPr>
        <w:t>5</w:t>
      </w:r>
      <w:r w:rsidRPr="00641640">
        <w:rPr>
          <w:rFonts w:ascii="Times New Roman" w:hAnsi="Times New Roman" w:cs="Times New Roman"/>
          <w:noProof/>
          <w:sz w:val="24"/>
          <w:szCs w:val="24"/>
          <w:lang w:val="sq-AL"/>
        </w:rPr>
        <w:t>-202</w:t>
      </w:r>
      <w:r w:rsidR="003A3394" w:rsidRPr="00641640">
        <w:rPr>
          <w:rFonts w:ascii="Times New Roman" w:hAnsi="Times New Roman" w:cs="Times New Roman"/>
          <w:noProof/>
          <w:sz w:val="24"/>
          <w:szCs w:val="24"/>
          <w:lang w:val="sq-AL"/>
        </w:rPr>
        <w:t>7</w:t>
      </w:r>
      <w:r w:rsidRPr="00641640">
        <w:rPr>
          <w:rFonts w:ascii="Times New Roman" w:hAnsi="Times New Roman" w:cs="Times New Roman"/>
          <w:noProof/>
          <w:sz w:val="24"/>
          <w:szCs w:val="24"/>
          <w:lang w:val="sq-AL"/>
        </w:rPr>
        <w:t xml:space="preserve"> (Aneksi nr. 1).</w:t>
      </w:r>
    </w:p>
    <w:tbl>
      <w:tblPr>
        <w:tblStyle w:val="TableGrid"/>
        <w:tblW w:w="0" w:type="auto"/>
        <w:shd w:val="clear" w:color="auto" w:fill="C5E0B3" w:themeFill="accent6" w:themeFillTint="66"/>
        <w:tblLook w:val="04A0" w:firstRow="1" w:lastRow="0" w:firstColumn="1" w:lastColumn="0" w:noHBand="0" w:noVBand="1"/>
      </w:tblPr>
      <w:tblGrid>
        <w:gridCol w:w="805"/>
        <w:gridCol w:w="8545"/>
      </w:tblGrid>
      <w:tr w:rsidR="00121E2B" w:rsidRPr="00641640" w14:paraId="4E03514C" w14:textId="77777777" w:rsidTr="004000FD">
        <w:trPr>
          <w:trHeight w:val="1205"/>
        </w:trPr>
        <w:tc>
          <w:tcPr>
            <w:tcW w:w="9350" w:type="dxa"/>
            <w:gridSpan w:val="2"/>
            <w:shd w:val="clear" w:color="auto" w:fill="C5E0B3" w:themeFill="accent6" w:themeFillTint="66"/>
          </w:tcPr>
          <w:p w14:paraId="1803348A" w14:textId="53592150" w:rsidR="00121E2B" w:rsidRPr="00641640" w:rsidRDefault="006012DF" w:rsidP="00573188">
            <w:pPr>
              <w:spacing w:before="240" w:line="276" w:lineRule="auto"/>
              <w:jc w:val="both"/>
              <w:textAlignment w:val="baseline"/>
              <w:rPr>
                <w:rFonts w:ascii="Times New Roman" w:hAnsi="Times New Roman" w:cs="Times New Roman"/>
                <w:b/>
                <w:i/>
                <w:noProof/>
                <w:sz w:val="22"/>
                <w:szCs w:val="22"/>
                <w:lang w:val="sq-AL"/>
              </w:rPr>
            </w:pPr>
            <w:r w:rsidRPr="00641640">
              <w:rPr>
                <w:rFonts w:ascii="Times New Roman" w:hAnsi="Times New Roman" w:cs="Times New Roman"/>
                <w:b/>
                <w:i/>
                <w:noProof/>
                <w:sz w:val="22"/>
                <w:szCs w:val="22"/>
                <w:lang w:val="sq-AL"/>
              </w:rPr>
              <w:t xml:space="preserve">Objektivi Specifik </w:t>
            </w:r>
            <w:r w:rsidR="00C86368" w:rsidRPr="00641640">
              <w:rPr>
                <w:rFonts w:ascii="Times New Roman" w:hAnsi="Times New Roman" w:cs="Times New Roman"/>
                <w:b/>
                <w:i/>
                <w:noProof/>
                <w:sz w:val="22"/>
                <w:szCs w:val="22"/>
                <w:lang w:val="sq-AL"/>
              </w:rPr>
              <w:t>1</w:t>
            </w:r>
            <w:r w:rsidRPr="00641640">
              <w:rPr>
                <w:rFonts w:ascii="Times New Roman" w:hAnsi="Times New Roman" w:cs="Times New Roman"/>
                <w:b/>
                <w:i/>
                <w:noProof/>
                <w:sz w:val="22"/>
                <w:szCs w:val="22"/>
                <w:lang w:val="sq-AL"/>
              </w:rPr>
              <w:t>.2</w:t>
            </w:r>
            <w:r w:rsidR="00B356B7" w:rsidRPr="00641640">
              <w:rPr>
                <w:rFonts w:ascii="Times New Roman" w:hAnsi="Times New Roman" w:cs="Times New Roman"/>
                <w:b/>
                <w:i/>
                <w:noProof/>
                <w:sz w:val="22"/>
                <w:szCs w:val="22"/>
                <w:lang w:val="sq-AL"/>
              </w:rPr>
              <w:t>:</w:t>
            </w:r>
            <w:r w:rsidR="00121E2B" w:rsidRPr="00641640">
              <w:rPr>
                <w:rFonts w:ascii="Times New Roman" w:hAnsi="Times New Roman" w:cs="Times New Roman"/>
                <w:b/>
                <w:i/>
                <w:noProof/>
                <w:sz w:val="22"/>
                <w:szCs w:val="22"/>
                <w:lang w:val="sq-AL"/>
              </w:rPr>
              <w:t xml:space="preserve">  </w:t>
            </w:r>
            <w:r w:rsidR="00C86368" w:rsidRPr="00641640">
              <w:rPr>
                <w:rFonts w:ascii="Times New Roman" w:hAnsi="Times New Roman" w:cs="Times New Roman"/>
                <w:b/>
                <w:i/>
                <w:noProof/>
                <w:sz w:val="22"/>
                <w:szCs w:val="22"/>
                <w:lang w:val="sq-AL"/>
              </w:rPr>
              <w:t>Zbatimi i një procesi të mirëkoordinuar dhe gjithëpërfshirës për integrimin evropian, duke fuqizuar kapacitetet e strukturave negociuese për të përballuar me sukses kërkesat e procesit</w:t>
            </w:r>
            <w:r w:rsidR="00E20A94" w:rsidRPr="00641640">
              <w:rPr>
                <w:rFonts w:ascii="Times New Roman" w:hAnsi="Times New Roman" w:cs="Times New Roman"/>
                <w:b/>
                <w:i/>
                <w:noProof/>
                <w:sz w:val="22"/>
                <w:szCs w:val="22"/>
                <w:lang w:val="sq-AL"/>
              </w:rPr>
              <w:t>.</w:t>
            </w:r>
          </w:p>
        </w:tc>
      </w:tr>
      <w:tr w:rsidR="00121E2B" w:rsidRPr="00641640" w14:paraId="1CB4575B" w14:textId="77777777" w:rsidTr="004000FD">
        <w:trPr>
          <w:trHeight w:val="701"/>
        </w:trPr>
        <w:tc>
          <w:tcPr>
            <w:tcW w:w="805" w:type="dxa"/>
            <w:shd w:val="clear" w:color="auto" w:fill="C5E0B3" w:themeFill="accent6" w:themeFillTint="66"/>
          </w:tcPr>
          <w:p w14:paraId="7052AF2B" w14:textId="4360E6E7" w:rsidR="00121E2B" w:rsidRPr="00641640" w:rsidRDefault="00891798"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117CC4" w:rsidRPr="00641640">
              <w:rPr>
                <w:rFonts w:ascii="Times New Roman" w:hAnsi="Times New Roman" w:cs="Times New Roman"/>
                <w:b/>
                <w:noProof/>
                <w:sz w:val="22"/>
                <w:szCs w:val="22"/>
                <w:lang w:val="sq-AL"/>
              </w:rPr>
              <w:t>1.</w:t>
            </w:r>
            <w:r w:rsidR="00F73DC3" w:rsidRPr="00641640">
              <w:rPr>
                <w:rFonts w:ascii="Times New Roman" w:hAnsi="Times New Roman" w:cs="Times New Roman"/>
                <w:b/>
                <w:noProof/>
                <w:sz w:val="22"/>
                <w:szCs w:val="22"/>
                <w:lang w:val="sq-AL"/>
              </w:rPr>
              <w:t>2</w:t>
            </w:r>
            <w:r w:rsidR="00121E2B" w:rsidRPr="00641640">
              <w:rPr>
                <w:rFonts w:ascii="Times New Roman" w:hAnsi="Times New Roman" w:cs="Times New Roman"/>
                <w:b/>
                <w:noProof/>
                <w:sz w:val="22"/>
                <w:szCs w:val="22"/>
                <w:lang w:val="sq-AL"/>
              </w:rPr>
              <w:t>.1</w:t>
            </w:r>
          </w:p>
        </w:tc>
        <w:tc>
          <w:tcPr>
            <w:tcW w:w="8545" w:type="dxa"/>
            <w:shd w:val="clear" w:color="auto" w:fill="auto"/>
          </w:tcPr>
          <w:p w14:paraId="2F16E74E" w14:textId="0D2DD422" w:rsidR="00560AA8" w:rsidRPr="00641640" w:rsidRDefault="003E2D30" w:rsidP="003A395D">
            <w:pPr>
              <w:spacing w:line="276" w:lineRule="auto"/>
              <w:contextualSpacing/>
              <w:jc w:val="both"/>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Kryerja dhe zbatimi efikas i procesit të planifikimit gjithëpërfshirës shumëvjeçar mbi integrimin evropian</w:t>
            </w:r>
            <w:r w:rsidR="00121E2B" w:rsidRPr="00641640">
              <w:rPr>
                <w:rFonts w:ascii="Times New Roman" w:hAnsi="Times New Roman" w:cs="Times New Roman"/>
                <w:noProof/>
                <w:sz w:val="22"/>
                <w:szCs w:val="22"/>
                <w:lang w:val="sq-AL"/>
              </w:rPr>
              <w:t>.</w:t>
            </w:r>
          </w:p>
        </w:tc>
      </w:tr>
      <w:tr w:rsidR="00650197" w:rsidRPr="00641640" w14:paraId="60782F47" w14:textId="77777777" w:rsidTr="004000FD">
        <w:trPr>
          <w:trHeight w:val="710"/>
        </w:trPr>
        <w:tc>
          <w:tcPr>
            <w:tcW w:w="805" w:type="dxa"/>
            <w:shd w:val="clear" w:color="auto" w:fill="C5E0B3" w:themeFill="accent6" w:themeFillTint="66"/>
          </w:tcPr>
          <w:p w14:paraId="3DD87A8C" w14:textId="7DCA3761" w:rsidR="00650197" w:rsidRPr="00641640" w:rsidRDefault="00891798"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117CC4" w:rsidRPr="00641640">
              <w:rPr>
                <w:rFonts w:ascii="Times New Roman" w:hAnsi="Times New Roman" w:cs="Times New Roman"/>
                <w:b/>
                <w:noProof/>
                <w:sz w:val="22"/>
                <w:szCs w:val="22"/>
                <w:lang w:val="sq-AL"/>
              </w:rPr>
              <w:t>1</w:t>
            </w:r>
            <w:r w:rsidR="00B356B7" w:rsidRPr="00641640">
              <w:rPr>
                <w:rFonts w:ascii="Times New Roman" w:hAnsi="Times New Roman" w:cs="Times New Roman"/>
                <w:b/>
                <w:noProof/>
                <w:sz w:val="22"/>
                <w:szCs w:val="22"/>
                <w:lang w:val="sq-AL"/>
              </w:rPr>
              <w:t>.</w:t>
            </w:r>
            <w:r w:rsidR="00F73DC3" w:rsidRPr="00641640">
              <w:rPr>
                <w:rFonts w:ascii="Times New Roman" w:hAnsi="Times New Roman" w:cs="Times New Roman"/>
                <w:b/>
                <w:noProof/>
                <w:sz w:val="22"/>
                <w:szCs w:val="22"/>
                <w:lang w:val="sq-AL"/>
              </w:rPr>
              <w:t>2</w:t>
            </w:r>
            <w:r w:rsidR="00650197" w:rsidRPr="00641640">
              <w:rPr>
                <w:rFonts w:ascii="Times New Roman" w:hAnsi="Times New Roman" w:cs="Times New Roman"/>
                <w:b/>
                <w:noProof/>
                <w:sz w:val="22"/>
                <w:szCs w:val="22"/>
                <w:lang w:val="sq-AL"/>
              </w:rPr>
              <w:t>.</w:t>
            </w:r>
            <w:r w:rsidR="00101FD1" w:rsidRPr="00641640">
              <w:rPr>
                <w:rFonts w:ascii="Times New Roman" w:hAnsi="Times New Roman" w:cs="Times New Roman"/>
                <w:b/>
                <w:noProof/>
                <w:sz w:val="22"/>
                <w:szCs w:val="22"/>
                <w:lang w:val="sq-AL"/>
              </w:rPr>
              <w:t>2</w:t>
            </w:r>
          </w:p>
        </w:tc>
        <w:tc>
          <w:tcPr>
            <w:tcW w:w="8545" w:type="dxa"/>
            <w:shd w:val="clear" w:color="auto" w:fill="auto"/>
          </w:tcPr>
          <w:p w14:paraId="34E21624" w14:textId="3391767B" w:rsidR="00650197" w:rsidRPr="00641640" w:rsidRDefault="00650197"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P</w:t>
            </w:r>
            <w:r w:rsidR="00414343" w:rsidRPr="00641640">
              <w:rPr>
                <w:rFonts w:ascii="Times New Roman" w:hAnsi="Times New Roman" w:cs="Times New Roman"/>
                <w:noProof/>
                <w:sz w:val="22"/>
                <w:szCs w:val="22"/>
                <w:lang w:val="sq-AL"/>
              </w:rPr>
              <w:t>ë</w:t>
            </w:r>
            <w:r w:rsidRPr="00641640">
              <w:rPr>
                <w:rFonts w:ascii="Times New Roman" w:hAnsi="Times New Roman" w:cs="Times New Roman"/>
                <w:noProof/>
                <w:sz w:val="22"/>
                <w:szCs w:val="22"/>
                <w:lang w:val="sq-AL"/>
              </w:rPr>
              <w:t>rgatitja dhe zbatimi i programit për forcimin e kapaciteteve dhe aft</w:t>
            </w:r>
            <w:r w:rsidR="00414343" w:rsidRPr="00641640">
              <w:rPr>
                <w:rFonts w:ascii="Times New Roman" w:hAnsi="Times New Roman" w:cs="Times New Roman"/>
                <w:noProof/>
                <w:sz w:val="22"/>
                <w:szCs w:val="22"/>
                <w:lang w:val="sq-AL"/>
              </w:rPr>
              <w:t>ë</w:t>
            </w:r>
            <w:r w:rsidRPr="00641640">
              <w:rPr>
                <w:rFonts w:ascii="Times New Roman" w:hAnsi="Times New Roman" w:cs="Times New Roman"/>
                <w:noProof/>
                <w:sz w:val="22"/>
                <w:szCs w:val="22"/>
                <w:lang w:val="sq-AL"/>
              </w:rPr>
              <w:t>sive për integrimin evropian.</w:t>
            </w:r>
          </w:p>
        </w:tc>
      </w:tr>
      <w:tr w:rsidR="0097191F" w:rsidRPr="00641640" w14:paraId="6F0C4129" w14:textId="77777777" w:rsidTr="004000FD">
        <w:trPr>
          <w:trHeight w:val="701"/>
        </w:trPr>
        <w:tc>
          <w:tcPr>
            <w:tcW w:w="805" w:type="dxa"/>
            <w:shd w:val="clear" w:color="auto" w:fill="C5E0B3" w:themeFill="accent6" w:themeFillTint="66"/>
          </w:tcPr>
          <w:p w14:paraId="584538AE" w14:textId="1F033530" w:rsidR="0097191F" w:rsidRPr="00641640" w:rsidRDefault="00891798"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97191F" w:rsidRPr="00641640">
              <w:rPr>
                <w:rFonts w:ascii="Times New Roman" w:hAnsi="Times New Roman" w:cs="Times New Roman"/>
                <w:b/>
                <w:noProof/>
                <w:sz w:val="22"/>
                <w:szCs w:val="22"/>
                <w:lang w:val="sq-AL"/>
              </w:rPr>
              <w:t>1.2.</w:t>
            </w:r>
            <w:r w:rsidR="00101FD1" w:rsidRPr="00641640">
              <w:rPr>
                <w:rFonts w:ascii="Times New Roman" w:hAnsi="Times New Roman" w:cs="Times New Roman"/>
                <w:b/>
                <w:noProof/>
                <w:sz w:val="22"/>
                <w:szCs w:val="22"/>
                <w:lang w:val="sq-AL"/>
              </w:rPr>
              <w:t>3</w:t>
            </w:r>
          </w:p>
        </w:tc>
        <w:tc>
          <w:tcPr>
            <w:tcW w:w="8545" w:type="dxa"/>
            <w:shd w:val="clear" w:color="auto" w:fill="auto"/>
          </w:tcPr>
          <w:p w14:paraId="729C3E3B" w14:textId="2B22238E" w:rsidR="0097191F" w:rsidRPr="00641640" w:rsidRDefault="00027FF3"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Përgatitja dhe zhvillimi i një pakete të plotë trajnimi për juristët që merren me përafrimin e legjislacionit në institucionet e administratës publike</w:t>
            </w:r>
            <w:r w:rsidR="00C85B0E" w:rsidRPr="00641640">
              <w:rPr>
                <w:rFonts w:ascii="Times New Roman" w:hAnsi="Times New Roman" w:cs="Times New Roman"/>
                <w:noProof/>
                <w:sz w:val="22"/>
                <w:szCs w:val="22"/>
                <w:lang w:val="sq-AL"/>
              </w:rPr>
              <w:t>.</w:t>
            </w:r>
          </w:p>
        </w:tc>
      </w:tr>
      <w:tr w:rsidR="0097191F" w:rsidRPr="00641640" w14:paraId="5A7E4706" w14:textId="77777777" w:rsidTr="004000FD">
        <w:trPr>
          <w:trHeight w:val="719"/>
        </w:trPr>
        <w:tc>
          <w:tcPr>
            <w:tcW w:w="805" w:type="dxa"/>
            <w:shd w:val="clear" w:color="auto" w:fill="C5E0B3" w:themeFill="accent6" w:themeFillTint="66"/>
          </w:tcPr>
          <w:p w14:paraId="04EDA47F" w14:textId="279F76EA" w:rsidR="0097191F" w:rsidRPr="00641640" w:rsidRDefault="00891798"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97191F" w:rsidRPr="00641640">
              <w:rPr>
                <w:rFonts w:ascii="Times New Roman" w:hAnsi="Times New Roman" w:cs="Times New Roman"/>
                <w:b/>
                <w:noProof/>
                <w:sz w:val="22"/>
                <w:szCs w:val="22"/>
                <w:lang w:val="sq-AL"/>
              </w:rPr>
              <w:t>1.2.</w:t>
            </w:r>
            <w:r w:rsidR="00101FD1" w:rsidRPr="00641640">
              <w:rPr>
                <w:rFonts w:ascii="Times New Roman" w:hAnsi="Times New Roman" w:cs="Times New Roman"/>
                <w:b/>
                <w:noProof/>
                <w:sz w:val="22"/>
                <w:szCs w:val="22"/>
                <w:lang w:val="sq-AL"/>
              </w:rPr>
              <w:t>4</w:t>
            </w:r>
          </w:p>
        </w:tc>
        <w:tc>
          <w:tcPr>
            <w:tcW w:w="8545" w:type="dxa"/>
            <w:shd w:val="clear" w:color="auto" w:fill="auto"/>
          </w:tcPr>
          <w:p w14:paraId="2BCC5FA7" w14:textId="57BAC159" w:rsidR="0097191F" w:rsidRPr="00641640" w:rsidRDefault="00560AA8"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Forcimi i kapaciteteve për strukturat që janë përgjegjëse për procesin e përafrimit të legjislacionit me BE</w:t>
            </w:r>
            <w:r w:rsidR="00C85B0E" w:rsidRPr="00641640">
              <w:rPr>
                <w:rFonts w:ascii="Times New Roman" w:hAnsi="Times New Roman" w:cs="Times New Roman"/>
                <w:noProof/>
                <w:sz w:val="22"/>
                <w:szCs w:val="22"/>
                <w:lang w:val="sq-AL"/>
              </w:rPr>
              <w:t>.</w:t>
            </w:r>
          </w:p>
        </w:tc>
      </w:tr>
    </w:tbl>
    <w:p w14:paraId="5B783657" w14:textId="449C3E29" w:rsidR="00AC5804" w:rsidRPr="00641640" w:rsidRDefault="00AC5804" w:rsidP="003A395D">
      <w:pPr>
        <w:spacing w:line="276" w:lineRule="auto"/>
        <w:rPr>
          <w:rFonts w:ascii="Times New Roman" w:hAnsi="Times New Roman" w:cs="Times New Roman"/>
          <w:bCs/>
          <w:i/>
          <w:noProof/>
          <w:highlight w:val="yellow"/>
          <w:lang w:val="sq-AL"/>
        </w:rPr>
      </w:pPr>
    </w:p>
    <w:p w14:paraId="48205BAE" w14:textId="3C1B0F89" w:rsidR="00E03A8D" w:rsidRPr="00641640" w:rsidRDefault="00E03A8D"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Lidhja e treguesve kryesor</w:t>
      </w:r>
      <w:r w:rsidR="00867D24" w:rsidRPr="00641640">
        <w:rPr>
          <w:rFonts w:ascii="Times New Roman" w:hAnsi="Times New Roman" w:cs="Times New Roman"/>
          <w:b/>
          <w:bCs/>
          <w:noProof/>
          <w:sz w:val="24"/>
          <w:szCs w:val="24"/>
          <w:lang w:val="sq-AL"/>
        </w:rPr>
        <w:t>ë</w:t>
      </w:r>
      <w:r w:rsidRPr="00641640">
        <w:rPr>
          <w:rFonts w:ascii="Times New Roman" w:hAnsi="Times New Roman" w:cs="Times New Roman"/>
          <w:b/>
          <w:bCs/>
          <w:noProof/>
          <w:sz w:val="24"/>
          <w:szCs w:val="24"/>
          <w:lang w:val="sq-AL"/>
        </w:rPr>
        <w:t xml:space="preserve"> t</w:t>
      </w:r>
      <w:r w:rsidR="00867D24" w:rsidRPr="00641640">
        <w:rPr>
          <w:rFonts w:ascii="Times New Roman" w:hAnsi="Times New Roman" w:cs="Times New Roman"/>
          <w:b/>
          <w:bCs/>
          <w:noProof/>
          <w:sz w:val="24"/>
          <w:szCs w:val="24"/>
          <w:lang w:val="sq-AL"/>
        </w:rPr>
        <w:t>ë</w:t>
      </w:r>
      <w:r w:rsidRPr="00641640">
        <w:rPr>
          <w:rFonts w:ascii="Times New Roman" w:hAnsi="Times New Roman" w:cs="Times New Roman"/>
          <w:b/>
          <w:bCs/>
          <w:noProof/>
          <w:sz w:val="24"/>
          <w:szCs w:val="24"/>
          <w:lang w:val="sq-AL"/>
        </w:rPr>
        <w:t xml:space="preserve"> performanc</w:t>
      </w:r>
      <w:r w:rsidR="00867D24" w:rsidRPr="00641640">
        <w:rPr>
          <w:rFonts w:ascii="Times New Roman" w:hAnsi="Times New Roman" w:cs="Times New Roman"/>
          <w:b/>
          <w:bCs/>
          <w:noProof/>
          <w:sz w:val="24"/>
          <w:szCs w:val="24"/>
          <w:lang w:val="sq-AL"/>
        </w:rPr>
        <w:t>ë</w:t>
      </w:r>
      <w:r w:rsidRPr="00641640">
        <w:rPr>
          <w:rFonts w:ascii="Times New Roman" w:hAnsi="Times New Roman" w:cs="Times New Roman"/>
          <w:b/>
          <w:bCs/>
          <w:noProof/>
          <w:sz w:val="24"/>
          <w:szCs w:val="24"/>
          <w:lang w:val="sq-AL"/>
        </w:rPr>
        <w:t>s m</w:t>
      </w:r>
      <w:r w:rsidR="00867D24" w:rsidRPr="00641640">
        <w:rPr>
          <w:rFonts w:ascii="Times New Roman" w:hAnsi="Times New Roman" w:cs="Times New Roman"/>
          <w:b/>
          <w:bCs/>
          <w:noProof/>
          <w:sz w:val="24"/>
          <w:szCs w:val="24"/>
          <w:lang w:val="sq-AL"/>
        </w:rPr>
        <w:t>ë</w:t>
      </w:r>
      <w:r w:rsidRPr="00641640">
        <w:rPr>
          <w:rFonts w:ascii="Times New Roman" w:hAnsi="Times New Roman" w:cs="Times New Roman"/>
          <w:b/>
          <w:bCs/>
          <w:noProof/>
          <w:sz w:val="24"/>
          <w:szCs w:val="24"/>
          <w:lang w:val="sq-AL"/>
        </w:rPr>
        <w:t xml:space="preserve"> Q</w:t>
      </w:r>
      <w:r w:rsidR="00867D24" w:rsidRPr="00641640">
        <w:rPr>
          <w:rFonts w:ascii="Times New Roman" w:hAnsi="Times New Roman" w:cs="Times New Roman"/>
          <w:b/>
          <w:bCs/>
          <w:noProof/>
          <w:sz w:val="24"/>
          <w:szCs w:val="24"/>
          <w:lang w:val="sq-AL"/>
        </w:rPr>
        <w:t>ë</w:t>
      </w:r>
      <w:r w:rsidRPr="00641640">
        <w:rPr>
          <w:rFonts w:ascii="Times New Roman" w:hAnsi="Times New Roman" w:cs="Times New Roman"/>
          <w:b/>
          <w:bCs/>
          <w:noProof/>
          <w:sz w:val="24"/>
          <w:szCs w:val="24"/>
          <w:lang w:val="sq-AL"/>
        </w:rPr>
        <w:t>llimin e Politik</w:t>
      </w:r>
      <w:r w:rsidR="00867D24" w:rsidRPr="00641640">
        <w:rPr>
          <w:rFonts w:ascii="Times New Roman" w:hAnsi="Times New Roman" w:cs="Times New Roman"/>
          <w:b/>
          <w:bCs/>
          <w:noProof/>
          <w:sz w:val="24"/>
          <w:szCs w:val="24"/>
          <w:lang w:val="sq-AL"/>
        </w:rPr>
        <w:t>ë</w:t>
      </w:r>
      <w:r w:rsidRPr="00641640">
        <w:rPr>
          <w:rFonts w:ascii="Times New Roman" w:hAnsi="Times New Roman" w:cs="Times New Roman"/>
          <w:b/>
          <w:bCs/>
          <w:noProof/>
          <w:sz w:val="24"/>
          <w:szCs w:val="24"/>
          <w:lang w:val="sq-AL"/>
        </w:rPr>
        <w:t>s I, Objektivin Specifik 1.2 dhe institucionet p</w:t>
      </w:r>
      <w:r w:rsidR="00867D24" w:rsidRPr="00641640">
        <w:rPr>
          <w:rFonts w:ascii="Times New Roman" w:hAnsi="Times New Roman" w:cs="Times New Roman"/>
          <w:b/>
          <w:bCs/>
          <w:noProof/>
          <w:sz w:val="24"/>
          <w:szCs w:val="24"/>
          <w:lang w:val="sq-AL"/>
        </w:rPr>
        <w:t>ë</w:t>
      </w:r>
      <w:r w:rsidRPr="00641640">
        <w:rPr>
          <w:rFonts w:ascii="Times New Roman" w:hAnsi="Times New Roman" w:cs="Times New Roman"/>
          <w:b/>
          <w:bCs/>
          <w:noProof/>
          <w:sz w:val="24"/>
          <w:szCs w:val="24"/>
          <w:lang w:val="sq-AL"/>
        </w:rPr>
        <w:t>rgjegj</w:t>
      </w:r>
      <w:r w:rsidR="00867D24" w:rsidRPr="00641640">
        <w:rPr>
          <w:rFonts w:ascii="Times New Roman" w:hAnsi="Times New Roman" w:cs="Times New Roman"/>
          <w:b/>
          <w:bCs/>
          <w:noProof/>
          <w:sz w:val="24"/>
          <w:szCs w:val="24"/>
          <w:lang w:val="sq-AL"/>
        </w:rPr>
        <w:t>ë</w:t>
      </w:r>
      <w:r w:rsidRPr="00641640">
        <w:rPr>
          <w:rFonts w:ascii="Times New Roman" w:hAnsi="Times New Roman" w:cs="Times New Roman"/>
          <w:b/>
          <w:bCs/>
          <w:noProof/>
          <w:sz w:val="24"/>
          <w:szCs w:val="24"/>
          <w:lang w:val="sq-AL"/>
        </w:rPr>
        <w:t>se.</w:t>
      </w:r>
    </w:p>
    <w:tbl>
      <w:tblPr>
        <w:tblStyle w:val="TableGrid"/>
        <w:tblW w:w="9352" w:type="dxa"/>
        <w:tblLayout w:type="fixed"/>
        <w:tblLook w:val="04A0" w:firstRow="1" w:lastRow="0" w:firstColumn="1" w:lastColumn="0" w:noHBand="0" w:noVBand="1"/>
      </w:tblPr>
      <w:tblGrid>
        <w:gridCol w:w="982"/>
        <w:gridCol w:w="1980"/>
        <w:gridCol w:w="2160"/>
        <w:gridCol w:w="2340"/>
        <w:gridCol w:w="1890"/>
      </w:tblGrid>
      <w:tr w:rsidR="00E03A8D" w:rsidRPr="00641640" w14:paraId="34EC8DF3" w14:textId="77777777" w:rsidTr="004000FD">
        <w:trPr>
          <w:trHeight w:val="15"/>
        </w:trPr>
        <w:tc>
          <w:tcPr>
            <w:tcW w:w="982" w:type="dxa"/>
            <w:shd w:val="clear" w:color="auto" w:fill="C5E0B3" w:themeFill="accent6" w:themeFillTint="66"/>
            <w:tcMar>
              <w:top w:w="15" w:type="dxa"/>
              <w:left w:w="75" w:type="dxa"/>
              <w:bottom w:w="15" w:type="dxa"/>
              <w:right w:w="75" w:type="dxa"/>
            </w:tcMar>
          </w:tcPr>
          <w:p w14:paraId="1C69F77B" w14:textId="77777777" w:rsidR="00E03A8D" w:rsidRPr="00641640" w:rsidRDefault="00E03A8D" w:rsidP="003A395D">
            <w:pPr>
              <w:spacing w:line="276" w:lineRule="auto"/>
              <w:jc w:val="center"/>
              <w:rPr>
                <w:rFonts w:ascii="Times New Roman" w:eastAsia="Arial" w:hAnsi="Times New Roman" w:cs="Times New Roman"/>
                <w:b/>
                <w:bCs/>
                <w:noProof/>
                <w:sz w:val="22"/>
                <w:szCs w:val="22"/>
                <w:lang w:val="sq-AL"/>
              </w:rPr>
            </w:pPr>
          </w:p>
          <w:p w14:paraId="2847F849" w14:textId="77777777" w:rsidR="00E03A8D" w:rsidRPr="00641640" w:rsidRDefault="00E03A8D"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Lloji i treguesit</w:t>
            </w:r>
          </w:p>
        </w:tc>
        <w:tc>
          <w:tcPr>
            <w:tcW w:w="1980" w:type="dxa"/>
            <w:shd w:val="clear" w:color="auto" w:fill="C5E0B3" w:themeFill="accent6" w:themeFillTint="66"/>
            <w:tcMar>
              <w:top w:w="15" w:type="dxa"/>
              <w:left w:w="75" w:type="dxa"/>
              <w:bottom w:w="15" w:type="dxa"/>
              <w:right w:w="75" w:type="dxa"/>
            </w:tcMar>
          </w:tcPr>
          <w:p w14:paraId="5586DC1B" w14:textId="77777777" w:rsidR="00837F40" w:rsidRPr="00641640" w:rsidRDefault="00837F40" w:rsidP="003A395D">
            <w:pPr>
              <w:spacing w:line="276" w:lineRule="auto"/>
              <w:jc w:val="center"/>
              <w:rPr>
                <w:rFonts w:ascii="Times New Roman" w:eastAsia="Arial" w:hAnsi="Times New Roman" w:cs="Times New Roman"/>
                <w:b/>
                <w:bCs/>
                <w:noProof/>
                <w:sz w:val="22"/>
                <w:szCs w:val="22"/>
                <w:lang w:val="sq-AL"/>
              </w:rPr>
            </w:pPr>
          </w:p>
          <w:p w14:paraId="28CE46CD" w14:textId="0123CD47" w:rsidR="00E03A8D" w:rsidRPr="00641640" w:rsidRDefault="00E03A8D"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 xml:space="preserve">Emërtimi i treguesit të </w:t>
            </w:r>
            <w:r w:rsidR="00930B8A" w:rsidRPr="00641640">
              <w:rPr>
                <w:rFonts w:ascii="Times New Roman" w:eastAsia="Arial" w:hAnsi="Times New Roman" w:cs="Times New Roman"/>
                <w:b/>
                <w:bCs/>
                <w:noProof/>
                <w:sz w:val="22"/>
                <w:szCs w:val="22"/>
                <w:lang w:val="sq-AL"/>
              </w:rPr>
              <w:t>performancës</w:t>
            </w:r>
          </w:p>
          <w:p w14:paraId="42B1337C" w14:textId="77777777" w:rsidR="00930B8A" w:rsidRPr="00641640" w:rsidRDefault="00930B8A" w:rsidP="003A395D">
            <w:pPr>
              <w:spacing w:line="276" w:lineRule="auto"/>
              <w:jc w:val="center"/>
              <w:rPr>
                <w:rFonts w:ascii="Times New Roman" w:eastAsia="Arial" w:hAnsi="Times New Roman" w:cs="Times New Roman"/>
                <w:noProof/>
                <w:sz w:val="22"/>
                <w:szCs w:val="22"/>
                <w:lang w:val="sq-AL"/>
              </w:rPr>
            </w:pPr>
          </w:p>
        </w:tc>
        <w:tc>
          <w:tcPr>
            <w:tcW w:w="2160" w:type="dxa"/>
            <w:shd w:val="clear" w:color="auto" w:fill="C5E0B3" w:themeFill="accent6" w:themeFillTint="66"/>
          </w:tcPr>
          <w:p w14:paraId="2310FEE1" w14:textId="77777777" w:rsidR="00E03A8D" w:rsidRPr="00641640" w:rsidRDefault="00E03A8D" w:rsidP="003A395D">
            <w:pPr>
              <w:spacing w:line="276" w:lineRule="auto"/>
              <w:jc w:val="center"/>
              <w:rPr>
                <w:rFonts w:ascii="Times New Roman" w:eastAsia="Arial" w:hAnsi="Times New Roman" w:cs="Times New Roman"/>
                <w:b/>
                <w:bCs/>
                <w:noProof/>
                <w:sz w:val="22"/>
                <w:szCs w:val="22"/>
                <w:lang w:val="sq-AL"/>
              </w:rPr>
            </w:pPr>
          </w:p>
          <w:p w14:paraId="5E0EC79E" w14:textId="77777777" w:rsidR="00E03A8D" w:rsidRPr="00641640" w:rsidRDefault="00E03A8D"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Qëllimin e Politikës</w:t>
            </w:r>
          </w:p>
        </w:tc>
        <w:tc>
          <w:tcPr>
            <w:tcW w:w="2340" w:type="dxa"/>
            <w:shd w:val="clear" w:color="auto" w:fill="C5E0B3" w:themeFill="accent6" w:themeFillTint="66"/>
          </w:tcPr>
          <w:p w14:paraId="780CD5FB" w14:textId="77777777" w:rsidR="00E03A8D" w:rsidRPr="00641640" w:rsidRDefault="00E03A8D" w:rsidP="003A395D">
            <w:pPr>
              <w:spacing w:line="276" w:lineRule="auto"/>
              <w:jc w:val="center"/>
              <w:rPr>
                <w:rFonts w:ascii="Times New Roman" w:eastAsia="Arial" w:hAnsi="Times New Roman" w:cs="Times New Roman"/>
                <w:b/>
                <w:bCs/>
                <w:noProof/>
                <w:sz w:val="22"/>
                <w:szCs w:val="22"/>
                <w:lang w:val="sq-AL"/>
              </w:rPr>
            </w:pPr>
          </w:p>
          <w:p w14:paraId="1F79F95E" w14:textId="77777777" w:rsidR="00E03A8D" w:rsidRPr="00641640" w:rsidRDefault="00E03A8D"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Objektivin Specifik</w:t>
            </w:r>
          </w:p>
        </w:tc>
        <w:tc>
          <w:tcPr>
            <w:tcW w:w="1890" w:type="dxa"/>
            <w:shd w:val="clear" w:color="auto" w:fill="C5E0B3" w:themeFill="accent6" w:themeFillTint="66"/>
            <w:tcMar>
              <w:top w:w="15" w:type="dxa"/>
              <w:left w:w="75" w:type="dxa"/>
              <w:bottom w:w="15" w:type="dxa"/>
              <w:right w:w="75" w:type="dxa"/>
            </w:tcMar>
          </w:tcPr>
          <w:p w14:paraId="2560564E" w14:textId="77777777" w:rsidR="00E03A8D" w:rsidRPr="00641640" w:rsidRDefault="00E03A8D" w:rsidP="003A395D">
            <w:pPr>
              <w:spacing w:line="276" w:lineRule="auto"/>
              <w:jc w:val="center"/>
              <w:rPr>
                <w:rFonts w:ascii="Times New Roman" w:eastAsia="Arial" w:hAnsi="Times New Roman" w:cs="Times New Roman"/>
                <w:noProof/>
                <w:sz w:val="22"/>
                <w:szCs w:val="22"/>
                <w:lang w:val="sq-AL"/>
              </w:rPr>
            </w:pPr>
          </w:p>
          <w:p w14:paraId="7BDBA8ED" w14:textId="42A54BF6" w:rsidR="00E03A8D" w:rsidRPr="00641640" w:rsidRDefault="00E03A8D"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Institucioni përgj</w:t>
            </w:r>
            <w:r w:rsidR="00FE471F" w:rsidRPr="00641640">
              <w:rPr>
                <w:rFonts w:ascii="Times New Roman" w:eastAsia="Arial" w:hAnsi="Times New Roman" w:cs="Times New Roman"/>
                <w:b/>
                <w:bCs/>
                <w:noProof/>
                <w:sz w:val="22"/>
                <w:szCs w:val="22"/>
                <w:lang w:val="sq-AL"/>
              </w:rPr>
              <w:t>e</w:t>
            </w:r>
            <w:r w:rsidRPr="00641640">
              <w:rPr>
                <w:rFonts w:ascii="Times New Roman" w:eastAsia="Arial" w:hAnsi="Times New Roman" w:cs="Times New Roman"/>
                <w:b/>
                <w:bCs/>
                <w:noProof/>
                <w:sz w:val="22"/>
                <w:szCs w:val="22"/>
                <w:lang w:val="sq-AL"/>
              </w:rPr>
              <w:t>gjës</w:t>
            </w:r>
          </w:p>
        </w:tc>
      </w:tr>
      <w:tr w:rsidR="005C7DE2" w:rsidRPr="00641640" w14:paraId="7824DBD0" w14:textId="77777777" w:rsidTr="004000FD">
        <w:trPr>
          <w:trHeight w:val="965"/>
        </w:trPr>
        <w:tc>
          <w:tcPr>
            <w:tcW w:w="982" w:type="dxa"/>
            <w:shd w:val="clear" w:color="auto" w:fill="auto"/>
            <w:tcMar>
              <w:top w:w="15" w:type="dxa"/>
              <w:left w:w="75" w:type="dxa"/>
              <w:bottom w:w="15" w:type="dxa"/>
              <w:right w:w="75" w:type="dxa"/>
            </w:tcMar>
          </w:tcPr>
          <w:p w14:paraId="57889389" w14:textId="77777777" w:rsidR="004B3443" w:rsidRPr="00641640" w:rsidRDefault="004B3443" w:rsidP="003A395D">
            <w:pPr>
              <w:spacing w:line="276" w:lineRule="auto"/>
              <w:rPr>
                <w:rFonts w:ascii="Times New Roman" w:hAnsi="Times New Roman" w:cs="Times New Roman"/>
                <w:noProof/>
                <w:color w:val="000000" w:themeColor="text1"/>
                <w:sz w:val="22"/>
                <w:szCs w:val="22"/>
                <w:lang w:val="sq-AL"/>
              </w:rPr>
            </w:pPr>
          </w:p>
          <w:p w14:paraId="6E16E42A" w14:textId="4C864EC4" w:rsidR="005C7DE2" w:rsidRPr="00641640" w:rsidRDefault="004B3443" w:rsidP="003A395D">
            <w:pPr>
              <w:spacing w:line="276" w:lineRule="auto"/>
              <w:jc w:val="center"/>
              <w:rPr>
                <w:rFonts w:ascii="Times New Roman" w:hAnsi="Times New Roman" w:cs="Times New Roman"/>
                <w:noProof/>
                <w:sz w:val="22"/>
                <w:szCs w:val="22"/>
                <w:lang w:val="sq-AL"/>
              </w:rPr>
            </w:pPr>
            <w:r w:rsidRPr="00641640">
              <w:rPr>
                <w:rFonts w:ascii="Times New Roman" w:hAnsi="Times New Roman" w:cs="Times New Roman"/>
                <w:noProof/>
                <w:color w:val="000000" w:themeColor="text1"/>
                <w:sz w:val="22"/>
                <w:szCs w:val="22"/>
                <w:lang w:val="sq-AL"/>
              </w:rPr>
              <w:t>Rezultati</w:t>
            </w:r>
          </w:p>
        </w:tc>
        <w:tc>
          <w:tcPr>
            <w:tcW w:w="1980" w:type="dxa"/>
            <w:shd w:val="clear" w:color="auto" w:fill="auto"/>
            <w:tcMar>
              <w:top w:w="15" w:type="dxa"/>
              <w:left w:w="75" w:type="dxa"/>
              <w:bottom w:w="15" w:type="dxa"/>
              <w:right w:w="75" w:type="dxa"/>
            </w:tcMar>
          </w:tcPr>
          <w:p w14:paraId="2A5DCCF4" w14:textId="77777777" w:rsidR="004B3443" w:rsidRPr="00641640" w:rsidRDefault="004B3443" w:rsidP="003A395D">
            <w:pPr>
              <w:spacing w:line="276" w:lineRule="auto"/>
              <w:rPr>
                <w:rFonts w:ascii="Times New Roman" w:hAnsi="Times New Roman" w:cs="Times New Roman"/>
                <w:noProof/>
                <w:sz w:val="22"/>
                <w:szCs w:val="22"/>
                <w:lang w:val="sq-AL"/>
              </w:rPr>
            </w:pPr>
          </w:p>
          <w:p w14:paraId="7F3C212E" w14:textId="43CBD375" w:rsidR="005C7DE2" w:rsidRPr="00641640" w:rsidRDefault="005C7DE2"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 xml:space="preserve">1.2.1 </w:t>
            </w:r>
            <w:r w:rsidR="00D97E8A" w:rsidRPr="00641640">
              <w:rPr>
                <w:rFonts w:ascii="Times New Roman" w:hAnsi="Times New Roman" w:cs="Times New Roman"/>
                <w:noProof/>
                <w:sz w:val="22"/>
                <w:szCs w:val="22"/>
                <w:lang w:val="sq-AL"/>
              </w:rPr>
              <w:t>Niveli i</w:t>
            </w:r>
            <w:r w:rsidRPr="00641640">
              <w:rPr>
                <w:rFonts w:ascii="Times New Roman" w:hAnsi="Times New Roman" w:cs="Times New Roman"/>
                <w:noProof/>
                <w:sz w:val="22"/>
                <w:szCs w:val="22"/>
                <w:lang w:val="sq-AL"/>
              </w:rPr>
              <w:t xml:space="preserve"> zbatimit efikas të procesit të planifikimit gjithëpërfshirës për integrimin evropian</w:t>
            </w:r>
            <w:r w:rsidR="00B14566">
              <w:rPr>
                <w:rFonts w:ascii="Times New Roman" w:hAnsi="Times New Roman" w:cs="Times New Roman"/>
                <w:noProof/>
                <w:sz w:val="22"/>
                <w:szCs w:val="22"/>
                <w:lang w:val="sq-AL"/>
              </w:rPr>
              <w:t>.</w:t>
            </w:r>
          </w:p>
        </w:tc>
        <w:tc>
          <w:tcPr>
            <w:tcW w:w="2160" w:type="dxa"/>
            <w:shd w:val="clear" w:color="auto" w:fill="auto"/>
          </w:tcPr>
          <w:p w14:paraId="04F0FDD2" w14:textId="77777777" w:rsidR="004B3443" w:rsidRPr="00641640" w:rsidRDefault="004B3443" w:rsidP="003A395D">
            <w:pPr>
              <w:spacing w:line="276" w:lineRule="auto"/>
              <w:rPr>
                <w:rFonts w:ascii="Times New Roman" w:eastAsia="Arial" w:hAnsi="Times New Roman" w:cs="Times New Roman"/>
                <w:noProof/>
                <w:sz w:val="22"/>
                <w:szCs w:val="22"/>
                <w:lang w:val="sq-AL"/>
              </w:rPr>
            </w:pPr>
          </w:p>
          <w:p w14:paraId="40D1E0B7" w14:textId="6B8C6AFB" w:rsidR="005C7DE2" w:rsidRPr="00641640" w:rsidRDefault="004B3443"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Zhvillimi dhe koordinimi i politikave</w:t>
            </w:r>
          </w:p>
        </w:tc>
        <w:tc>
          <w:tcPr>
            <w:tcW w:w="2340" w:type="dxa"/>
            <w:shd w:val="clear" w:color="auto" w:fill="auto"/>
          </w:tcPr>
          <w:p w14:paraId="19F8D976" w14:textId="77777777" w:rsidR="004B3443" w:rsidRPr="00641640" w:rsidRDefault="004B3443" w:rsidP="003A395D">
            <w:pPr>
              <w:spacing w:line="276" w:lineRule="auto"/>
              <w:rPr>
                <w:rFonts w:ascii="Times New Roman" w:hAnsi="Times New Roman" w:cs="Times New Roman"/>
                <w:bCs/>
                <w:iCs/>
                <w:noProof/>
                <w:sz w:val="22"/>
                <w:szCs w:val="22"/>
                <w:lang w:val="sq-AL"/>
              </w:rPr>
            </w:pPr>
          </w:p>
          <w:p w14:paraId="033FD59A" w14:textId="4897CE19" w:rsidR="004B3443" w:rsidRPr="00641640" w:rsidRDefault="004B3443" w:rsidP="003A395D">
            <w:pPr>
              <w:spacing w:line="276" w:lineRule="auto"/>
              <w:rPr>
                <w:rFonts w:ascii="Times New Roman" w:hAnsi="Times New Roman" w:cs="Times New Roman"/>
                <w:bCs/>
                <w:iCs/>
                <w:noProof/>
                <w:sz w:val="22"/>
                <w:szCs w:val="22"/>
                <w:lang w:val="sq-AL"/>
              </w:rPr>
            </w:pPr>
            <w:r w:rsidRPr="00641640">
              <w:rPr>
                <w:rFonts w:ascii="Times New Roman" w:hAnsi="Times New Roman" w:cs="Times New Roman"/>
                <w:bCs/>
                <w:iCs/>
                <w:noProof/>
                <w:sz w:val="22"/>
                <w:szCs w:val="22"/>
                <w:lang w:val="sq-AL"/>
              </w:rPr>
              <w:t>1.2 Zbatimi i një procesi të mirëkoordinuar dhe gjithëpërfshirës për integrimin evropian, duke fuqizuar kapacitetet e strukturave negociuese për të përballuar me sukses kërkesat e procesit</w:t>
            </w:r>
            <w:r w:rsidR="00FA52B3">
              <w:rPr>
                <w:rFonts w:ascii="Times New Roman" w:hAnsi="Times New Roman" w:cs="Times New Roman"/>
                <w:bCs/>
                <w:iCs/>
                <w:noProof/>
                <w:sz w:val="22"/>
                <w:szCs w:val="22"/>
                <w:lang w:val="sq-AL"/>
              </w:rPr>
              <w:t>.</w:t>
            </w:r>
          </w:p>
          <w:p w14:paraId="4EA6A1D3" w14:textId="77777777" w:rsidR="005C7DE2" w:rsidRPr="00641640" w:rsidRDefault="005C7DE2" w:rsidP="003A395D">
            <w:pPr>
              <w:spacing w:line="276" w:lineRule="auto"/>
              <w:rPr>
                <w:rFonts w:ascii="Times New Roman" w:eastAsia="Arial" w:hAnsi="Times New Roman" w:cs="Times New Roman"/>
                <w:noProof/>
                <w:sz w:val="22"/>
                <w:szCs w:val="22"/>
                <w:lang w:val="sq-AL"/>
              </w:rPr>
            </w:pPr>
          </w:p>
        </w:tc>
        <w:tc>
          <w:tcPr>
            <w:tcW w:w="1890" w:type="dxa"/>
            <w:shd w:val="clear" w:color="auto" w:fill="auto"/>
            <w:tcMar>
              <w:top w:w="15" w:type="dxa"/>
              <w:left w:w="75" w:type="dxa"/>
              <w:bottom w:w="15" w:type="dxa"/>
              <w:right w:w="75" w:type="dxa"/>
            </w:tcMar>
          </w:tcPr>
          <w:p w14:paraId="7C832E69" w14:textId="77777777" w:rsidR="004B3443" w:rsidRPr="00641640" w:rsidRDefault="004B3443" w:rsidP="003A395D">
            <w:pPr>
              <w:spacing w:line="276" w:lineRule="auto"/>
              <w:jc w:val="center"/>
              <w:rPr>
                <w:rFonts w:ascii="Times New Roman" w:eastAsia="Times New Roman" w:hAnsi="Times New Roman" w:cs="Times New Roman"/>
                <w:noProof/>
                <w:sz w:val="22"/>
                <w:szCs w:val="22"/>
                <w:lang w:val="sq-AL"/>
              </w:rPr>
            </w:pPr>
          </w:p>
          <w:p w14:paraId="699AF138" w14:textId="7ABB3F95" w:rsidR="005C7DE2" w:rsidRPr="00641640" w:rsidRDefault="004B3443" w:rsidP="003A395D">
            <w:pPr>
              <w:spacing w:line="276" w:lineRule="auto"/>
              <w:jc w:val="center"/>
              <w:rPr>
                <w:rFonts w:ascii="Times New Roman" w:eastAsia="Arial" w:hAnsi="Times New Roman" w:cs="Times New Roman"/>
                <w:noProof/>
                <w:sz w:val="22"/>
                <w:szCs w:val="22"/>
                <w:lang w:val="sq-AL"/>
              </w:rPr>
            </w:pPr>
            <w:r w:rsidRPr="00641640">
              <w:rPr>
                <w:rFonts w:ascii="Times New Roman" w:eastAsia="Times New Roman" w:hAnsi="Times New Roman" w:cs="Times New Roman"/>
                <w:noProof/>
                <w:sz w:val="22"/>
                <w:szCs w:val="22"/>
                <w:lang w:val="sq-AL"/>
              </w:rPr>
              <w:t>Kryeministria</w:t>
            </w:r>
          </w:p>
        </w:tc>
      </w:tr>
      <w:tr w:rsidR="00E03A8D" w:rsidRPr="00641640" w14:paraId="4497BC59" w14:textId="77777777" w:rsidTr="004000FD">
        <w:trPr>
          <w:trHeight w:val="965"/>
        </w:trPr>
        <w:tc>
          <w:tcPr>
            <w:tcW w:w="982" w:type="dxa"/>
            <w:shd w:val="clear" w:color="auto" w:fill="auto"/>
            <w:tcMar>
              <w:top w:w="15" w:type="dxa"/>
              <w:left w:w="75" w:type="dxa"/>
              <w:bottom w:w="15" w:type="dxa"/>
              <w:right w:w="75" w:type="dxa"/>
            </w:tcMar>
          </w:tcPr>
          <w:p w14:paraId="4EE0CF67" w14:textId="77777777" w:rsidR="00315F5A" w:rsidRPr="00641640" w:rsidRDefault="00315F5A" w:rsidP="003A395D">
            <w:pPr>
              <w:spacing w:line="276" w:lineRule="auto"/>
              <w:rPr>
                <w:rFonts w:ascii="Times New Roman" w:hAnsi="Times New Roman" w:cs="Times New Roman"/>
                <w:noProof/>
                <w:sz w:val="22"/>
                <w:szCs w:val="22"/>
                <w:lang w:val="sq-AL"/>
              </w:rPr>
            </w:pPr>
          </w:p>
          <w:p w14:paraId="0F8856BD" w14:textId="2D311434" w:rsidR="00E03A8D" w:rsidRPr="00641640" w:rsidRDefault="00E03A8D" w:rsidP="003A395D">
            <w:pPr>
              <w:spacing w:line="276" w:lineRule="auto"/>
              <w:rPr>
                <w:rFonts w:ascii="Times New Roman" w:hAnsi="Times New Roman" w:cs="Times New Roman"/>
                <w:noProof/>
                <w:color w:val="ED7D31" w:themeColor="accent2"/>
                <w:sz w:val="22"/>
                <w:szCs w:val="22"/>
                <w:lang w:val="sq-AL"/>
              </w:rPr>
            </w:pPr>
            <w:r w:rsidRPr="00641640">
              <w:rPr>
                <w:rFonts w:ascii="Times New Roman" w:hAnsi="Times New Roman" w:cs="Times New Roman"/>
                <w:noProof/>
                <w:sz w:val="22"/>
                <w:szCs w:val="22"/>
                <w:lang w:val="sq-AL"/>
              </w:rPr>
              <w:t>Rezultati</w:t>
            </w:r>
          </w:p>
        </w:tc>
        <w:tc>
          <w:tcPr>
            <w:tcW w:w="1980" w:type="dxa"/>
            <w:shd w:val="clear" w:color="auto" w:fill="auto"/>
            <w:tcMar>
              <w:top w:w="15" w:type="dxa"/>
              <w:left w:w="75" w:type="dxa"/>
              <w:bottom w:w="15" w:type="dxa"/>
              <w:right w:w="75" w:type="dxa"/>
            </w:tcMar>
          </w:tcPr>
          <w:p w14:paraId="7E1CAD4B" w14:textId="77777777" w:rsidR="00315F5A" w:rsidRPr="00641640" w:rsidRDefault="00315F5A" w:rsidP="003A395D">
            <w:pPr>
              <w:spacing w:line="276" w:lineRule="auto"/>
              <w:rPr>
                <w:rFonts w:ascii="Times New Roman" w:hAnsi="Times New Roman" w:cs="Times New Roman"/>
                <w:noProof/>
                <w:sz w:val="22"/>
                <w:szCs w:val="22"/>
                <w:lang w:val="sq-AL"/>
              </w:rPr>
            </w:pPr>
          </w:p>
          <w:p w14:paraId="7C743765" w14:textId="69502C99" w:rsidR="00E03A8D" w:rsidRPr="00641640" w:rsidRDefault="00CE1828"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1.2.2</w:t>
            </w:r>
            <w:r w:rsidR="00A67ED5" w:rsidRPr="00641640">
              <w:rPr>
                <w:rFonts w:ascii="Times New Roman" w:hAnsi="Times New Roman" w:cs="Times New Roman"/>
                <w:noProof/>
                <w:sz w:val="22"/>
                <w:szCs w:val="22"/>
                <w:lang w:val="sq-AL"/>
              </w:rPr>
              <w:t xml:space="preserve"> </w:t>
            </w:r>
            <w:r w:rsidR="005D2307" w:rsidRPr="00641640">
              <w:rPr>
                <w:rFonts w:ascii="Times New Roman" w:hAnsi="Times New Roman" w:cs="Times New Roman"/>
                <w:noProof/>
                <w:sz w:val="22"/>
                <w:szCs w:val="22"/>
                <w:lang w:val="sq-AL"/>
              </w:rPr>
              <w:t>Indeksi i rritjes së kapaciteteve dhe aftësive për integrimin evropian</w:t>
            </w:r>
            <w:r w:rsidR="00B14566">
              <w:rPr>
                <w:rFonts w:ascii="Times New Roman" w:hAnsi="Times New Roman" w:cs="Times New Roman"/>
                <w:noProof/>
                <w:sz w:val="22"/>
                <w:szCs w:val="22"/>
                <w:lang w:val="sq-AL"/>
              </w:rPr>
              <w:t>.</w:t>
            </w:r>
          </w:p>
          <w:p w14:paraId="117E1A60" w14:textId="77777777" w:rsidR="00E03A8D" w:rsidRPr="00641640" w:rsidRDefault="00E03A8D" w:rsidP="003A395D">
            <w:pPr>
              <w:pStyle w:val="T-number"/>
              <w:spacing w:line="276" w:lineRule="auto"/>
              <w:ind w:left="0"/>
              <w:jc w:val="both"/>
              <w:rPr>
                <w:rFonts w:ascii="Times New Roman" w:eastAsiaTheme="minorHAnsi" w:hAnsi="Times New Roman" w:cs="Times New Roman"/>
                <w:b/>
                <w:bCs/>
                <w:noProof/>
                <w:sz w:val="22"/>
                <w:szCs w:val="22"/>
                <w:lang w:val="sq-AL"/>
              </w:rPr>
            </w:pPr>
            <w:r w:rsidRPr="00641640">
              <w:rPr>
                <w:rFonts w:ascii="Times New Roman" w:eastAsiaTheme="minorHAnsi" w:hAnsi="Times New Roman" w:cs="Times New Roman"/>
                <w:noProof/>
                <w:sz w:val="22"/>
                <w:szCs w:val="22"/>
                <w:lang w:val="sq-AL"/>
              </w:rPr>
              <w:t>të</w:t>
            </w:r>
            <w:r w:rsidRPr="00641640">
              <w:rPr>
                <w:rFonts w:ascii="Times New Roman" w:eastAsiaTheme="minorHAnsi" w:hAnsi="Times New Roman" w:cs="Times New Roman"/>
                <w:b/>
                <w:noProof/>
                <w:sz w:val="22"/>
                <w:szCs w:val="22"/>
                <w:lang w:val="sq-AL"/>
              </w:rPr>
              <w:t xml:space="preserve">   </w:t>
            </w:r>
          </w:p>
        </w:tc>
        <w:tc>
          <w:tcPr>
            <w:tcW w:w="2160" w:type="dxa"/>
            <w:shd w:val="clear" w:color="auto" w:fill="auto"/>
          </w:tcPr>
          <w:p w14:paraId="172B6852" w14:textId="77777777" w:rsidR="00315F5A" w:rsidRPr="00641640" w:rsidRDefault="00315F5A" w:rsidP="003A395D">
            <w:pPr>
              <w:spacing w:line="276" w:lineRule="auto"/>
              <w:rPr>
                <w:rFonts w:ascii="Times New Roman" w:eastAsia="Arial" w:hAnsi="Times New Roman" w:cs="Times New Roman"/>
                <w:noProof/>
                <w:sz w:val="22"/>
                <w:szCs w:val="22"/>
                <w:lang w:val="sq-AL"/>
              </w:rPr>
            </w:pPr>
          </w:p>
          <w:p w14:paraId="2DC691F1" w14:textId="5F067E62" w:rsidR="00E03A8D" w:rsidRPr="00641640" w:rsidRDefault="002E269D" w:rsidP="003A395D">
            <w:pPr>
              <w:spacing w:line="276" w:lineRule="auto"/>
              <w:rPr>
                <w:rFonts w:ascii="Times New Roman" w:eastAsia="Arial" w:hAnsi="Times New Roman" w:cs="Times New Roman"/>
                <w:b/>
                <w:bCs/>
                <w:noProof/>
                <w:sz w:val="22"/>
                <w:szCs w:val="22"/>
                <w:lang w:val="sq-AL"/>
              </w:rPr>
            </w:pPr>
            <w:r w:rsidRPr="00641640">
              <w:rPr>
                <w:rFonts w:ascii="Times New Roman" w:eastAsia="Arial" w:hAnsi="Times New Roman" w:cs="Times New Roman"/>
                <w:noProof/>
                <w:sz w:val="22"/>
                <w:szCs w:val="22"/>
                <w:lang w:val="sq-AL"/>
              </w:rPr>
              <w:t>Zhvillimi dhe koordinimi i politikave</w:t>
            </w:r>
          </w:p>
        </w:tc>
        <w:tc>
          <w:tcPr>
            <w:tcW w:w="2340" w:type="dxa"/>
            <w:shd w:val="clear" w:color="auto" w:fill="auto"/>
          </w:tcPr>
          <w:p w14:paraId="536183B4" w14:textId="77777777" w:rsidR="00315F5A" w:rsidRPr="00641640" w:rsidRDefault="00315F5A" w:rsidP="003A395D">
            <w:pPr>
              <w:spacing w:line="276" w:lineRule="auto"/>
              <w:rPr>
                <w:rFonts w:ascii="Times New Roman" w:eastAsia="Arial" w:hAnsi="Times New Roman" w:cs="Times New Roman"/>
                <w:noProof/>
                <w:sz w:val="22"/>
                <w:szCs w:val="22"/>
                <w:lang w:val="sq-AL"/>
              </w:rPr>
            </w:pPr>
          </w:p>
          <w:p w14:paraId="153A6938" w14:textId="5F7C8F71" w:rsidR="00E03A8D" w:rsidRPr="00641640" w:rsidRDefault="00CE1828" w:rsidP="003A395D">
            <w:pPr>
              <w:spacing w:line="276" w:lineRule="auto"/>
              <w:rPr>
                <w:rFonts w:ascii="Times New Roman" w:hAnsi="Times New Roman" w:cs="Times New Roman"/>
                <w:bCs/>
                <w:iCs/>
                <w:noProof/>
                <w:sz w:val="22"/>
                <w:szCs w:val="22"/>
                <w:lang w:val="sq-AL"/>
              </w:rPr>
            </w:pPr>
            <w:r w:rsidRPr="00641640">
              <w:rPr>
                <w:rFonts w:ascii="Times New Roman" w:eastAsia="Arial" w:hAnsi="Times New Roman" w:cs="Times New Roman"/>
                <w:noProof/>
                <w:sz w:val="22"/>
                <w:szCs w:val="22"/>
                <w:lang w:val="sq-AL"/>
              </w:rPr>
              <w:t>1.2</w:t>
            </w:r>
            <w:r w:rsidR="002E269D" w:rsidRPr="00641640">
              <w:rPr>
                <w:rFonts w:ascii="Times New Roman" w:hAnsi="Times New Roman" w:cs="Times New Roman"/>
                <w:bCs/>
                <w:iCs/>
                <w:noProof/>
                <w:sz w:val="22"/>
                <w:szCs w:val="22"/>
                <w:lang w:val="sq-AL"/>
              </w:rPr>
              <w:t xml:space="preserve"> Zbatimi i një procesi të mirëkoordinuar dhe gjithëpërfshirës për integrimin evropian, duke fuqizuar kapacitetet e strukturave negociuese për të përballuar me sukses kërkesat e procesit</w:t>
            </w:r>
            <w:r w:rsidR="00FA52B3">
              <w:rPr>
                <w:rFonts w:ascii="Times New Roman" w:hAnsi="Times New Roman" w:cs="Times New Roman"/>
                <w:bCs/>
                <w:iCs/>
                <w:noProof/>
                <w:sz w:val="22"/>
                <w:szCs w:val="22"/>
                <w:lang w:val="sq-AL"/>
              </w:rPr>
              <w:t>.</w:t>
            </w:r>
          </w:p>
          <w:p w14:paraId="35D9A5D0" w14:textId="5DD51A5E" w:rsidR="00B64D7C" w:rsidRPr="00641640" w:rsidRDefault="00B64D7C" w:rsidP="003A395D">
            <w:pPr>
              <w:spacing w:line="276" w:lineRule="auto"/>
              <w:rPr>
                <w:rFonts w:ascii="Times New Roman" w:eastAsia="Arial" w:hAnsi="Times New Roman" w:cs="Times New Roman"/>
                <w:noProof/>
                <w:sz w:val="22"/>
                <w:szCs w:val="22"/>
                <w:lang w:val="sq-AL"/>
              </w:rPr>
            </w:pPr>
          </w:p>
        </w:tc>
        <w:tc>
          <w:tcPr>
            <w:tcW w:w="1890" w:type="dxa"/>
            <w:shd w:val="clear" w:color="auto" w:fill="auto"/>
            <w:tcMar>
              <w:top w:w="15" w:type="dxa"/>
              <w:left w:w="75" w:type="dxa"/>
              <w:bottom w:w="15" w:type="dxa"/>
              <w:right w:w="75" w:type="dxa"/>
            </w:tcMar>
          </w:tcPr>
          <w:p w14:paraId="79BAFF8A" w14:textId="77777777" w:rsidR="00E03A8D" w:rsidRPr="00641640" w:rsidRDefault="00E03A8D" w:rsidP="003A395D">
            <w:pPr>
              <w:spacing w:line="276" w:lineRule="auto"/>
              <w:jc w:val="center"/>
              <w:rPr>
                <w:rFonts w:ascii="Times New Roman" w:eastAsia="Arial" w:hAnsi="Times New Roman" w:cs="Times New Roman"/>
                <w:noProof/>
                <w:sz w:val="22"/>
                <w:szCs w:val="22"/>
                <w:lang w:val="sq-AL"/>
              </w:rPr>
            </w:pPr>
          </w:p>
          <w:p w14:paraId="15EA4F51" w14:textId="51B36070" w:rsidR="00E03A8D" w:rsidRPr="00641640" w:rsidRDefault="00930B8A" w:rsidP="003A395D">
            <w:pPr>
              <w:spacing w:line="276" w:lineRule="auto"/>
              <w:jc w:val="center"/>
              <w:rPr>
                <w:rFonts w:ascii="Times New Roman" w:eastAsia="Arial" w:hAnsi="Times New Roman" w:cs="Times New Roman"/>
                <w:noProof/>
                <w:sz w:val="22"/>
                <w:szCs w:val="22"/>
                <w:lang w:val="sq-AL"/>
              </w:rPr>
            </w:pPr>
            <w:r w:rsidRPr="00641640">
              <w:rPr>
                <w:rFonts w:ascii="Times New Roman" w:eastAsia="Times New Roman" w:hAnsi="Times New Roman" w:cs="Times New Roman"/>
                <w:noProof/>
                <w:sz w:val="22"/>
                <w:szCs w:val="22"/>
                <w:lang w:val="sq-AL"/>
              </w:rPr>
              <w:t>Kryeministria</w:t>
            </w:r>
          </w:p>
          <w:p w14:paraId="58F18568" w14:textId="77777777" w:rsidR="00E03A8D" w:rsidRPr="00641640" w:rsidRDefault="00E03A8D" w:rsidP="003A395D">
            <w:pPr>
              <w:spacing w:line="276" w:lineRule="auto"/>
              <w:jc w:val="center"/>
              <w:rPr>
                <w:rFonts w:ascii="Times New Roman" w:eastAsia="Arial" w:hAnsi="Times New Roman" w:cs="Times New Roman"/>
                <w:noProof/>
                <w:sz w:val="22"/>
                <w:szCs w:val="22"/>
                <w:lang w:val="sq-AL"/>
              </w:rPr>
            </w:pPr>
          </w:p>
        </w:tc>
      </w:tr>
    </w:tbl>
    <w:p w14:paraId="2C1D4DAE" w14:textId="77777777" w:rsidR="0059741B" w:rsidRPr="00641640" w:rsidRDefault="0059741B" w:rsidP="003A395D">
      <w:pPr>
        <w:spacing w:line="276" w:lineRule="auto"/>
        <w:jc w:val="both"/>
        <w:rPr>
          <w:rFonts w:ascii="Times New Roman" w:hAnsi="Times New Roman" w:cs="Times New Roman"/>
          <w:b/>
          <w:iCs/>
          <w:noProof/>
          <w:lang w:val="sq-AL"/>
        </w:rPr>
      </w:pPr>
    </w:p>
    <w:p w14:paraId="44086B77" w14:textId="7D7EA130" w:rsidR="009179B8" w:rsidRPr="00641640" w:rsidRDefault="006012DF" w:rsidP="003A395D">
      <w:pPr>
        <w:spacing w:line="276" w:lineRule="auto"/>
        <w:jc w:val="both"/>
        <w:rPr>
          <w:rFonts w:ascii="Times New Roman" w:hAnsi="Times New Roman" w:cs="Times New Roman"/>
          <w:b/>
          <w:i/>
          <w:noProof/>
          <w:sz w:val="24"/>
          <w:szCs w:val="24"/>
          <w:lang w:val="sq-AL"/>
        </w:rPr>
      </w:pPr>
      <w:r w:rsidRPr="00641640">
        <w:rPr>
          <w:rFonts w:ascii="Times New Roman" w:hAnsi="Times New Roman" w:cs="Times New Roman"/>
          <w:b/>
          <w:i/>
          <w:noProof/>
          <w:sz w:val="24"/>
          <w:szCs w:val="24"/>
          <w:lang w:val="sq-AL"/>
        </w:rPr>
        <w:t>Komponenti 1.3</w:t>
      </w:r>
      <w:r w:rsidR="00837F40" w:rsidRPr="00641640">
        <w:rPr>
          <w:rFonts w:ascii="Times New Roman" w:hAnsi="Times New Roman" w:cs="Times New Roman"/>
          <w:b/>
          <w:i/>
          <w:noProof/>
          <w:sz w:val="24"/>
          <w:szCs w:val="24"/>
          <w:lang w:val="sq-AL"/>
        </w:rPr>
        <w:t>:</w:t>
      </w:r>
      <w:r w:rsidR="00E20A94" w:rsidRPr="00641640">
        <w:rPr>
          <w:rFonts w:ascii="Times New Roman" w:hAnsi="Times New Roman" w:cs="Times New Roman"/>
          <w:b/>
          <w:i/>
          <w:noProof/>
          <w:sz w:val="24"/>
          <w:szCs w:val="24"/>
          <w:lang w:val="sq-AL"/>
        </w:rPr>
        <w:t xml:space="preserve"> Ligjb</w:t>
      </w:r>
      <w:r w:rsidR="00414343" w:rsidRPr="00641640">
        <w:rPr>
          <w:rFonts w:ascii="Times New Roman" w:hAnsi="Times New Roman" w:cs="Times New Roman"/>
          <w:b/>
          <w:i/>
          <w:noProof/>
          <w:sz w:val="24"/>
          <w:szCs w:val="24"/>
          <w:lang w:val="sq-AL"/>
        </w:rPr>
        <w:t>ë</w:t>
      </w:r>
      <w:r w:rsidR="00E20A94" w:rsidRPr="00641640">
        <w:rPr>
          <w:rFonts w:ascii="Times New Roman" w:hAnsi="Times New Roman" w:cs="Times New Roman"/>
          <w:b/>
          <w:i/>
          <w:noProof/>
          <w:sz w:val="24"/>
          <w:szCs w:val="24"/>
          <w:lang w:val="sq-AL"/>
        </w:rPr>
        <w:t>rje dhe politib</w:t>
      </w:r>
      <w:r w:rsidR="00414343" w:rsidRPr="00641640">
        <w:rPr>
          <w:rFonts w:ascii="Times New Roman" w:hAnsi="Times New Roman" w:cs="Times New Roman"/>
          <w:b/>
          <w:i/>
          <w:noProof/>
          <w:sz w:val="24"/>
          <w:szCs w:val="24"/>
          <w:lang w:val="sq-AL"/>
        </w:rPr>
        <w:t>ë</w:t>
      </w:r>
      <w:r w:rsidR="00E20A94" w:rsidRPr="00641640">
        <w:rPr>
          <w:rFonts w:ascii="Times New Roman" w:hAnsi="Times New Roman" w:cs="Times New Roman"/>
          <w:b/>
          <w:i/>
          <w:noProof/>
          <w:sz w:val="24"/>
          <w:szCs w:val="24"/>
          <w:lang w:val="sq-AL"/>
        </w:rPr>
        <w:t xml:space="preserve">rje </w:t>
      </w:r>
      <w:r w:rsidR="009179B8" w:rsidRPr="00641640">
        <w:rPr>
          <w:rFonts w:ascii="Times New Roman" w:hAnsi="Times New Roman" w:cs="Times New Roman"/>
          <w:b/>
          <w:i/>
          <w:noProof/>
          <w:sz w:val="24"/>
          <w:szCs w:val="24"/>
          <w:lang w:val="sq-AL"/>
        </w:rPr>
        <w:t>gjithëpërfshirës</w:t>
      </w:r>
      <w:r w:rsidR="000F0C6C" w:rsidRPr="00641640">
        <w:rPr>
          <w:rFonts w:ascii="Times New Roman" w:hAnsi="Times New Roman" w:cs="Times New Roman"/>
          <w:b/>
          <w:i/>
          <w:noProof/>
          <w:sz w:val="24"/>
          <w:szCs w:val="24"/>
          <w:lang w:val="sq-AL"/>
        </w:rPr>
        <w:t>e</w:t>
      </w:r>
      <w:r w:rsidR="00E20A94" w:rsidRPr="00641640">
        <w:rPr>
          <w:rFonts w:ascii="Times New Roman" w:hAnsi="Times New Roman" w:cs="Times New Roman"/>
          <w:b/>
          <w:i/>
          <w:noProof/>
          <w:sz w:val="24"/>
          <w:szCs w:val="24"/>
          <w:lang w:val="sq-AL"/>
        </w:rPr>
        <w:t xml:space="preserve"> dhe transparente</w:t>
      </w:r>
      <w:r w:rsidR="009179B8" w:rsidRPr="00641640">
        <w:rPr>
          <w:rFonts w:ascii="Times New Roman" w:hAnsi="Times New Roman" w:cs="Times New Roman"/>
          <w:b/>
          <w:i/>
          <w:noProof/>
          <w:sz w:val="24"/>
          <w:szCs w:val="24"/>
          <w:lang w:val="sq-AL"/>
        </w:rPr>
        <w:t>, bazuar në të dhëna</w:t>
      </w:r>
      <w:r w:rsidR="003A0D12" w:rsidRPr="00641640">
        <w:rPr>
          <w:rFonts w:ascii="Times New Roman" w:hAnsi="Times New Roman" w:cs="Times New Roman"/>
          <w:b/>
          <w:i/>
          <w:noProof/>
          <w:sz w:val="24"/>
          <w:szCs w:val="24"/>
          <w:lang w:val="sq-AL"/>
        </w:rPr>
        <w:t xml:space="preserve"> dhe</w:t>
      </w:r>
      <w:r w:rsidR="001540A9" w:rsidRPr="00641640">
        <w:rPr>
          <w:rFonts w:ascii="Times New Roman" w:hAnsi="Times New Roman" w:cs="Times New Roman"/>
          <w:b/>
          <w:i/>
          <w:noProof/>
          <w:sz w:val="24"/>
          <w:szCs w:val="24"/>
          <w:lang w:val="sq-AL"/>
        </w:rPr>
        <w:t xml:space="preserve"> </w:t>
      </w:r>
      <w:r w:rsidR="00E20A94" w:rsidRPr="00641640">
        <w:rPr>
          <w:rFonts w:ascii="Times New Roman" w:hAnsi="Times New Roman" w:cs="Times New Roman"/>
          <w:b/>
          <w:i/>
          <w:noProof/>
          <w:sz w:val="24"/>
          <w:szCs w:val="24"/>
          <w:lang w:val="sq-AL"/>
        </w:rPr>
        <w:t>q</w:t>
      </w:r>
      <w:r w:rsidR="00414343" w:rsidRPr="00641640">
        <w:rPr>
          <w:rFonts w:ascii="Times New Roman" w:hAnsi="Times New Roman" w:cs="Times New Roman"/>
          <w:b/>
          <w:i/>
          <w:noProof/>
          <w:sz w:val="24"/>
          <w:szCs w:val="24"/>
          <w:lang w:val="sq-AL"/>
        </w:rPr>
        <w:t>ë</w:t>
      </w:r>
      <w:r w:rsidR="00E20A94" w:rsidRPr="00641640">
        <w:rPr>
          <w:rFonts w:ascii="Times New Roman" w:hAnsi="Times New Roman" w:cs="Times New Roman"/>
          <w:b/>
          <w:i/>
          <w:noProof/>
          <w:sz w:val="24"/>
          <w:szCs w:val="24"/>
          <w:lang w:val="sq-AL"/>
        </w:rPr>
        <w:t xml:space="preserve"> garanton p</w:t>
      </w:r>
      <w:r w:rsidR="00414343" w:rsidRPr="00641640">
        <w:rPr>
          <w:rFonts w:ascii="Times New Roman" w:hAnsi="Times New Roman" w:cs="Times New Roman"/>
          <w:b/>
          <w:i/>
          <w:noProof/>
          <w:sz w:val="24"/>
          <w:szCs w:val="24"/>
          <w:lang w:val="sq-AL"/>
        </w:rPr>
        <w:t>ë</w:t>
      </w:r>
      <w:r w:rsidR="00E20A94" w:rsidRPr="00641640">
        <w:rPr>
          <w:rFonts w:ascii="Times New Roman" w:hAnsi="Times New Roman" w:cs="Times New Roman"/>
          <w:b/>
          <w:i/>
          <w:noProof/>
          <w:sz w:val="24"/>
          <w:szCs w:val="24"/>
          <w:lang w:val="sq-AL"/>
        </w:rPr>
        <w:t>rputhje me acquis-n</w:t>
      </w:r>
      <w:r w:rsidR="00414343" w:rsidRPr="00641640">
        <w:rPr>
          <w:rFonts w:ascii="Times New Roman" w:hAnsi="Times New Roman" w:cs="Times New Roman"/>
          <w:b/>
          <w:i/>
          <w:noProof/>
          <w:sz w:val="24"/>
          <w:szCs w:val="24"/>
          <w:lang w:val="sq-AL"/>
        </w:rPr>
        <w:t>ë</w:t>
      </w:r>
      <w:r w:rsidR="00E20A94" w:rsidRPr="00641640">
        <w:rPr>
          <w:rFonts w:ascii="Times New Roman" w:hAnsi="Times New Roman" w:cs="Times New Roman"/>
          <w:b/>
          <w:i/>
          <w:noProof/>
          <w:sz w:val="24"/>
          <w:szCs w:val="24"/>
          <w:lang w:val="sq-AL"/>
        </w:rPr>
        <w:t xml:space="preserve"> dhe </w:t>
      </w:r>
      <w:r w:rsidR="001540A9" w:rsidRPr="00641640">
        <w:rPr>
          <w:rFonts w:ascii="Times New Roman" w:hAnsi="Times New Roman" w:cs="Times New Roman"/>
          <w:b/>
          <w:i/>
          <w:noProof/>
          <w:sz w:val="24"/>
          <w:szCs w:val="24"/>
          <w:lang w:val="sq-AL"/>
        </w:rPr>
        <w:t xml:space="preserve">standardet evropiane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E4"/>
        <w:tblLook w:val="04A0" w:firstRow="1" w:lastRow="0" w:firstColumn="1" w:lastColumn="0" w:noHBand="0" w:noVBand="1"/>
      </w:tblPr>
      <w:tblGrid>
        <w:gridCol w:w="535"/>
        <w:gridCol w:w="8815"/>
      </w:tblGrid>
      <w:tr w:rsidR="002D3DA6" w:rsidRPr="00641640" w14:paraId="2F87983C" w14:textId="77777777" w:rsidTr="002D3DA6">
        <w:tc>
          <w:tcPr>
            <w:tcW w:w="535" w:type="dxa"/>
            <w:shd w:val="clear" w:color="auto" w:fill="EAF4E4"/>
          </w:tcPr>
          <w:p w14:paraId="717F99C2" w14:textId="2E8A04E7" w:rsidR="00837F40" w:rsidRPr="00641640" w:rsidRDefault="00837F40" w:rsidP="003A395D">
            <w:pPr>
              <w:spacing w:line="276" w:lineRule="auto"/>
              <w:jc w:val="both"/>
              <w:rPr>
                <w:rFonts w:ascii="Times New Roman" w:hAnsi="Times New Roman" w:cs="Times New Roman"/>
                <w:b/>
                <w:iCs/>
                <w:noProof/>
                <w:color w:val="003300"/>
                <w:sz w:val="24"/>
                <w:szCs w:val="24"/>
                <w:lang w:val="sq-AL"/>
              </w:rPr>
            </w:pPr>
            <w:r w:rsidRPr="00641640">
              <w:rPr>
                <w:rFonts w:ascii="Times New Roman" w:hAnsi="Times New Roman" w:cs="Times New Roman"/>
                <w:b/>
                <w:iCs/>
                <w:noProof/>
                <w:color w:val="003300"/>
                <w:sz w:val="24"/>
                <w:szCs w:val="24"/>
                <w:lang w:val="sq-AL"/>
              </w:rPr>
              <w:t>1.3</w:t>
            </w:r>
          </w:p>
        </w:tc>
        <w:tc>
          <w:tcPr>
            <w:tcW w:w="8815" w:type="dxa"/>
            <w:shd w:val="clear" w:color="auto" w:fill="EAF4E4"/>
          </w:tcPr>
          <w:p w14:paraId="473AA2E2" w14:textId="60358307" w:rsidR="00837F40" w:rsidRPr="00641640" w:rsidRDefault="00837F40" w:rsidP="003A395D">
            <w:pPr>
              <w:spacing w:line="276" w:lineRule="auto"/>
              <w:jc w:val="both"/>
              <w:rPr>
                <w:rFonts w:ascii="Times New Roman" w:hAnsi="Times New Roman" w:cs="Times New Roman"/>
                <w:b/>
                <w:i/>
                <w:noProof/>
                <w:color w:val="003300"/>
                <w:sz w:val="24"/>
                <w:szCs w:val="24"/>
                <w:lang w:val="sq-AL"/>
              </w:rPr>
            </w:pPr>
            <w:r w:rsidRPr="00641640">
              <w:rPr>
                <w:rFonts w:ascii="Times New Roman" w:hAnsi="Times New Roman" w:cs="Times New Roman"/>
                <w:b/>
                <w:noProof/>
                <w:color w:val="003300"/>
                <w:sz w:val="24"/>
                <w:szCs w:val="24"/>
                <w:lang w:val="sq-AL"/>
              </w:rPr>
              <w:t xml:space="preserve">Objektivi </w:t>
            </w:r>
            <w:r w:rsidR="002D3DA6" w:rsidRPr="00641640">
              <w:rPr>
                <w:rFonts w:ascii="Times New Roman" w:hAnsi="Times New Roman" w:cs="Times New Roman"/>
                <w:b/>
                <w:noProof/>
                <w:color w:val="003300"/>
                <w:sz w:val="24"/>
                <w:szCs w:val="24"/>
                <w:lang w:val="sq-AL"/>
              </w:rPr>
              <w:t>S</w:t>
            </w:r>
            <w:r w:rsidRPr="00641640">
              <w:rPr>
                <w:rFonts w:ascii="Times New Roman" w:hAnsi="Times New Roman" w:cs="Times New Roman"/>
                <w:b/>
                <w:noProof/>
                <w:color w:val="003300"/>
                <w:sz w:val="24"/>
                <w:szCs w:val="24"/>
                <w:lang w:val="sq-AL"/>
              </w:rPr>
              <w:t>pecifik 1.3:  Hartimi i politikave mbështetur në të dhëna dhe vlerësim cilësor të ndikimit rregullator, përgjatë një procesi mirëplanifikimi ligjor dhe konsultimi gjithëpërfshirës publik, që garanton përputhje me acquis-në dhe praktikat e mira ndërkombëtare</w:t>
            </w:r>
          </w:p>
        </w:tc>
      </w:tr>
    </w:tbl>
    <w:p w14:paraId="6ABE245D" w14:textId="77777777" w:rsidR="002D3DA6" w:rsidRPr="00641640" w:rsidRDefault="002D3DA6" w:rsidP="003A395D">
      <w:pPr>
        <w:spacing w:after="0" w:line="276" w:lineRule="auto"/>
        <w:jc w:val="both"/>
        <w:rPr>
          <w:rFonts w:ascii="Times New Roman" w:hAnsi="Times New Roman" w:cs="Times New Roman"/>
          <w:b/>
          <w:bCs/>
          <w:noProof/>
          <w:sz w:val="24"/>
          <w:szCs w:val="24"/>
          <w:lang w:val="sq-AL"/>
        </w:rPr>
      </w:pPr>
    </w:p>
    <w:p w14:paraId="60290876" w14:textId="011055F4" w:rsidR="004874E1" w:rsidRPr="00641640" w:rsidRDefault="004874E1" w:rsidP="003A395D">
      <w:pPr>
        <w:spacing w:line="276" w:lineRule="auto"/>
        <w:jc w:val="both"/>
        <w:rPr>
          <w:rStyle w:val="normaltextrun"/>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Prioritetet</w:t>
      </w:r>
    </w:p>
    <w:p w14:paraId="6CFFD507" w14:textId="0497CEEC" w:rsidR="005403C8" w:rsidRPr="00641640" w:rsidRDefault="005403C8" w:rsidP="003A395D">
      <w:pPr>
        <w:spacing w:before="100" w:beforeAutospacing="1" w:after="100" w:afterAutospacing="1"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Ky Objektiv Specifik synon të garantoj</w:t>
      </w:r>
      <w:r w:rsidR="00F92D25"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 xml:space="preserve"> një proces gjithëpërfshirës të hartimit të politikave dhe legjislacionit, duke përdorur metoda të bazuara në të dhëna, i cili garanton përputhshmëri me </w:t>
      </w:r>
      <w:r w:rsidRPr="00641640">
        <w:rPr>
          <w:rFonts w:ascii="Times New Roman" w:eastAsia="Times New Roman" w:hAnsi="Times New Roman" w:cs="Times New Roman"/>
          <w:i/>
          <w:noProof/>
          <w:sz w:val="24"/>
          <w:szCs w:val="24"/>
          <w:lang w:val="sq-AL"/>
        </w:rPr>
        <w:t>acquis</w:t>
      </w:r>
      <w:r w:rsidRPr="00641640">
        <w:rPr>
          <w:rFonts w:ascii="Times New Roman" w:eastAsia="Times New Roman" w:hAnsi="Times New Roman" w:cs="Times New Roman"/>
          <w:noProof/>
          <w:sz w:val="24"/>
          <w:szCs w:val="24"/>
          <w:lang w:val="sq-AL"/>
        </w:rPr>
        <w:t>-në dhe standardet evropiane. Masat e parashikuara p</w:t>
      </w:r>
      <w:r w:rsidR="00F92D25"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r zbatimin e k</w:t>
      </w:r>
      <w:r w:rsidR="00F92D25"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tij Objektivi Specifik do t</w:t>
      </w:r>
      <w:r w:rsidR="00F92D25"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 xml:space="preserve"> adresojn</w:t>
      </w:r>
      <w:r w:rsidR="00F92D25"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 xml:space="preserve"> p</w:t>
      </w:r>
      <w:r w:rsidRPr="00641640">
        <w:rPr>
          <w:rFonts w:ascii="Times New Roman" w:eastAsia="Times New Roman" w:hAnsi="Times New Roman" w:cs="Times New Roman"/>
          <w:bCs/>
          <w:noProof/>
          <w:sz w:val="24"/>
          <w:szCs w:val="24"/>
          <w:lang w:val="sq-AL"/>
        </w:rPr>
        <w:t>ërafrimin ligjor dhe metodologjik me acquis-n</w:t>
      </w:r>
      <w:r w:rsidR="00F92D25" w:rsidRPr="00641640">
        <w:rPr>
          <w:rFonts w:ascii="Times New Roman" w:eastAsia="Times New Roman" w:hAnsi="Times New Roman" w:cs="Times New Roman"/>
          <w:bCs/>
          <w:noProof/>
          <w:sz w:val="24"/>
          <w:szCs w:val="24"/>
          <w:lang w:val="sq-AL"/>
        </w:rPr>
        <w:t>ë</w:t>
      </w:r>
      <w:r w:rsidRPr="00641640">
        <w:rPr>
          <w:rFonts w:ascii="Times New Roman" w:eastAsia="Times New Roman" w:hAnsi="Times New Roman" w:cs="Times New Roman"/>
          <w:bCs/>
          <w:noProof/>
          <w:sz w:val="24"/>
          <w:szCs w:val="24"/>
          <w:lang w:val="sq-AL"/>
        </w:rPr>
        <w:t xml:space="preserve"> dhe standardet e BE-së, rritjen e kapaciteteve administrative për përgatitjen dhe monitorimin e raporteve RIA, si dhe përmirësimin e konsultimit publik</w:t>
      </w:r>
      <w:r w:rsidRPr="00641640">
        <w:rPr>
          <w:rFonts w:ascii="Times New Roman" w:eastAsia="Times New Roman" w:hAnsi="Times New Roman" w:cs="Times New Roman"/>
          <w:noProof/>
          <w:sz w:val="24"/>
          <w:szCs w:val="24"/>
          <w:lang w:val="sq-AL"/>
        </w:rPr>
        <w:t xml:space="preserve"> si një proces efektiv dhe gjithëpërfshirës.</w:t>
      </w:r>
    </w:p>
    <w:p w14:paraId="5D97D7A8" w14:textId="505C66F1" w:rsidR="005403C8" w:rsidRPr="00641640" w:rsidRDefault="006034CD"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Zbatimi </w:t>
      </w:r>
      <w:r w:rsidR="005403C8" w:rsidRPr="00641640">
        <w:rPr>
          <w:rFonts w:ascii="Times New Roman" w:hAnsi="Times New Roman" w:cs="Times New Roman"/>
          <w:noProof/>
          <w:sz w:val="24"/>
          <w:szCs w:val="24"/>
          <w:lang w:val="sq-AL"/>
        </w:rPr>
        <w:t>n</w:t>
      </w:r>
      <w:r w:rsidR="00F92D25" w:rsidRPr="00641640">
        <w:rPr>
          <w:rFonts w:ascii="Times New Roman" w:hAnsi="Times New Roman" w:cs="Times New Roman"/>
          <w:noProof/>
          <w:sz w:val="24"/>
          <w:szCs w:val="24"/>
          <w:lang w:val="sq-AL"/>
        </w:rPr>
        <w:t>ë</w:t>
      </w:r>
      <w:r w:rsidR="005403C8" w:rsidRPr="00641640">
        <w:rPr>
          <w:rFonts w:ascii="Times New Roman" w:hAnsi="Times New Roman" w:cs="Times New Roman"/>
          <w:noProof/>
          <w:sz w:val="24"/>
          <w:szCs w:val="24"/>
          <w:lang w:val="sq-AL"/>
        </w:rPr>
        <w:t xml:space="preserve"> rritje i k</w:t>
      </w:r>
      <w:r w:rsidR="00F92D25" w:rsidRPr="00641640">
        <w:rPr>
          <w:rFonts w:ascii="Times New Roman" w:hAnsi="Times New Roman" w:cs="Times New Roman"/>
          <w:noProof/>
          <w:sz w:val="24"/>
          <w:szCs w:val="24"/>
          <w:lang w:val="sq-AL"/>
        </w:rPr>
        <w:t>ë</w:t>
      </w:r>
      <w:r w:rsidR="005403C8" w:rsidRPr="00641640">
        <w:rPr>
          <w:rFonts w:ascii="Times New Roman" w:hAnsi="Times New Roman" w:cs="Times New Roman"/>
          <w:noProof/>
          <w:sz w:val="24"/>
          <w:szCs w:val="24"/>
          <w:lang w:val="sq-AL"/>
        </w:rPr>
        <w:t>rkesave rregullatore t</w:t>
      </w:r>
      <w:r w:rsidR="00F92D25"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procesit të vlerësimit të ndikimit (RIA), ka ndikuar në rritjen e cilësisë dhe efektivitetin e hartimit të politika</w:t>
      </w:r>
      <w:r w:rsidR="005403C8" w:rsidRPr="00641640">
        <w:rPr>
          <w:rFonts w:ascii="Times New Roman" w:hAnsi="Times New Roman" w:cs="Times New Roman"/>
          <w:noProof/>
          <w:sz w:val="24"/>
          <w:szCs w:val="24"/>
          <w:lang w:val="sq-AL"/>
        </w:rPr>
        <w:t>ve/legjislacionit në vend,</w:t>
      </w:r>
      <w:r w:rsidRPr="00641640">
        <w:rPr>
          <w:rFonts w:ascii="Times New Roman" w:hAnsi="Times New Roman" w:cs="Times New Roman"/>
          <w:noProof/>
          <w:sz w:val="24"/>
          <w:szCs w:val="24"/>
          <w:lang w:val="sq-AL"/>
        </w:rPr>
        <w:t xml:space="preserve"> duke bërë të mundur që ndërhyrja e qeverisë të </w:t>
      </w:r>
      <w:r w:rsidR="005403C8" w:rsidRPr="00641640">
        <w:rPr>
          <w:rFonts w:ascii="Times New Roman" w:hAnsi="Times New Roman" w:cs="Times New Roman"/>
          <w:noProof/>
          <w:sz w:val="24"/>
          <w:szCs w:val="24"/>
          <w:lang w:val="sq-AL"/>
        </w:rPr>
        <w:t>bazohet n</w:t>
      </w:r>
      <w:r w:rsidR="00F92D25" w:rsidRPr="00641640">
        <w:rPr>
          <w:rFonts w:ascii="Times New Roman" w:hAnsi="Times New Roman" w:cs="Times New Roman"/>
          <w:noProof/>
          <w:sz w:val="24"/>
          <w:szCs w:val="24"/>
          <w:lang w:val="sq-AL"/>
        </w:rPr>
        <w:t>ë</w:t>
      </w:r>
      <w:r w:rsidR="005403C8" w:rsidRPr="00641640">
        <w:rPr>
          <w:rFonts w:ascii="Times New Roman" w:hAnsi="Times New Roman" w:cs="Times New Roman"/>
          <w:noProof/>
          <w:sz w:val="24"/>
          <w:szCs w:val="24"/>
          <w:lang w:val="sq-AL"/>
        </w:rPr>
        <w:t xml:space="preserve"> t</w:t>
      </w:r>
      <w:r w:rsidR="00F92D25" w:rsidRPr="00641640">
        <w:rPr>
          <w:rFonts w:ascii="Times New Roman" w:hAnsi="Times New Roman" w:cs="Times New Roman"/>
          <w:noProof/>
          <w:sz w:val="24"/>
          <w:szCs w:val="24"/>
          <w:lang w:val="sq-AL"/>
        </w:rPr>
        <w:t>ë</w:t>
      </w:r>
      <w:r w:rsidR="005403C8" w:rsidRPr="00641640">
        <w:rPr>
          <w:rFonts w:ascii="Times New Roman" w:hAnsi="Times New Roman" w:cs="Times New Roman"/>
          <w:noProof/>
          <w:sz w:val="24"/>
          <w:szCs w:val="24"/>
          <w:lang w:val="sq-AL"/>
        </w:rPr>
        <w:t xml:space="preserve"> dh</w:t>
      </w:r>
      <w:r w:rsidR="00F92D25" w:rsidRPr="00641640">
        <w:rPr>
          <w:rFonts w:ascii="Times New Roman" w:hAnsi="Times New Roman" w:cs="Times New Roman"/>
          <w:noProof/>
          <w:sz w:val="24"/>
          <w:szCs w:val="24"/>
          <w:lang w:val="sq-AL"/>
        </w:rPr>
        <w:t>ë</w:t>
      </w:r>
      <w:r w:rsidR="005403C8" w:rsidRPr="00641640">
        <w:rPr>
          <w:rFonts w:ascii="Times New Roman" w:hAnsi="Times New Roman" w:cs="Times New Roman"/>
          <w:noProof/>
          <w:sz w:val="24"/>
          <w:szCs w:val="24"/>
          <w:lang w:val="sq-AL"/>
        </w:rPr>
        <w:t>na dhe t</w:t>
      </w:r>
      <w:r w:rsidR="00F92D25" w:rsidRPr="00641640">
        <w:rPr>
          <w:rFonts w:ascii="Times New Roman" w:hAnsi="Times New Roman" w:cs="Times New Roman"/>
          <w:noProof/>
          <w:sz w:val="24"/>
          <w:szCs w:val="24"/>
          <w:lang w:val="sq-AL"/>
        </w:rPr>
        <w:t>ë</w:t>
      </w:r>
      <w:r w:rsidR="005403C8" w:rsidRPr="00641640">
        <w:rPr>
          <w:rFonts w:ascii="Times New Roman" w:hAnsi="Times New Roman" w:cs="Times New Roman"/>
          <w:noProof/>
          <w:sz w:val="24"/>
          <w:szCs w:val="24"/>
          <w:lang w:val="sq-AL"/>
        </w:rPr>
        <w:t xml:space="preserve"> </w:t>
      </w:r>
      <w:r w:rsidRPr="00641640">
        <w:rPr>
          <w:rFonts w:ascii="Times New Roman" w:hAnsi="Times New Roman" w:cs="Times New Roman"/>
          <w:noProof/>
          <w:sz w:val="24"/>
          <w:szCs w:val="24"/>
          <w:lang w:val="sq-AL"/>
        </w:rPr>
        <w:t>jetë e dr</w:t>
      </w:r>
      <w:r w:rsidR="005403C8" w:rsidRPr="00641640">
        <w:rPr>
          <w:rFonts w:ascii="Times New Roman" w:hAnsi="Times New Roman" w:cs="Times New Roman"/>
          <w:noProof/>
          <w:sz w:val="24"/>
          <w:szCs w:val="24"/>
          <w:lang w:val="sq-AL"/>
        </w:rPr>
        <w:t>ejtuar aty ku është e nevojshme. Ky prioritizim do t</w:t>
      </w:r>
      <w:r w:rsidR="00F92D25" w:rsidRPr="00641640">
        <w:rPr>
          <w:rFonts w:ascii="Times New Roman" w:hAnsi="Times New Roman" w:cs="Times New Roman"/>
          <w:noProof/>
          <w:sz w:val="24"/>
          <w:szCs w:val="24"/>
          <w:lang w:val="sq-AL"/>
        </w:rPr>
        <w:t>ë</w:t>
      </w:r>
      <w:r w:rsidR="005403C8" w:rsidRPr="00641640">
        <w:rPr>
          <w:rFonts w:ascii="Times New Roman" w:hAnsi="Times New Roman" w:cs="Times New Roman"/>
          <w:noProof/>
          <w:sz w:val="24"/>
          <w:szCs w:val="24"/>
          <w:lang w:val="sq-AL"/>
        </w:rPr>
        <w:t xml:space="preserve"> rritet</w:t>
      </w:r>
      <w:r w:rsidR="004F7072" w:rsidRPr="00641640">
        <w:rPr>
          <w:rFonts w:ascii="Times New Roman" w:hAnsi="Times New Roman" w:cs="Times New Roman"/>
          <w:noProof/>
          <w:sz w:val="24"/>
          <w:szCs w:val="24"/>
          <w:lang w:val="sq-AL"/>
        </w:rPr>
        <w:t xml:space="preserve"> edhe m</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tej n</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p</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rputhje me angazhimet e nd</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rmarra n</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Udh</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rr</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fyesin p</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r Reform</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n n</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Administrat</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n Publike 2023-2030</w:t>
      </w:r>
      <w:r w:rsidR="005403C8" w:rsidRPr="00641640">
        <w:rPr>
          <w:rFonts w:ascii="Times New Roman" w:hAnsi="Times New Roman" w:cs="Times New Roman"/>
          <w:noProof/>
          <w:sz w:val="24"/>
          <w:szCs w:val="24"/>
          <w:lang w:val="sq-AL"/>
        </w:rPr>
        <w:t>, p</w:t>
      </w:r>
      <w:r w:rsidR="00F92D25" w:rsidRPr="00641640">
        <w:rPr>
          <w:rFonts w:ascii="Times New Roman" w:hAnsi="Times New Roman" w:cs="Times New Roman"/>
          <w:noProof/>
          <w:sz w:val="24"/>
          <w:szCs w:val="24"/>
          <w:lang w:val="sq-AL"/>
        </w:rPr>
        <w:t>ë</w:t>
      </w:r>
      <w:r w:rsidR="005403C8" w:rsidRPr="00641640">
        <w:rPr>
          <w:rFonts w:ascii="Times New Roman" w:hAnsi="Times New Roman" w:cs="Times New Roman"/>
          <w:noProof/>
          <w:sz w:val="24"/>
          <w:szCs w:val="24"/>
          <w:lang w:val="sq-AL"/>
        </w:rPr>
        <w:t>rmes investimit n</w:t>
      </w:r>
      <w:r w:rsidR="00F92D25" w:rsidRPr="00641640">
        <w:rPr>
          <w:rFonts w:ascii="Times New Roman" w:hAnsi="Times New Roman" w:cs="Times New Roman"/>
          <w:noProof/>
          <w:sz w:val="24"/>
          <w:szCs w:val="24"/>
          <w:lang w:val="sq-AL"/>
        </w:rPr>
        <w:t>ë</w:t>
      </w:r>
      <w:r w:rsidR="005403C8" w:rsidRPr="00641640">
        <w:rPr>
          <w:rFonts w:ascii="Times New Roman" w:hAnsi="Times New Roman" w:cs="Times New Roman"/>
          <w:noProof/>
          <w:sz w:val="24"/>
          <w:szCs w:val="24"/>
          <w:lang w:val="sq-AL"/>
        </w:rPr>
        <w:t xml:space="preserve"> </w:t>
      </w:r>
      <w:r w:rsidR="003958D2" w:rsidRPr="00641640">
        <w:rPr>
          <w:rFonts w:ascii="Times New Roman" w:hAnsi="Times New Roman" w:cs="Times New Roman"/>
          <w:noProof/>
          <w:sz w:val="24"/>
          <w:szCs w:val="24"/>
          <w:lang w:val="sq-AL"/>
        </w:rPr>
        <w:t>p</w:t>
      </w:r>
      <w:r w:rsidR="00F92D25" w:rsidRPr="00641640">
        <w:rPr>
          <w:rFonts w:ascii="Times New Roman" w:hAnsi="Times New Roman" w:cs="Times New Roman"/>
          <w:noProof/>
          <w:sz w:val="24"/>
          <w:szCs w:val="24"/>
          <w:lang w:val="sq-AL"/>
        </w:rPr>
        <w:t>ë</w:t>
      </w:r>
      <w:r w:rsidR="003958D2" w:rsidRPr="00641640">
        <w:rPr>
          <w:rFonts w:ascii="Times New Roman" w:hAnsi="Times New Roman" w:cs="Times New Roman"/>
          <w:noProof/>
          <w:sz w:val="24"/>
          <w:szCs w:val="24"/>
          <w:lang w:val="sq-AL"/>
        </w:rPr>
        <w:t>rmir</w:t>
      </w:r>
      <w:r w:rsidR="00F92D25" w:rsidRPr="00641640">
        <w:rPr>
          <w:rFonts w:ascii="Times New Roman" w:hAnsi="Times New Roman" w:cs="Times New Roman"/>
          <w:noProof/>
          <w:sz w:val="24"/>
          <w:szCs w:val="24"/>
          <w:lang w:val="sq-AL"/>
        </w:rPr>
        <w:t>ë</w:t>
      </w:r>
      <w:r w:rsidR="003958D2" w:rsidRPr="00641640">
        <w:rPr>
          <w:rFonts w:ascii="Times New Roman" w:hAnsi="Times New Roman" w:cs="Times New Roman"/>
          <w:noProof/>
          <w:sz w:val="24"/>
          <w:szCs w:val="24"/>
          <w:lang w:val="sq-AL"/>
        </w:rPr>
        <w:t xml:space="preserve">simin e kapaciteteve dhe njohurive </w:t>
      </w:r>
      <w:r w:rsidR="004F7072" w:rsidRPr="00641640">
        <w:rPr>
          <w:rFonts w:ascii="Times New Roman" w:hAnsi="Times New Roman" w:cs="Times New Roman"/>
          <w:noProof/>
          <w:sz w:val="24"/>
          <w:szCs w:val="24"/>
          <w:lang w:val="sq-AL"/>
        </w:rPr>
        <w:t>t</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stafit t</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angazhuar me kryerjen dhe monitorimin e procesit. Duke konsideruar kompleksitetin q</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paraqet kryerja cil</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sore e procesit t</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vler</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simit t</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ndikimit rregullator dhe nevoj</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n p</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r njohuri dhe aft</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si t</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specializuara n</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k</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t</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drejtim, nd</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rhyrjet e planifikuara synojn</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rritjen e cil</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sis</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dhe q</w:t>
      </w:r>
      <w:r w:rsidR="00C84EC0" w:rsidRPr="00641640">
        <w:rPr>
          <w:rFonts w:ascii="Times New Roman" w:hAnsi="Times New Roman" w:cs="Times New Roman"/>
          <w:noProof/>
          <w:sz w:val="24"/>
          <w:szCs w:val="24"/>
          <w:lang w:val="sq-AL"/>
        </w:rPr>
        <w:t>e</w:t>
      </w:r>
      <w:r w:rsidR="004F7072" w:rsidRPr="00641640">
        <w:rPr>
          <w:rFonts w:ascii="Times New Roman" w:hAnsi="Times New Roman" w:cs="Times New Roman"/>
          <w:noProof/>
          <w:sz w:val="24"/>
          <w:szCs w:val="24"/>
          <w:lang w:val="sq-AL"/>
        </w:rPr>
        <w:t>ndrueshmërisë s</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raporteve RIA të hartuara nga </w:t>
      </w:r>
      <w:r w:rsidR="004F7072" w:rsidRPr="00641640">
        <w:rPr>
          <w:rFonts w:ascii="Times New Roman" w:hAnsi="Times New Roman" w:cs="Times New Roman"/>
          <w:noProof/>
          <w:sz w:val="24"/>
          <w:szCs w:val="24"/>
          <w:lang w:val="sq-AL"/>
        </w:rPr>
        <w:lastRenderedPageBreak/>
        <w:t>funksionarët publikë, si dhe p</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r rrjedhoj</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edhe rritjen e transparenc</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s dhe besueshm</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ris</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s</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qytetar</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ve dhe pal</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ve t</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tjera t</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treta n</w:t>
      </w:r>
      <w:r w:rsidR="001161DE" w:rsidRPr="00641640">
        <w:rPr>
          <w:rFonts w:ascii="Times New Roman" w:hAnsi="Times New Roman" w:cs="Times New Roman"/>
          <w:noProof/>
          <w:sz w:val="24"/>
          <w:szCs w:val="24"/>
          <w:lang w:val="sq-AL"/>
        </w:rPr>
        <w:t>ë</w:t>
      </w:r>
      <w:r w:rsidR="004F7072" w:rsidRPr="00641640">
        <w:rPr>
          <w:rFonts w:ascii="Times New Roman" w:hAnsi="Times New Roman" w:cs="Times New Roman"/>
          <w:noProof/>
          <w:sz w:val="24"/>
          <w:szCs w:val="24"/>
          <w:lang w:val="sq-AL"/>
        </w:rPr>
        <w:t xml:space="preserve"> proces. </w:t>
      </w:r>
    </w:p>
    <w:p w14:paraId="1584CE9D" w14:textId="0C5A5580" w:rsidR="004F7072" w:rsidRPr="00641640" w:rsidRDefault="004F7072"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Në k</w:t>
      </w:r>
      <w:r w:rsidR="001161D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t</w:t>
      </w:r>
      <w:r w:rsidR="001161D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kuadër, n</w:t>
      </w:r>
      <w:r w:rsidR="001161D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w:t>
      </w:r>
      <w:r w:rsidR="003B0FE3" w:rsidRPr="00641640">
        <w:rPr>
          <w:rFonts w:ascii="Times New Roman" w:hAnsi="Times New Roman" w:cs="Times New Roman"/>
          <w:noProof/>
          <w:sz w:val="24"/>
          <w:szCs w:val="24"/>
          <w:lang w:val="sq-AL"/>
        </w:rPr>
        <w:t>s</w:t>
      </w:r>
      <w:r w:rsidRPr="00641640">
        <w:rPr>
          <w:rFonts w:ascii="Times New Roman" w:hAnsi="Times New Roman" w:cs="Times New Roman"/>
          <w:noProof/>
          <w:sz w:val="24"/>
          <w:szCs w:val="24"/>
          <w:lang w:val="sq-AL"/>
        </w:rPr>
        <w:t>trategji jan</w:t>
      </w:r>
      <w:r w:rsidR="001161D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parashikuar masa konkrete për të garantuar transparencën, efikasitetin dhe bazueshm</w:t>
      </w:r>
      <w:r w:rsidR="001161D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rin</w:t>
      </w:r>
      <w:r w:rsidR="001161D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në prova të politikave rregullatore. Qeveria Shqiptare do t</w:t>
      </w:r>
      <w:r w:rsidR="001161D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përfshij</w:t>
      </w:r>
      <w:r w:rsidR="001161D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procesin e vlerësimit të ndikimit rregullator në fazën e programimit ligjor, për t</w:t>
      </w:r>
      <w:r w:rsidR="001161D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mund</w:t>
      </w:r>
      <w:r w:rsidR="001161D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suar që ndikimet e mundshme të akteve rregullatore në shoqëri dhe ekonomi të identifikohen dhe adresohen përpara zbatimit t</w:t>
      </w:r>
      <w:r w:rsidR="001161D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akteve n</w:t>
      </w:r>
      <w:r w:rsidR="001161D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fjal</w:t>
      </w:r>
      <w:r w:rsidR="001161D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Kjo qasje</w:t>
      </w:r>
      <w:r w:rsidR="0062434B"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ka për qëllim shmangien paraprake t</w:t>
      </w:r>
      <w:r w:rsidR="001161D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pasojave të padëshiruara t</w:t>
      </w:r>
      <w:r w:rsidR="001161D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veprimtaris</w:t>
      </w:r>
      <w:r w:rsidR="001161D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rregullatore dhe garanton që aktet rregullatore të jenë efektive dhe të arrijnë objektivat e përcaktuara. Po ashtu, parashikohet që ky proces do të rrisë legjitimitetin e vendimmarrjes dhe besimin e qytetarëve në veprimtarin</w:t>
      </w:r>
      <w:r w:rsidR="001161D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e institucioneve publike.</w:t>
      </w:r>
    </w:p>
    <w:p w14:paraId="5F7C549B" w14:textId="217020ED" w:rsidR="009179B8" w:rsidRPr="00641640" w:rsidRDefault="004F7072"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Në kuadër të kësaj strategjie është parashikuar gjithashtu përmirësimi i procesit të vlerësimit të ndikimit ex-post, i cili do të monitorojë pasojat e akteve rregullatore në fuqi, duke vlerësuar kostot, përfitimet dhe efektivitetin e tyre. Ky vlerësim do të ndihmojë politikëbërësit të identifikojnë nevojat për përmirësime dhe të bëjnë rregullimet e nevojshme për të arritur rezultate më të mira dhe për të plotësuar nevojat e palëve të interesuara.</w:t>
      </w:r>
      <w:r w:rsidR="009179B8" w:rsidRPr="00641640">
        <w:rPr>
          <w:rFonts w:ascii="Times New Roman" w:hAnsi="Times New Roman" w:cs="Times New Roman"/>
          <w:noProof/>
          <w:sz w:val="24"/>
          <w:szCs w:val="24"/>
          <w:lang w:val="sq-AL"/>
        </w:rPr>
        <w:t xml:space="preserve"> </w:t>
      </w:r>
    </w:p>
    <w:p w14:paraId="28E5EEE4" w14:textId="73F501D8" w:rsidR="004F7072" w:rsidRPr="00641640" w:rsidRDefault="009179B8"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Një tjetër element i rëndësishëm </w:t>
      </w:r>
      <w:r w:rsidR="00A6090A" w:rsidRPr="00641640">
        <w:rPr>
          <w:rFonts w:ascii="Times New Roman" w:hAnsi="Times New Roman" w:cs="Times New Roman"/>
          <w:noProof/>
          <w:sz w:val="24"/>
          <w:szCs w:val="24"/>
          <w:lang w:val="sq-AL"/>
        </w:rPr>
        <w:t xml:space="preserve">në procesin e hartimit cilësor </w:t>
      </w:r>
      <w:r w:rsidRPr="00641640">
        <w:rPr>
          <w:rFonts w:ascii="Times New Roman" w:hAnsi="Times New Roman" w:cs="Times New Roman"/>
          <w:noProof/>
          <w:sz w:val="24"/>
          <w:szCs w:val="24"/>
          <w:lang w:val="sq-AL"/>
        </w:rPr>
        <w:t>e gjithëpërfshirjes të legjislacionit, është edhe kr</w:t>
      </w:r>
      <w:r w:rsidR="004F7072" w:rsidRPr="00641640">
        <w:rPr>
          <w:rFonts w:ascii="Times New Roman" w:hAnsi="Times New Roman" w:cs="Times New Roman"/>
          <w:noProof/>
          <w:sz w:val="24"/>
          <w:szCs w:val="24"/>
          <w:lang w:val="sq-AL"/>
        </w:rPr>
        <w:t>yerja e një procesi të mirëfilltë</w:t>
      </w:r>
      <w:r w:rsidRPr="00641640">
        <w:rPr>
          <w:rFonts w:ascii="Times New Roman" w:hAnsi="Times New Roman" w:cs="Times New Roman"/>
          <w:noProof/>
          <w:sz w:val="24"/>
          <w:szCs w:val="24"/>
          <w:lang w:val="sq-AL"/>
        </w:rPr>
        <w:t xml:space="preserve"> konsultimi publik, ku palët e prekura e të interesuara mund të japin kontribut të vlefshëm.</w:t>
      </w:r>
      <w:r w:rsidR="004F7072" w:rsidRPr="00641640">
        <w:rPr>
          <w:rFonts w:ascii="Times New Roman" w:hAnsi="Times New Roman" w:cs="Times New Roman"/>
          <w:noProof/>
          <w:sz w:val="24"/>
          <w:szCs w:val="24"/>
          <w:lang w:val="sq-AL"/>
        </w:rPr>
        <w:t xml:space="preserve"> Në raportin e saj më të fundit të monitorimit për Shqipërinë, OECD/SIGMA thekson rëndësinë e këtij procesi, publikimin e raporteve dhe rritjen e angazhimit qytetar në procesin e konsultimit publik.</w:t>
      </w:r>
      <w:r w:rsidRPr="00641640">
        <w:rPr>
          <w:rFonts w:ascii="Times New Roman" w:hAnsi="Times New Roman" w:cs="Times New Roman"/>
          <w:noProof/>
          <w:sz w:val="24"/>
          <w:szCs w:val="24"/>
          <w:lang w:val="sq-AL"/>
        </w:rPr>
        <w:t xml:space="preserve"> Pas një analiz</w:t>
      </w:r>
      <w:r w:rsidR="00C06F90"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 xml:space="preserve"> të </w:t>
      </w:r>
      <w:r w:rsidR="004F7072" w:rsidRPr="00641640">
        <w:rPr>
          <w:rFonts w:ascii="Times New Roman" w:hAnsi="Times New Roman" w:cs="Times New Roman"/>
          <w:noProof/>
          <w:sz w:val="24"/>
          <w:szCs w:val="24"/>
          <w:lang w:val="sq-AL"/>
        </w:rPr>
        <w:t xml:space="preserve">hollësishme të legjislacionit që rregullon këtë proces, si dhe </w:t>
      </w:r>
      <w:r w:rsidRPr="00641640">
        <w:rPr>
          <w:rFonts w:ascii="Times New Roman" w:hAnsi="Times New Roman" w:cs="Times New Roman"/>
          <w:noProof/>
          <w:sz w:val="24"/>
          <w:szCs w:val="24"/>
          <w:lang w:val="sq-AL"/>
        </w:rPr>
        <w:t xml:space="preserve">mënyrës së funksionimit </w:t>
      </w:r>
      <w:r w:rsidR="004F7072" w:rsidRPr="00641640">
        <w:rPr>
          <w:rFonts w:ascii="Times New Roman" w:hAnsi="Times New Roman" w:cs="Times New Roman"/>
          <w:noProof/>
          <w:sz w:val="24"/>
          <w:szCs w:val="24"/>
          <w:lang w:val="sq-AL"/>
        </w:rPr>
        <w:t xml:space="preserve">në praktikë </w:t>
      </w:r>
      <w:r w:rsidRPr="00641640">
        <w:rPr>
          <w:rFonts w:ascii="Times New Roman" w:hAnsi="Times New Roman" w:cs="Times New Roman"/>
          <w:noProof/>
          <w:sz w:val="24"/>
          <w:szCs w:val="24"/>
          <w:lang w:val="sq-AL"/>
        </w:rPr>
        <w:t>të konsultimit publik</w:t>
      </w:r>
      <w:r w:rsidR="004F7072"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w:t>
      </w:r>
      <w:r w:rsidR="004F7072" w:rsidRPr="00641640">
        <w:rPr>
          <w:rFonts w:ascii="Times New Roman" w:hAnsi="Times New Roman" w:cs="Times New Roman"/>
          <w:noProof/>
          <w:sz w:val="24"/>
          <w:szCs w:val="24"/>
          <w:lang w:val="sq-AL"/>
        </w:rPr>
        <w:t xml:space="preserve">institucionet shqiptare do të angazhohen për përmirësimin e mëtejshëm të këtij rregullimi dhe mënyre zbatimi të procesit në përditshmëri. </w:t>
      </w:r>
    </w:p>
    <w:p w14:paraId="02982679" w14:textId="1ADD328A" w:rsidR="004F7072" w:rsidRPr="00641640" w:rsidRDefault="009179B8" w:rsidP="003A395D">
      <w:pPr>
        <w:spacing w:line="276" w:lineRule="auto"/>
        <w:jc w:val="both"/>
        <w:rPr>
          <w:rStyle w:val="normaltextrun"/>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Nga ana tjetër, edhe numri i akteve ligjore të cilat kalojnë përmes procesit të konsultimit publik duhet të rritet. </w:t>
      </w:r>
      <w:r w:rsidR="004F7072" w:rsidRPr="00641640">
        <w:rPr>
          <w:rFonts w:ascii="Times New Roman" w:hAnsi="Times New Roman" w:cs="Times New Roman"/>
          <w:noProof/>
          <w:sz w:val="24"/>
          <w:szCs w:val="24"/>
          <w:lang w:val="sq-AL"/>
        </w:rPr>
        <w:t>Në përputhje me këtë objektiv, do t</w:t>
      </w:r>
      <w:r w:rsidR="00D64E4A" w:rsidRPr="00641640">
        <w:rPr>
          <w:rFonts w:ascii="Times New Roman" w:hAnsi="Times New Roman" w:cs="Times New Roman"/>
          <w:noProof/>
          <w:sz w:val="24"/>
          <w:szCs w:val="24"/>
          <w:lang w:val="sq-AL"/>
        </w:rPr>
        <w:t>’</w:t>
      </w:r>
      <w:r w:rsidR="004F7072" w:rsidRPr="00641640">
        <w:rPr>
          <w:rFonts w:ascii="Times New Roman" w:hAnsi="Times New Roman" w:cs="Times New Roman"/>
          <w:noProof/>
          <w:sz w:val="24"/>
          <w:szCs w:val="24"/>
          <w:lang w:val="sq-AL"/>
        </w:rPr>
        <w:t xml:space="preserve">i kushtohet vëmendje edhe cilësisë së procesit të konsultimit publik, duke e larguar sa më shumë nga një proces formalisht i strukturuar dhe duke e kthyer në një procedurë që nxit gjithëpërfshirjen. Për këtë qëllim, administrata publike do t’i dedikojë më shumë vëmendje reflektimit të rekomandimeve dhe sugjerimeve të bëra gjatë procesit të konsultimit publik dhe, në rastet kur ato nuk pasqyrohen në versionin përfundimtar të legjislacionit, do të bëjë të disponueshme për publikun edhe argumentimet përkatëse. </w:t>
      </w:r>
      <w:r w:rsidR="004F7072" w:rsidRPr="00641640">
        <w:rPr>
          <w:rStyle w:val="normaltextrun"/>
          <w:rFonts w:ascii="Times New Roman" w:hAnsi="Times New Roman" w:cs="Times New Roman"/>
          <w:noProof/>
          <w:sz w:val="24"/>
          <w:szCs w:val="24"/>
          <w:lang w:val="sq-AL"/>
        </w:rPr>
        <w:t>Për këtë, do të priori</w:t>
      </w:r>
      <w:r w:rsidR="00A7425A" w:rsidRPr="00641640">
        <w:rPr>
          <w:rStyle w:val="normaltextrun"/>
          <w:rFonts w:ascii="Times New Roman" w:hAnsi="Times New Roman" w:cs="Times New Roman"/>
          <w:noProof/>
          <w:sz w:val="24"/>
          <w:szCs w:val="24"/>
          <w:lang w:val="sq-AL"/>
        </w:rPr>
        <w:t>ti</w:t>
      </w:r>
      <w:r w:rsidR="004F7072" w:rsidRPr="00641640">
        <w:rPr>
          <w:rStyle w:val="normaltextrun"/>
          <w:rFonts w:ascii="Times New Roman" w:hAnsi="Times New Roman" w:cs="Times New Roman"/>
          <w:noProof/>
          <w:sz w:val="24"/>
          <w:szCs w:val="24"/>
          <w:lang w:val="sq-AL"/>
        </w:rPr>
        <w:t>zohet angazhimi i koordinuar dhe i vazhdueshëm i të gjitha strukturave të përfshira, në mënyrë që të sigurohet një proces konsultimi publik efektiv, si dhe legjislacion dhe politika që reflektojnë më mirë interesat e qytetarëve.</w:t>
      </w:r>
    </w:p>
    <w:p w14:paraId="4DB7FEA2" w14:textId="20295B5C" w:rsidR="004F7072" w:rsidRPr="00641640" w:rsidRDefault="004F7072" w:rsidP="003A395D">
      <w:pPr>
        <w:spacing w:line="276" w:lineRule="auto"/>
        <w:jc w:val="both"/>
        <w:rPr>
          <w:rStyle w:val="normaltextrun"/>
          <w:rFonts w:ascii="Times New Roman" w:hAnsi="Times New Roman" w:cs="Times New Roman"/>
          <w:noProof/>
          <w:sz w:val="24"/>
          <w:szCs w:val="24"/>
          <w:lang w:val="sq-AL"/>
        </w:rPr>
      </w:pPr>
      <w:r w:rsidRPr="00641640">
        <w:rPr>
          <w:rStyle w:val="normaltextrun"/>
          <w:rFonts w:ascii="Times New Roman" w:hAnsi="Times New Roman" w:cs="Times New Roman"/>
          <w:noProof/>
          <w:sz w:val="24"/>
          <w:szCs w:val="24"/>
          <w:lang w:val="sq-AL"/>
        </w:rPr>
        <w:t xml:space="preserve">Përmes zbatimit të masave të parashikuara në këtë </w:t>
      </w:r>
      <w:r w:rsidR="00A7425A" w:rsidRPr="00641640">
        <w:rPr>
          <w:rStyle w:val="normaltextrun"/>
          <w:rFonts w:ascii="Times New Roman" w:hAnsi="Times New Roman" w:cs="Times New Roman"/>
          <w:noProof/>
          <w:sz w:val="24"/>
          <w:szCs w:val="24"/>
          <w:lang w:val="sq-AL"/>
        </w:rPr>
        <w:t>s</w:t>
      </w:r>
      <w:r w:rsidRPr="00641640">
        <w:rPr>
          <w:rStyle w:val="normaltextrun"/>
          <w:rFonts w:ascii="Times New Roman" w:hAnsi="Times New Roman" w:cs="Times New Roman"/>
          <w:noProof/>
          <w:sz w:val="24"/>
          <w:szCs w:val="24"/>
          <w:lang w:val="sq-AL"/>
        </w:rPr>
        <w:t xml:space="preserve">trategji për harmonizimin ndërmjet procesit RIA dhe procesit të konsultimit publik, synohet të garantohet që palët e interesuara të jenë në gjendje të japin mendime të mirëinformuara mbi projektaktet e propozuara, më qëllim final rritjen </w:t>
      </w:r>
      <w:r w:rsidRPr="00641640">
        <w:rPr>
          <w:rStyle w:val="normaltextrun"/>
          <w:rFonts w:ascii="Times New Roman" w:hAnsi="Times New Roman" w:cs="Times New Roman"/>
          <w:noProof/>
          <w:sz w:val="24"/>
          <w:szCs w:val="24"/>
          <w:lang w:val="sq-AL"/>
        </w:rPr>
        <w:lastRenderedPageBreak/>
        <w:t>e pranueshmërisë së këtyre kontributeve nga institucionet publike hartuese të politikave, si dhe marrjen e vendimeve rregullatore më të mirëinformuara.</w:t>
      </w:r>
    </w:p>
    <w:p w14:paraId="4D0A231D" w14:textId="77777777" w:rsidR="00C25B0F" w:rsidRPr="00641640" w:rsidRDefault="00C25B0F" w:rsidP="003A395D">
      <w:pPr>
        <w:spacing w:after="0" w:line="276" w:lineRule="auto"/>
        <w:jc w:val="both"/>
        <w:rPr>
          <w:rStyle w:val="normaltextrun"/>
          <w:rFonts w:ascii="Times New Roman" w:hAnsi="Times New Roman" w:cs="Times New Roman"/>
          <w:noProof/>
          <w:sz w:val="24"/>
          <w:szCs w:val="24"/>
          <w:lang w:val="sq-AL"/>
        </w:rPr>
      </w:pPr>
    </w:p>
    <w:p w14:paraId="6060ED67" w14:textId="18F99C52" w:rsidR="00A4187D" w:rsidRPr="00641640" w:rsidRDefault="00A4187D" w:rsidP="00F863ED">
      <w:p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imes New Roman" w:hAnsi="Times New Roman" w:cs="Times New Roman"/>
          <w:b/>
          <w:bCs/>
          <w:noProof/>
          <w:sz w:val="24"/>
          <w:szCs w:val="24"/>
          <w:lang w:val="sq-AL"/>
        </w:rPr>
        <w:t>Rezultatet e pritshme nga zbatimi i masave që lidhen me Objektivin Specifik</w:t>
      </w:r>
      <w:r w:rsidR="000D2ADC" w:rsidRPr="00641640">
        <w:rPr>
          <w:rFonts w:ascii="Times New Roman" w:eastAsia="Times New Roman" w:hAnsi="Times New Roman" w:cs="Times New Roman"/>
          <w:b/>
          <w:bCs/>
          <w:noProof/>
          <w:sz w:val="24"/>
          <w:szCs w:val="24"/>
          <w:lang w:val="sq-AL"/>
        </w:rPr>
        <w:t xml:space="preserve"> 1.3</w:t>
      </w:r>
    </w:p>
    <w:p w14:paraId="61FFB781" w14:textId="2E6B72A2" w:rsidR="00DB1CFB" w:rsidRPr="00641640" w:rsidRDefault="00977BE6" w:rsidP="00F863ED">
      <w:pPr>
        <w:spacing w:line="276" w:lineRule="auto"/>
        <w:jc w:val="both"/>
        <w:rPr>
          <w:rFonts w:ascii="Times New Roman" w:eastAsia="Times New Roman" w:hAnsi="Times New Roman" w:cs="Times New Roman"/>
          <w:bCs/>
          <w:iCs/>
          <w:noProof/>
          <w:sz w:val="24"/>
          <w:szCs w:val="24"/>
          <w:lang w:val="sq-AL"/>
        </w:rPr>
      </w:pPr>
      <w:r w:rsidRPr="00641640">
        <w:rPr>
          <w:rFonts w:ascii="Times New Roman" w:hAnsi="Times New Roman" w:cs="Times New Roman"/>
          <w:bCs/>
          <w:iCs/>
          <w:noProof/>
          <w:sz w:val="24"/>
          <w:szCs w:val="24"/>
          <w:lang w:val="sq-AL"/>
        </w:rPr>
        <w:t>Objektivi Specifik 1.3</w:t>
      </w:r>
      <w:r w:rsidR="00F21002" w:rsidRPr="00641640">
        <w:rPr>
          <w:rFonts w:ascii="Times New Roman" w:hAnsi="Times New Roman" w:cs="Times New Roman"/>
          <w:bCs/>
          <w:iCs/>
          <w:noProof/>
          <w:sz w:val="24"/>
          <w:szCs w:val="24"/>
          <w:lang w:val="sq-AL"/>
        </w:rPr>
        <w:t xml:space="preserve"> synon t</w:t>
      </w:r>
      <w:r w:rsidR="00DA71DC" w:rsidRPr="00641640">
        <w:rPr>
          <w:rFonts w:ascii="Times New Roman" w:hAnsi="Times New Roman" w:cs="Times New Roman"/>
          <w:bCs/>
          <w:iCs/>
          <w:noProof/>
          <w:sz w:val="24"/>
          <w:szCs w:val="24"/>
          <w:lang w:val="sq-AL"/>
        </w:rPr>
        <w:t>ë</w:t>
      </w:r>
      <w:r w:rsidR="00F21002" w:rsidRPr="00641640">
        <w:rPr>
          <w:rFonts w:ascii="Times New Roman" w:hAnsi="Times New Roman" w:cs="Times New Roman"/>
          <w:bCs/>
          <w:iCs/>
          <w:noProof/>
          <w:sz w:val="24"/>
          <w:szCs w:val="24"/>
          <w:lang w:val="sq-AL"/>
        </w:rPr>
        <w:t xml:space="preserve"> adresoj</w:t>
      </w:r>
      <w:r w:rsidR="00DA71DC" w:rsidRPr="00641640">
        <w:rPr>
          <w:rFonts w:ascii="Times New Roman" w:hAnsi="Times New Roman" w:cs="Times New Roman"/>
          <w:bCs/>
          <w:iCs/>
          <w:noProof/>
          <w:sz w:val="24"/>
          <w:szCs w:val="24"/>
          <w:lang w:val="sq-AL"/>
        </w:rPr>
        <w:t>ë</w:t>
      </w:r>
      <w:r w:rsidR="00F21002" w:rsidRPr="00641640">
        <w:rPr>
          <w:rFonts w:ascii="Times New Roman" w:hAnsi="Times New Roman" w:cs="Times New Roman"/>
          <w:bCs/>
          <w:iCs/>
          <w:noProof/>
          <w:sz w:val="24"/>
          <w:szCs w:val="24"/>
          <w:lang w:val="sq-AL"/>
        </w:rPr>
        <w:t xml:space="preserve"> </w:t>
      </w:r>
      <w:r w:rsidR="000E6691" w:rsidRPr="00641640">
        <w:rPr>
          <w:rFonts w:ascii="Times New Roman" w:hAnsi="Times New Roman" w:cs="Times New Roman"/>
          <w:bCs/>
          <w:iCs/>
          <w:noProof/>
          <w:sz w:val="24"/>
          <w:szCs w:val="24"/>
          <w:lang w:val="sq-AL"/>
        </w:rPr>
        <w:t>t</w:t>
      </w:r>
      <w:r w:rsidR="00DA71DC" w:rsidRPr="00641640">
        <w:rPr>
          <w:rFonts w:ascii="Times New Roman" w:hAnsi="Times New Roman" w:cs="Times New Roman"/>
          <w:bCs/>
          <w:iCs/>
          <w:noProof/>
          <w:sz w:val="24"/>
          <w:szCs w:val="24"/>
          <w:lang w:val="sq-AL"/>
        </w:rPr>
        <w:t>ë</w:t>
      </w:r>
      <w:r w:rsidR="000E6691" w:rsidRPr="00641640">
        <w:rPr>
          <w:rFonts w:ascii="Times New Roman" w:hAnsi="Times New Roman" w:cs="Times New Roman"/>
          <w:bCs/>
          <w:iCs/>
          <w:noProof/>
          <w:sz w:val="24"/>
          <w:szCs w:val="24"/>
          <w:lang w:val="sq-AL"/>
        </w:rPr>
        <w:t xml:space="preserve"> gjitha rekomandimet dhe angazhimet e </w:t>
      </w:r>
      <w:r w:rsidR="00027706" w:rsidRPr="00641640">
        <w:rPr>
          <w:rFonts w:ascii="Times New Roman" w:hAnsi="Times New Roman" w:cs="Times New Roman"/>
          <w:bCs/>
          <w:iCs/>
          <w:noProof/>
          <w:sz w:val="24"/>
          <w:szCs w:val="24"/>
          <w:lang w:val="sq-AL"/>
        </w:rPr>
        <w:t>nd</w:t>
      </w:r>
      <w:r w:rsidR="00DA71DC" w:rsidRPr="00641640">
        <w:rPr>
          <w:rFonts w:ascii="Times New Roman" w:hAnsi="Times New Roman" w:cs="Times New Roman"/>
          <w:bCs/>
          <w:iCs/>
          <w:noProof/>
          <w:sz w:val="24"/>
          <w:szCs w:val="24"/>
          <w:lang w:val="sq-AL"/>
        </w:rPr>
        <w:t>ë</w:t>
      </w:r>
      <w:r w:rsidR="00027706" w:rsidRPr="00641640">
        <w:rPr>
          <w:rFonts w:ascii="Times New Roman" w:hAnsi="Times New Roman" w:cs="Times New Roman"/>
          <w:bCs/>
          <w:iCs/>
          <w:noProof/>
          <w:sz w:val="24"/>
          <w:szCs w:val="24"/>
          <w:lang w:val="sq-AL"/>
        </w:rPr>
        <w:t>rma</w:t>
      </w:r>
      <w:r w:rsidR="00D733B3" w:rsidRPr="00641640">
        <w:rPr>
          <w:rFonts w:ascii="Times New Roman" w:hAnsi="Times New Roman" w:cs="Times New Roman"/>
          <w:bCs/>
          <w:iCs/>
          <w:noProof/>
          <w:sz w:val="24"/>
          <w:szCs w:val="24"/>
          <w:lang w:val="sq-AL"/>
        </w:rPr>
        <w:t>r</w:t>
      </w:r>
      <w:r w:rsidR="00027706" w:rsidRPr="00641640">
        <w:rPr>
          <w:rFonts w:ascii="Times New Roman" w:hAnsi="Times New Roman" w:cs="Times New Roman"/>
          <w:bCs/>
          <w:iCs/>
          <w:noProof/>
          <w:sz w:val="24"/>
          <w:szCs w:val="24"/>
          <w:lang w:val="sq-AL"/>
        </w:rPr>
        <w:t xml:space="preserve">ra </w:t>
      </w:r>
      <w:r w:rsidR="004B6906" w:rsidRPr="00641640">
        <w:rPr>
          <w:rFonts w:ascii="Times New Roman" w:hAnsi="Times New Roman" w:cs="Times New Roman"/>
          <w:bCs/>
          <w:iCs/>
          <w:noProof/>
          <w:sz w:val="24"/>
          <w:szCs w:val="24"/>
          <w:lang w:val="sq-AL"/>
        </w:rPr>
        <w:t>p</w:t>
      </w:r>
      <w:r w:rsidR="00DA71DC" w:rsidRPr="00641640">
        <w:rPr>
          <w:rFonts w:ascii="Times New Roman" w:hAnsi="Times New Roman" w:cs="Times New Roman"/>
          <w:bCs/>
          <w:iCs/>
          <w:noProof/>
          <w:sz w:val="24"/>
          <w:szCs w:val="24"/>
          <w:lang w:val="sq-AL"/>
        </w:rPr>
        <w:t>ë</w:t>
      </w:r>
      <w:r w:rsidR="004B6906" w:rsidRPr="00641640">
        <w:rPr>
          <w:rFonts w:ascii="Times New Roman" w:hAnsi="Times New Roman" w:cs="Times New Roman"/>
          <w:bCs/>
          <w:iCs/>
          <w:noProof/>
          <w:sz w:val="24"/>
          <w:szCs w:val="24"/>
          <w:lang w:val="sq-AL"/>
        </w:rPr>
        <w:t>r</w:t>
      </w:r>
      <w:r w:rsidR="00027706" w:rsidRPr="00641640">
        <w:rPr>
          <w:rFonts w:ascii="Times New Roman" w:hAnsi="Times New Roman" w:cs="Times New Roman"/>
          <w:bCs/>
          <w:iCs/>
          <w:noProof/>
          <w:sz w:val="24"/>
          <w:szCs w:val="24"/>
          <w:lang w:val="sq-AL"/>
        </w:rPr>
        <w:t xml:space="preserve"> </w:t>
      </w:r>
      <w:r w:rsidR="004B6906" w:rsidRPr="00641640">
        <w:rPr>
          <w:rFonts w:ascii="Times New Roman" w:hAnsi="Times New Roman" w:cs="Times New Roman"/>
          <w:bCs/>
          <w:iCs/>
          <w:noProof/>
          <w:sz w:val="24"/>
          <w:szCs w:val="24"/>
          <w:lang w:val="sq-AL"/>
        </w:rPr>
        <w:t>l</w:t>
      </w:r>
      <w:r w:rsidR="00DB1CFB" w:rsidRPr="00641640">
        <w:rPr>
          <w:rFonts w:ascii="Times New Roman" w:hAnsi="Times New Roman" w:cs="Times New Roman"/>
          <w:bCs/>
          <w:iCs/>
          <w:noProof/>
          <w:sz w:val="24"/>
          <w:szCs w:val="24"/>
          <w:lang w:val="sq-AL"/>
        </w:rPr>
        <w:t>igjbërje dhe politi</w:t>
      </w:r>
      <w:r w:rsidR="00E71126" w:rsidRPr="00641640">
        <w:rPr>
          <w:rFonts w:ascii="Times New Roman" w:hAnsi="Times New Roman" w:cs="Times New Roman"/>
          <w:bCs/>
          <w:iCs/>
          <w:noProof/>
          <w:sz w:val="24"/>
          <w:szCs w:val="24"/>
          <w:lang w:val="sq-AL"/>
        </w:rPr>
        <w:t>kë</w:t>
      </w:r>
      <w:r w:rsidR="00DB1CFB" w:rsidRPr="00641640">
        <w:rPr>
          <w:rFonts w:ascii="Times New Roman" w:hAnsi="Times New Roman" w:cs="Times New Roman"/>
          <w:bCs/>
          <w:iCs/>
          <w:noProof/>
          <w:sz w:val="24"/>
          <w:szCs w:val="24"/>
          <w:lang w:val="sq-AL"/>
        </w:rPr>
        <w:t xml:space="preserve">bërje gjithëpërfshirëse dhe transparente, bazuar në të dhëna dhe që garanton përputhje me </w:t>
      </w:r>
      <w:r w:rsidR="00DB1CFB" w:rsidRPr="00641640">
        <w:rPr>
          <w:rFonts w:ascii="Times New Roman" w:hAnsi="Times New Roman" w:cs="Times New Roman"/>
          <w:bCs/>
          <w:i/>
          <w:noProof/>
          <w:sz w:val="24"/>
          <w:szCs w:val="24"/>
          <w:lang w:val="sq-AL"/>
        </w:rPr>
        <w:t>acquis</w:t>
      </w:r>
      <w:r w:rsidR="00DB1CFB" w:rsidRPr="00641640">
        <w:rPr>
          <w:rFonts w:ascii="Times New Roman" w:hAnsi="Times New Roman" w:cs="Times New Roman"/>
          <w:bCs/>
          <w:iCs/>
          <w:noProof/>
          <w:sz w:val="24"/>
          <w:szCs w:val="24"/>
          <w:lang w:val="sq-AL"/>
        </w:rPr>
        <w:t>-në dhe standardet evropiane</w:t>
      </w:r>
      <w:r w:rsidR="004B6906" w:rsidRPr="00641640">
        <w:rPr>
          <w:rFonts w:ascii="Times New Roman" w:hAnsi="Times New Roman" w:cs="Times New Roman"/>
          <w:bCs/>
          <w:iCs/>
          <w:noProof/>
          <w:sz w:val="24"/>
          <w:szCs w:val="24"/>
          <w:lang w:val="sq-AL"/>
        </w:rPr>
        <w:t>.</w:t>
      </w:r>
      <w:r w:rsidR="00296FF3" w:rsidRPr="00641640">
        <w:rPr>
          <w:rFonts w:ascii="Times New Roman" w:hAnsi="Times New Roman" w:cs="Times New Roman"/>
          <w:bCs/>
          <w:iCs/>
          <w:noProof/>
          <w:sz w:val="24"/>
          <w:szCs w:val="24"/>
          <w:lang w:val="sq-AL"/>
        </w:rPr>
        <w:t xml:space="preserve"> N</w:t>
      </w:r>
      <w:r w:rsidR="00DA71DC" w:rsidRPr="00641640">
        <w:rPr>
          <w:rFonts w:ascii="Times New Roman" w:hAnsi="Times New Roman" w:cs="Times New Roman"/>
          <w:bCs/>
          <w:iCs/>
          <w:noProof/>
          <w:sz w:val="24"/>
          <w:szCs w:val="24"/>
          <w:lang w:val="sq-AL"/>
        </w:rPr>
        <w:t>ë</w:t>
      </w:r>
      <w:r w:rsidR="00296FF3" w:rsidRPr="00641640">
        <w:rPr>
          <w:rFonts w:ascii="Times New Roman" w:hAnsi="Times New Roman" w:cs="Times New Roman"/>
          <w:bCs/>
          <w:iCs/>
          <w:noProof/>
          <w:sz w:val="24"/>
          <w:szCs w:val="24"/>
          <w:lang w:val="sq-AL"/>
        </w:rPr>
        <w:t xml:space="preserve"> k</w:t>
      </w:r>
      <w:r w:rsidR="00DA71DC" w:rsidRPr="00641640">
        <w:rPr>
          <w:rFonts w:ascii="Times New Roman" w:hAnsi="Times New Roman" w:cs="Times New Roman"/>
          <w:bCs/>
          <w:iCs/>
          <w:noProof/>
          <w:sz w:val="24"/>
          <w:szCs w:val="24"/>
          <w:lang w:val="sq-AL"/>
        </w:rPr>
        <w:t>ë</w:t>
      </w:r>
      <w:r w:rsidR="00296FF3" w:rsidRPr="00641640">
        <w:rPr>
          <w:rFonts w:ascii="Times New Roman" w:hAnsi="Times New Roman" w:cs="Times New Roman"/>
          <w:bCs/>
          <w:iCs/>
          <w:noProof/>
          <w:sz w:val="24"/>
          <w:szCs w:val="24"/>
          <w:lang w:val="sq-AL"/>
        </w:rPr>
        <w:t>t</w:t>
      </w:r>
      <w:r w:rsidR="00DA71DC" w:rsidRPr="00641640">
        <w:rPr>
          <w:rFonts w:ascii="Times New Roman" w:hAnsi="Times New Roman" w:cs="Times New Roman"/>
          <w:bCs/>
          <w:iCs/>
          <w:noProof/>
          <w:sz w:val="24"/>
          <w:szCs w:val="24"/>
          <w:lang w:val="sq-AL"/>
        </w:rPr>
        <w:t>ë</w:t>
      </w:r>
      <w:r w:rsidR="00296FF3" w:rsidRPr="00641640">
        <w:rPr>
          <w:rFonts w:ascii="Times New Roman" w:hAnsi="Times New Roman" w:cs="Times New Roman"/>
          <w:bCs/>
          <w:iCs/>
          <w:noProof/>
          <w:sz w:val="24"/>
          <w:szCs w:val="24"/>
          <w:lang w:val="sq-AL"/>
        </w:rPr>
        <w:t xml:space="preserve"> kuad</w:t>
      </w:r>
      <w:r w:rsidR="00DA71DC" w:rsidRPr="00641640">
        <w:rPr>
          <w:rFonts w:ascii="Times New Roman" w:hAnsi="Times New Roman" w:cs="Times New Roman"/>
          <w:bCs/>
          <w:iCs/>
          <w:noProof/>
          <w:sz w:val="24"/>
          <w:szCs w:val="24"/>
          <w:lang w:val="sq-AL"/>
        </w:rPr>
        <w:t>ë</w:t>
      </w:r>
      <w:r w:rsidR="00296FF3" w:rsidRPr="00641640">
        <w:rPr>
          <w:rFonts w:ascii="Times New Roman" w:hAnsi="Times New Roman" w:cs="Times New Roman"/>
          <w:bCs/>
          <w:iCs/>
          <w:noProof/>
          <w:sz w:val="24"/>
          <w:szCs w:val="24"/>
          <w:lang w:val="sq-AL"/>
        </w:rPr>
        <w:t xml:space="preserve">r </w:t>
      </w:r>
      <w:r w:rsidR="00DA71DC" w:rsidRPr="00641640">
        <w:rPr>
          <w:rFonts w:ascii="Times New Roman" w:hAnsi="Times New Roman" w:cs="Times New Roman"/>
          <w:bCs/>
          <w:iCs/>
          <w:noProof/>
          <w:sz w:val="24"/>
          <w:szCs w:val="24"/>
          <w:lang w:val="sq-AL"/>
        </w:rPr>
        <w:t>për këtë objektiv priten rezultatet si më poshtë:</w:t>
      </w:r>
    </w:p>
    <w:p w14:paraId="4B4E0466" w14:textId="086BA929" w:rsidR="00C87331" w:rsidRPr="00641640" w:rsidRDefault="00A4187D" w:rsidP="00F863ED">
      <w:pPr>
        <w:spacing w:after="0" w:line="276" w:lineRule="auto"/>
        <w:jc w:val="both"/>
        <w:rPr>
          <w:rFonts w:ascii="Times New Roman" w:hAnsi="Times New Roman" w:cs="Times New Roman"/>
          <w:bCs/>
          <w:noProof/>
          <w:sz w:val="24"/>
          <w:szCs w:val="24"/>
          <w:lang w:val="sq-AL"/>
        </w:rPr>
      </w:pPr>
      <w:r w:rsidRPr="00641640">
        <w:rPr>
          <w:rFonts w:ascii="Times New Roman" w:eastAsia="Times New Roman" w:hAnsi="Times New Roman" w:cs="Times New Roman"/>
          <w:b/>
          <w:bCs/>
          <w:noProof/>
          <w:sz w:val="24"/>
          <w:szCs w:val="24"/>
          <w:lang w:val="sq-AL"/>
        </w:rPr>
        <w:t>Rezultati 1:</w:t>
      </w:r>
      <w:r w:rsidRPr="00641640">
        <w:rPr>
          <w:rFonts w:ascii="Times New Roman" w:eastAsia="Times New Roman" w:hAnsi="Times New Roman" w:cs="Times New Roman"/>
          <w:noProof/>
          <w:sz w:val="24"/>
          <w:szCs w:val="24"/>
          <w:lang w:val="sq-AL"/>
        </w:rPr>
        <w:t xml:space="preserve"> </w:t>
      </w:r>
      <w:r w:rsidR="008B3C43" w:rsidRPr="00641640">
        <w:rPr>
          <w:rFonts w:ascii="Times New Roman" w:hAnsi="Times New Roman" w:cs="Times New Roman"/>
          <w:bCs/>
          <w:noProof/>
          <w:sz w:val="24"/>
          <w:szCs w:val="24"/>
          <w:lang w:val="sq-AL"/>
        </w:rPr>
        <w:t xml:space="preserve">Harmonizimi i  programimit ligjor dhe procesit të Vlerësimit të Ndikimit Rregullator (VNR/RIA), ku </w:t>
      </w:r>
      <w:r w:rsidR="00C87331" w:rsidRPr="00641640">
        <w:rPr>
          <w:rFonts w:ascii="Times New Roman" w:hAnsi="Times New Roman" w:cs="Times New Roman"/>
          <w:bCs/>
          <w:noProof/>
          <w:sz w:val="24"/>
          <w:szCs w:val="24"/>
          <w:lang w:val="sq-AL"/>
        </w:rPr>
        <w:t>priten k</w:t>
      </w:r>
      <w:r w:rsidR="00DA71DC" w:rsidRPr="00641640">
        <w:rPr>
          <w:rFonts w:ascii="Times New Roman" w:hAnsi="Times New Roman" w:cs="Times New Roman"/>
          <w:bCs/>
          <w:noProof/>
          <w:sz w:val="24"/>
          <w:szCs w:val="24"/>
          <w:lang w:val="sq-AL"/>
        </w:rPr>
        <w:t>ë</w:t>
      </w:r>
      <w:r w:rsidR="00C87331" w:rsidRPr="00641640">
        <w:rPr>
          <w:rFonts w:ascii="Times New Roman" w:hAnsi="Times New Roman" w:cs="Times New Roman"/>
          <w:bCs/>
          <w:noProof/>
          <w:sz w:val="24"/>
          <w:szCs w:val="24"/>
          <w:lang w:val="sq-AL"/>
        </w:rPr>
        <w:t>to rezultate:</w:t>
      </w:r>
    </w:p>
    <w:p w14:paraId="0E540AE5" w14:textId="00402AE7" w:rsidR="00A4187D" w:rsidRPr="00641640" w:rsidRDefault="00CD4085" w:rsidP="00F863ED">
      <w:pPr>
        <w:pStyle w:val="ListParagraph"/>
        <w:numPr>
          <w:ilvl w:val="0"/>
          <w:numId w:val="5"/>
        </w:numPr>
        <w:spacing w:line="276" w:lineRule="auto"/>
        <w:jc w:val="both"/>
        <w:rPr>
          <w:rFonts w:ascii="Times New Roman" w:eastAsiaTheme="minorHAnsi" w:hAnsi="Times New Roman" w:cs="Times New Roman"/>
          <w:noProof/>
          <w:sz w:val="24"/>
          <w:szCs w:val="24"/>
          <w:lang w:val="sq-AL"/>
        </w:rPr>
      </w:pPr>
      <w:r w:rsidRPr="00641640">
        <w:rPr>
          <w:rFonts w:ascii="Times New Roman" w:eastAsiaTheme="minorHAnsi" w:hAnsi="Times New Roman" w:cs="Times New Roman"/>
          <w:noProof/>
          <w:sz w:val="24"/>
          <w:szCs w:val="24"/>
          <w:lang w:val="sq-AL"/>
        </w:rPr>
        <w:t>Kuadri nënligjor i plotësuar me udhëzime të qarta për të garantuar shoqërimin e çdo projektakti të propozuar me Raportin RIA paraprakisht përfshirjes në PPAP</w:t>
      </w:r>
      <w:r w:rsidR="00F172BA" w:rsidRPr="00641640">
        <w:rPr>
          <w:rFonts w:ascii="Times New Roman" w:eastAsiaTheme="minorHAnsi" w:hAnsi="Times New Roman" w:cs="Times New Roman"/>
          <w:noProof/>
          <w:sz w:val="24"/>
          <w:szCs w:val="24"/>
          <w:lang w:val="sq-AL"/>
        </w:rPr>
        <w:t>;</w:t>
      </w:r>
    </w:p>
    <w:p w14:paraId="576ED9A5" w14:textId="38C8759E" w:rsidR="006D395F" w:rsidRPr="00641640" w:rsidRDefault="006D395F" w:rsidP="00F863ED">
      <w:pPr>
        <w:pStyle w:val="ListParagraph"/>
        <w:numPr>
          <w:ilvl w:val="0"/>
          <w:numId w:val="5"/>
        </w:numPr>
        <w:spacing w:line="276" w:lineRule="auto"/>
        <w:jc w:val="both"/>
        <w:rPr>
          <w:rFonts w:ascii="Times New Roman" w:eastAsiaTheme="minorHAnsi" w:hAnsi="Times New Roman" w:cs="Times New Roman"/>
          <w:noProof/>
          <w:sz w:val="24"/>
          <w:szCs w:val="24"/>
          <w:lang w:val="sq-AL"/>
        </w:rPr>
      </w:pPr>
      <w:r w:rsidRPr="00641640">
        <w:rPr>
          <w:rFonts w:ascii="Times New Roman" w:eastAsiaTheme="minorHAnsi" w:hAnsi="Times New Roman" w:cs="Times New Roman"/>
          <w:noProof/>
          <w:sz w:val="24"/>
          <w:szCs w:val="24"/>
          <w:lang w:val="sq-AL"/>
        </w:rPr>
        <w:t>Shoq</w:t>
      </w:r>
      <w:r w:rsidR="002E3D0C" w:rsidRPr="00641640">
        <w:rPr>
          <w:rFonts w:ascii="Times New Roman" w:eastAsiaTheme="minorHAnsi" w:hAnsi="Times New Roman" w:cs="Times New Roman"/>
          <w:noProof/>
          <w:sz w:val="24"/>
          <w:szCs w:val="24"/>
          <w:lang w:val="sq-AL"/>
        </w:rPr>
        <w:t>ë</w:t>
      </w:r>
      <w:r w:rsidRPr="00641640">
        <w:rPr>
          <w:rFonts w:ascii="Times New Roman" w:eastAsiaTheme="minorHAnsi" w:hAnsi="Times New Roman" w:cs="Times New Roman"/>
          <w:noProof/>
          <w:sz w:val="24"/>
          <w:szCs w:val="24"/>
          <w:lang w:val="sq-AL"/>
        </w:rPr>
        <w:t xml:space="preserve">rimi me </w:t>
      </w:r>
      <w:r w:rsidR="00476D1E" w:rsidRPr="00641640">
        <w:rPr>
          <w:rFonts w:ascii="Times New Roman" w:eastAsiaTheme="minorHAnsi" w:hAnsi="Times New Roman" w:cs="Times New Roman"/>
          <w:noProof/>
          <w:sz w:val="24"/>
          <w:szCs w:val="24"/>
          <w:lang w:val="sq-AL"/>
        </w:rPr>
        <w:t>r</w:t>
      </w:r>
      <w:r w:rsidRPr="00641640">
        <w:rPr>
          <w:rFonts w:ascii="Times New Roman" w:eastAsiaTheme="minorHAnsi" w:hAnsi="Times New Roman" w:cs="Times New Roman"/>
          <w:noProof/>
          <w:sz w:val="24"/>
          <w:szCs w:val="24"/>
          <w:lang w:val="sq-AL"/>
        </w:rPr>
        <w:t xml:space="preserve">aportin e thjeshtuar RIA </w:t>
      </w:r>
      <w:r w:rsidR="00476D1E" w:rsidRPr="00641640">
        <w:rPr>
          <w:rFonts w:ascii="Times New Roman" w:eastAsiaTheme="minorHAnsi" w:hAnsi="Times New Roman" w:cs="Times New Roman"/>
          <w:noProof/>
          <w:sz w:val="24"/>
          <w:szCs w:val="24"/>
          <w:lang w:val="sq-AL"/>
        </w:rPr>
        <w:t xml:space="preserve">i të gjitha projektligjeve që i plotësojnë kriteret dhe që janë të planifikuara në PPAP, </w:t>
      </w:r>
      <w:r w:rsidRPr="00641640">
        <w:rPr>
          <w:rFonts w:ascii="Times New Roman" w:eastAsiaTheme="minorHAnsi" w:hAnsi="Times New Roman" w:cs="Times New Roman"/>
          <w:noProof/>
          <w:sz w:val="24"/>
          <w:szCs w:val="24"/>
          <w:lang w:val="sq-AL"/>
        </w:rPr>
        <w:t>brenda vitit 2025</w:t>
      </w:r>
      <w:r w:rsidR="00476D1E" w:rsidRPr="00641640">
        <w:rPr>
          <w:rFonts w:ascii="Times New Roman" w:eastAsiaTheme="minorHAnsi" w:hAnsi="Times New Roman" w:cs="Times New Roman"/>
          <w:noProof/>
          <w:sz w:val="24"/>
          <w:szCs w:val="24"/>
          <w:lang w:val="sq-AL"/>
        </w:rPr>
        <w:t>;</w:t>
      </w:r>
    </w:p>
    <w:p w14:paraId="55A2A577" w14:textId="2921BE93" w:rsidR="00396368" w:rsidRPr="00641640" w:rsidRDefault="00E57AF1" w:rsidP="00F863ED">
      <w:pPr>
        <w:pStyle w:val="ListParagraph"/>
        <w:numPr>
          <w:ilvl w:val="0"/>
          <w:numId w:val="5"/>
        </w:numPr>
        <w:spacing w:line="276" w:lineRule="auto"/>
        <w:jc w:val="both"/>
        <w:rPr>
          <w:rFonts w:ascii="Times New Roman" w:eastAsiaTheme="minorHAnsi" w:hAnsi="Times New Roman" w:cs="Times New Roman"/>
          <w:noProof/>
          <w:sz w:val="24"/>
          <w:szCs w:val="24"/>
          <w:lang w:val="sq-AL"/>
        </w:rPr>
      </w:pPr>
      <w:r w:rsidRPr="00641640">
        <w:rPr>
          <w:rFonts w:ascii="Times New Roman" w:eastAsiaTheme="minorHAnsi" w:hAnsi="Times New Roman" w:cs="Times New Roman"/>
          <w:noProof/>
          <w:sz w:val="24"/>
          <w:szCs w:val="24"/>
          <w:lang w:val="sq-AL"/>
        </w:rPr>
        <w:t>Ngritja e</w:t>
      </w:r>
      <w:r w:rsidR="00396368" w:rsidRPr="00641640">
        <w:rPr>
          <w:rFonts w:ascii="Times New Roman" w:eastAsiaTheme="minorHAnsi" w:hAnsi="Times New Roman" w:cs="Times New Roman"/>
          <w:noProof/>
          <w:sz w:val="24"/>
          <w:szCs w:val="24"/>
          <w:lang w:val="sq-AL"/>
        </w:rPr>
        <w:t xml:space="preserve"> kapaciteteve administrative për </w:t>
      </w:r>
      <w:r w:rsidRPr="00641640">
        <w:rPr>
          <w:rFonts w:ascii="Times New Roman" w:eastAsiaTheme="minorHAnsi" w:hAnsi="Times New Roman" w:cs="Times New Roman"/>
          <w:noProof/>
          <w:sz w:val="24"/>
          <w:szCs w:val="24"/>
          <w:lang w:val="sq-AL"/>
        </w:rPr>
        <w:t>anëtarët e Rrjetit RIA dhe nëpunësit e ministrive të linjës,</w:t>
      </w:r>
      <w:r w:rsidR="002B0392" w:rsidRPr="00641640">
        <w:rPr>
          <w:rFonts w:ascii="Times New Roman" w:eastAsiaTheme="minorHAnsi" w:hAnsi="Times New Roman" w:cs="Times New Roman"/>
          <w:noProof/>
          <w:sz w:val="24"/>
          <w:szCs w:val="24"/>
          <w:lang w:val="sq-AL"/>
        </w:rPr>
        <w:t xml:space="preserve"> </w:t>
      </w:r>
      <w:r w:rsidRPr="00641640">
        <w:rPr>
          <w:rFonts w:ascii="Times New Roman" w:eastAsiaTheme="minorHAnsi" w:hAnsi="Times New Roman" w:cs="Times New Roman"/>
          <w:noProof/>
          <w:sz w:val="24"/>
          <w:szCs w:val="24"/>
          <w:lang w:val="sq-AL"/>
        </w:rPr>
        <w:t>për hartimin e RIA</w:t>
      </w:r>
      <w:r w:rsidR="002B0392" w:rsidRPr="00641640">
        <w:rPr>
          <w:rFonts w:ascii="Times New Roman" w:eastAsiaTheme="minorHAnsi" w:hAnsi="Times New Roman" w:cs="Times New Roman"/>
          <w:noProof/>
          <w:sz w:val="24"/>
          <w:szCs w:val="24"/>
          <w:lang w:val="sq-AL"/>
        </w:rPr>
        <w:t>-</w:t>
      </w:r>
      <w:r w:rsidRPr="00641640">
        <w:rPr>
          <w:rFonts w:ascii="Times New Roman" w:eastAsiaTheme="minorHAnsi" w:hAnsi="Times New Roman" w:cs="Times New Roman"/>
          <w:noProof/>
          <w:sz w:val="24"/>
          <w:szCs w:val="24"/>
          <w:lang w:val="sq-AL"/>
        </w:rPr>
        <w:t>s së thjeshtuar dhe përmirësimin e procesit të harmonizimit midis RIA dhe PPAP</w:t>
      </w:r>
      <w:r w:rsidR="002B0392" w:rsidRPr="00641640">
        <w:rPr>
          <w:rFonts w:ascii="Times New Roman" w:eastAsiaTheme="minorHAnsi" w:hAnsi="Times New Roman" w:cs="Times New Roman"/>
          <w:noProof/>
          <w:sz w:val="24"/>
          <w:szCs w:val="24"/>
          <w:lang w:val="sq-AL"/>
        </w:rPr>
        <w:t>.</w:t>
      </w:r>
    </w:p>
    <w:p w14:paraId="4932B235" w14:textId="7D550BC1" w:rsidR="00A4187D" w:rsidRPr="00641640" w:rsidRDefault="00A4187D" w:rsidP="00F863ED">
      <w:pPr>
        <w:spacing w:line="276" w:lineRule="auto"/>
        <w:jc w:val="both"/>
        <w:rPr>
          <w:rFonts w:ascii="Times New Roman" w:eastAsiaTheme="minorHAnsi" w:hAnsi="Times New Roman" w:cs="Times New Roman"/>
          <w:bCs/>
          <w:noProof/>
          <w:sz w:val="24"/>
          <w:szCs w:val="24"/>
          <w:lang w:val="sq-AL"/>
        </w:rPr>
      </w:pPr>
      <w:r w:rsidRPr="00641640">
        <w:rPr>
          <w:rFonts w:ascii="Times New Roman" w:eastAsia="Times New Roman" w:hAnsi="Times New Roman" w:cs="Times New Roman"/>
          <w:b/>
          <w:bCs/>
          <w:noProof/>
          <w:sz w:val="24"/>
          <w:szCs w:val="24"/>
          <w:lang w:val="sq-AL"/>
        </w:rPr>
        <w:t>Rezultati 2:</w:t>
      </w:r>
      <w:r w:rsidRPr="00641640">
        <w:rPr>
          <w:rFonts w:ascii="Times New Roman" w:eastAsia="Times New Roman" w:hAnsi="Times New Roman" w:cs="Times New Roman"/>
          <w:noProof/>
          <w:sz w:val="24"/>
          <w:szCs w:val="24"/>
          <w:lang w:val="sq-AL"/>
        </w:rPr>
        <w:t xml:space="preserve"> </w:t>
      </w:r>
      <w:r w:rsidR="00940F8F" w:rsidRPr="00641640">
        <w:rPr>
          <w:rFonts w:ascii="Times New Roman" w:eastAsiaTheme="minorHAnsi" w:hAnsi="Times New Roman" w:cs="Times New Roman"/>
          <w:bCs/>
          <w:noProof/>
          <w:sz w:val="24"/>
          <w:szCs w:val="24"/>
          <w:lang w:val="sq-AL"/>
        </w:rPr>
        <w:t>P</w:t>
      </w:r>
      <w:r w:rsidR="00DA71DC" w:rsidRPr="00641640">
        <w:rPr>
          <w:rFonts w:ascii="Times New Roman" w:eastAsiaTheme="minorHAnsi" w:hAnsi="Times New Roman" w:cs="Times New Roman"/>
          <w:bCs/>
          <w:noProof/>
          <w:sz w:val="24"/>
          <w:szCs w:val="24"/>
          <w:lang w:val="sq-AL"/>
        </w:rPr>
        <w:t>ë</w:t>
      </w:r>
      <w:r w:rsidR="00940F8F" w:rsidRPr="00641640">
        <w:rPr>
          <w:rFonts w:ascii="Times New Roman" w:eastAsiaTheme="minorHAnsi" w:hAnsi="Times New Roman" w:cs="Times New Roman"/>
          <w:bCs/>
          <w:noProof/>
          <w:sz w:val="24"/>
          <w:szCs w:val="24"/>
          <w:lang w:val="sq-AL"/>
        </w:rPr>
        <w:t>rmir</w:t>
      </w:r>
      <w:r w:rsidR="00DA71DC" w:rsidRPr="00641640">
        <w:rPr>
          <w:rFonts w:ascii="Times New Roman" w:eastAsiaTheme="minorHAnsi" w:hAnsi="Times New Roman" w:cs="Times New Roman"/>
          <w:bCs/>
          <w:noProof/>
          <w:sz w:val="24"/>
          <w:szCs w:val="24"/>
          <w:lang w:val="sq-AL"/>
        </w:rPr>
        <w:t>ë</w:t>
      </w:r>
      <w:r w:rsidR="00940F8F" w:rsidRPr="00641640">
        <w:rPr>
          <w:rFonts w:ascii="Times New Roman" w:eastAsiaTheme="minorHAnsi" w:hAnsi="Times New Roman" w:cs="Times New Roman"/>
          <w:bCs/>
          <w:noProof/>
          <w:sz w:val="24"/>
          <w:szCs w:val="24"/>
          <w:lang w:val="sq-AL"/>
        </w:rPr>
        <w:t>sim i koordi</w:t>
      </w:r>
      <w:r w:rsidR="001E5107" w:rsidRPr="00641640">
        <w:rPr>
          <w:rFonts w:ascii="Times New Roman" w:eastAsiaTheme="minorHAnsi" w:hAnsi="Times New Roman" w:cs="Times New Roman"/>
          <w:bCs/>
          <w:noProof/>
          <w:sz w:val="24"/>
          <w:szCs w:val="24"/>
          <w:lang w:val="sq-AL"/>
        </w:rPr>
        <w:t>nimit institucional me q</w:t>
      </w:r>
      <w:r w:rsidR="00DA71DC" w:rsidRPr="00641640">
        <w:rPr>
          <w:rFonts w:ascii="Times New Roman" w:eastAsiaTheme="minorHAnsi" w:hAnsi="Times New Roman" w:cs="Times New Roman"/>
          <w:bCs/>
          <w:noProof/>
          <w:sz w:val="24"/>
          <w:szCs w:val="24"/>
          <w:lang w:val="sq-AL"/>
        </w:rPr>
        <w:t>ë</w:t>
      </w:r>
      <w:r w:rsidR="001E5107" w:rsidRPr="00641640">
        <w:rPr>
          <w:rFonts w:ascii="Times New Roman" w:eastAsiaTheme="minorHAnsi" w:hAnsi="Times New Roman" w:cs="Times New Roman"/>
          <w:bCs/>
          <w:noProof/>
          <w:sz w:val="24"/>
          <w:szCs w:val="24"/>
          <w:lang w:val="sq-AL"/>
        </w:rPr>
        <w:t>llim rritjen e p</w:t>
      </w:r>
      <w:r w:rsidR="00DA71DC" w:rsidRPr="00641640">
        <w:rPr>
          <w:rFonts w:ascii="Times New Roman" w:eastAsiaTheme="minorHAnsi" w:hAnsi="Times New Roman" w:cs="Times New Roman"/>
          <w:bCs/>
          <w:noProof/>
          <w:sz w:val="24"/>
          <w:szCs w:val="24"/>
          <w:lang w:val="sq-AL"/>
        </w:rPr>
        <w:t>ë</w:t>
      </w:r>
      <w:r w:rsidR="001E5107" w:rsidRPr="00641640">
        <w:rPr>
          <w:rFonts w:ascii="Times New Roman" w:eastAsiaTheme="minorHAnsi" w:hAnsi="Times New Roman" w:cs="Times New Roman"/>
          <w:bCs/>
          <w:noProof/>
          <w:sz w:val="24"/>
          <w:szCs w:val="24"/>
          <w:lang w:val="sq-AL"/>
        </w:rPr>
        <w:t>rputhshm</w:t>
      </w:r>
      <w:r w:rsidR="00DA71DC" w:rsidRPr="00641640">
        <w:rPr>
          <w:rFonts w:ascii="Times New Roman" w:eastAsiaTheme="minorHAnsi" w:hAnsi="Times New Roman" w:cs="Times New Roman"/>
          <w:bCs/>
          <w:noProof/>
          <w:sz w:val="24"/>
          <w:szCs w:val="24"/>
          <w:lang w:val="sq-AL"/>
        </w:rPr>
        <w:t>ë</w:t>
      </w:r>
      <w:r w:rsidR="001E5107" w:rsidRPr="00641640">
        <w:rPr>
          <w:rFonts w:ascii="Times New Roman" w:eastAsiaTheme="minorHAnsi" w:hAnsi="Times New Roman" w:cs="Times New Roman"/>
          <w:bCs/>
          <w:noProof/>
          <w:sz w:val="24"/>
          <w:szCs w:val="24"/>
          <w:lang w:val="sq-AL"/>
        </w:rPr>
        <w:t>ris</w:t>
      </w:r>
      <w:r w:rsidR="00DA71DC" w:rsidRPr="00641640">
        <w:rPr>
          <w:rFonts w:ascii="Times New Roman" w:eastAsiaTheme="minorHAnsi" w:hAnsi="Times New Roman" w:cs="Times New Roman"/>
          <w:bCs/>
          <w:noProof/>
          <w:sz w:val="24"/>
          <w:szCs w:val="24"/>
          <w:lang w:val="sq-AL"/>
        </w:rPr>
        <w:t>ë</w:t>
      </w:r>
      <w:r w:rsidR="001E5107" w:rsidRPr="00641640">
        <w:rPr>
          <w:rFonts w:ascii="Times New Roman" w:eastAsiaTheme="minorHAnsi" w:hAnsi="Times New Roman" w:cs="Times New Roman"/>
          <w:bCs/>
          <w:noProof/>
          <w:sz w:val="24"/>
          <w:szCs w:val="24"/>
          <w:lang w:val="sq-AL"/>
        </w:rPr>
        <w:t xml:space="preserve"> </w:t>
      </w:r>
      <w:r w:rsidR="00582FCB" w:rsidRPr="00641640">
        <w:rPr>
          <w:rFonts w:ascii="Times New Roman" w:hAnsi="Times New Roman" w:cs="Times New Roman"/>
          <w:bCs/>
          <w:noProof/>
          <w:sz w:val="24"/>
          <w:szCs w:val="24"/>
          <w:lang w:val="sq-AL"/>
        </w:rPr>
        <w:t>së politikave të propozuara në Programin e Përgjithshëm Analitik të Projektakteve me politikat e përgjithshme dhe prioritetet qeveritare.</w:t>
      </w:r>
    </w:p>
    <w:p w14:paraId="2526B12D" w14:textId="7C70D678" w:rsidR="001F4E02" w:rsidRPr="00641640" w:rsidRDefault="00A4187D" w:rsidP="00F863ED">
      <w:pPr>
        <w:spacing w:after="0" w:line="276" w:lineRule="auto"/>
        <w:jc w:val="both"/>
        <w:rPr>
          <w:rFonts w:ascii="Times New Roman" w:eastAsiaTheme="minorHAnsi" w:hAnsi="Times New Roman" w:cs="Times New Roman"/>
          <w:noProof/>
          <w:sz w:val="24"/>
          <w:szCs w:val="24"/>
          <w:lang w:val="sq-AL"/>
        </w:rPr>
      </w:pPr>
      <w:bookmarkStart w:id="32" w:name="_Hlk196208228"/>
      <w:r w:rsidRPr="00641640">
        <w:rPr>
          <w:rFonts w:ascii="Times New Roman" w:eastAsia="Times New Roman" w:hAnsi="Times New Roman" w:cs="Times New Roman"/>
          <w:b/>
          <w:bCs/>
          <w:noProof/>
          <w:sz w:val="24"/>
          <w:szCs w:val="24"/>
          <w:lang w:val="sq-AL"/>
        </w:rPr>
        <w:t>Rezultati 3:</w:t>
      </w:r>
      <w:r w:rsidRPr="00641640">
        <w:rPr>
          <w:rFonts w:ascii="Times New Roman" w:eastAsia="Times New Roman" w:hAnsi="Times New Roman" w:cs="Times New Roman"/>
          <w:noProof/>
          <w:sz w:val="24"/>
          <w:szCs w:val="24"/>
          <w:lang w:val="sq-AL"/>
        </w:rPr>
        <w:t xml:space="preserve"> </w:t>
      </w:r>
      <w:bookmarkEnd w:id="32"/>
      <w:r w:rsidR="00FB07E5" w:rsidRPr="00641640">
        <w:rPr>
          <w:rFonts w:ascii="Times New Roman" w:eastAsiaTheme="minorHAnsi" w:hAnsi="Times New Roman" w:cs="Times New Roman"/>
          <w:noProof/>
          <w:sz w:val="24"/>
          <w:szCs w:val="24"/>
          <w:lang w:val="sq-AL"/>
        </w:rPr>
        <w:t>Hartimi i nismave t</w:t>
      </w:r>
      <w:r w:rsidR="00DA71DC" w:rsidRPr="00641640">
        <w:rPr>
          <w:rFonts w:ascii="Times New Roman" w:eastAsiaTheme="minorHAnsi" w:hAnsi="Times New Roman" w:cs="Times New Roman"/>
          <w:noProof/>
          <w:sz w:val="24"/>
          <w:szCs w:val="24"/>
          <w:lang w:val="sq-AL"/>
        </w:rPr>
        <w:t>ë</w:t>
      </w:r>
      <w:r w:rsidR="00FB07E5" w:rsidRPr="00641640">
        <w:rPr>
          <w:rFonts w:ascii="Times New Roman" w:eastAsiaTheme="minorHAnsi" w:hAnsi="Times New Roman" w:cs="Times New Roman"/>
          <w:noProof/>
          <w:sz w:val="24"/>
          <w:szCs w:val="24"/>
          <w:lang w:val="sq-AL"/>
        </w:rPr>
        <w:t xml:space="preserve"> reja ligjore dhe polit</w:t>
      </w:r>
      <w:r w:rsidR="005D0954" w:rsidRPr="00641640">
        <w:rPr>
          <w:rFonts w:ascii="Times New Roman" w:eastAsiaTheme="minorHAnsi" w:hAnsi="Times New Roman" w:cs="Times New Roman"/>
          <w:noProof/>
          <w:sz w:val="24"/>
          <w:szCs w:val="24"/>
          <w:lang w:val="sq-AL"/>
        </w:rPr>
        <w:t>i</w:t>
      </w:r>
      <w:r w:rsidR="00FB07E5" w:rsidRPr="00641640">
        <w:rPr>
          <w:rFonts w:ascii="Times New Roman" w:eastAsiaTheme="minorHAnsi" w:hAnsi="Times New Roman" w:cs="Times New Roman"/>
          <w:noProof/>
          <w:sz w:val="24"/>
          <w:szCs w:val="24"/>
          <w:lang w:val="sq-AL"/>
        </w:rPr>
        <w:t>ke bazuar n</w:t>
      </w:r>
      <w:r w:rsidR="00DA71DC" w:rsidRPr="00641640">
        <w:rPr>
          <w:rFonts w:ascii="Times New Roman" w:eastAsiaTheme="minorHAnsi" w:hAnsi="Times New Roman" w:cs="Times New Roman"/>
          <w:noProof/>
          <w:sz w:val="24"/>
          <w:szCs w:val="24"/>
          <w:lang w:val="sq-AL"/>
        </w:rPr>
        <w:t>ë</w:t>
      </w:r>
      <w:r w:rsidR="00FB07E5" w:rsidRPr="00641640">
        <w:rPr>
          <w:rFonts w:ascii="Times New Roman" w:eastAsiaTheme="minorHAnsi" w:hAnsi="Times New Roman" w:cs="Times New Roman"/>
          <w:noProof/>
          <w:sz w:val="24"/>
          <w:szCs w:val="24"/>
          <w:lang w:val="sq-AL"/>
        </w:rPr>
        <w:t xml:space="preserve"> </w:t>
      </w:r>
      <w:r w:rsidR="0073605B" w:rsidRPr="00641640">
        <w:rPr>
          <w:rFonts w:ascii="Times New Roman" w:hAnsi="Times New Roman" w:cs="Times New Roman"/>
          <w:noProof/>
          <w:sz w:val="24"/>
          <w:szCs w:val="24"/>
          <w:lang w:val="sq-AL"/>
        </w:rPr>
        <w:t xml:space="preserve">praktikat e mira ndërkombëtare dhe përafrimi efikas me </w:t>
      </w:r>
      <w:r w:rsidR="0073605B" w:rsidRPr="00641640">
        <w:rPr>
          <w:rFonts w:ascii="Times New Roman" w:hAnsi="Times New Roman" w:cs="Times New Roman"/>
          <w:i/>
          <w:noProof/>
          <w:sz w:val="24"/>
          <w:szCs w:val="24"/>
          <w:lang w:val="sq-AL"/>
        </w:rPr>
        <w:t>acquis</w:t>
      </w:r>
      <w:r w:rsidR="0073605B" w:rsidRPr="00641640">
        <w:rPr>
          <w:rFonts w:ascii="Times New Roman" w:hAnsi="Times New Roman" w:cs="Times New Roman"/>
          <w:noProof/>
          <w:sz w:val="24"/>
          <w:szCs w:val="24"/>
          <w:lang w:val="sq-AL"/>
        </w:rPr>
        <w:t>-në dhe standardet evropiane</w:t>
      </w:r>
      <w:r w:rsidR="0073605B" w:rsidRPr="00641640">
        <w:rPr>
          <w:rFonts w:ascii="Times New Roman" w:eastAsiaTheme="minorHAnsi" w:hAnsi="Times New Roman" w:cs="Times New Roman"/>
          <w:noProof/>
          <w:sz w:val="24"/>
          <w:szCs w:val="24"/>
          <w:lang w:val="sq-AL"/>
        </w:rPr>
        <w:t>.</w:t>
      </w:r>
      <w:r w:rsidR="00311DD8" w:rsidRPr="00641640">
        <w:rPr>
          <w:rFonts w:ascii="Times New Roman" w:eastAsiaTheme="minorHAnsi" w:hAnsi="Times New Roman" w:cs="Times New Roman"/>
          <w:noProof/>
          <w:sz w:val="24"/>
          <w:szCs w:val="24"/>
          <w:lang w:val="sq-AL"/>
        </w:rPr>
        <w:t xml:space="preserve"> N</w:t>
      </w:r>
      <w:r w:rsidR="00DA71DC" w:rsidRPr="00641640">
        <w:rPr>
          <w:rFonts w:ascii="Times New Roman" w:eastAsiaTheme="minorHAnsi" w:hAnsi="Times New Roman" w:cs="Times New Roman"/>
          <w:noProof/>
          <w:sz w:val="24"/>
          <w:szCs w:val="24"/>
          <w:lang w:val="sq-AL"/>
        </w:rPr>
        <w:t>ë</w:t>
      </w:r>
      <w:r w:rsidR="00311DD8" w:rsidRPr="00641640">
        <w:rPr>
          <w:rFonts w:ascii="Times New Roman" w:eastAsiaTheme="minorHAnsi" w:hAnsi="Times New Roman" w:cs="Times New Roman"/>
          <w:noProof/>
          <w:sz w:val="24"/>
          <w:szCs w:val="24"/>
          <w:lang w:val="sq-AL"/>
        </w:rPr>
        <w:t xml:space="preserve"> k</w:t>
      </w:r>
      <w:r w:rsidR="00DA71DC" w:rsidRPr="00641640">
        <w:rPr>
          <w:rFonts w:ascii="Times New Roman" w:eastAsiaTheme="minorHAnsi" w:hAnsi="Times New Roman" w:cs="Times New Roman"/>
          <w:noProof/>
          <w:sz w:val="24"/>
          <w:szCs w:val="24"/>
          <w:lang w:val="sq-AL"/>
        </w:rPr>
        <w:t>ë</w:t>
      </w:r>
      <w:r w:rsidR="00311DD8" w:rsidRPr="00641640">
        <w:rPr>
          <w:rFonts w:ascii="Times New Roman" w:eastAsiaTheme="minorHAnsi" w:hAnsi="Times New Roman" w:cs="Times New Roman"/>
          <w:noProof/>
          <w:sz w:val="24"/>
          <w:szCs w:val="24"/>
          <w:lang w:val="sq-AL"/>
        </w:rPr>
        <w:t>t</w:t>
      </w:r>
      <w:r w:rsidR="00DA71DC" w:rsidRPr="00641640">
        <w:rPr>
          <w:rFonts w:ascii="Times New Roman" w:eastAsiaTheme="minorHAnsi" w:hAnsi="Times New Roman" w:cs="Times New Roman"/>
          <w:noProof/>
          <w:sz w:val="24"/>
          <w:szCs w:val="24"/>
          <w:lang w:val="sq-AL"/>
        </w:rPr>
        <w:t>ë</w:t>
      </w:r>
      <w:r w:rsidR="00311DD8" w:rsidRPr="00641640">
        <w:rPr>
          <w:rFonts w:ascii="Times New Roman" w:eastAsiaTheme="minorHAnsi" w:hAnsi="Times New Roman" w:cs="Times New Roman"/>
          <w:noProof/>
          <w:sz w:val="24"/>
          <w:szCs w:val="24"/>
          <w:lang w:val="sq-AL"/>
        </w:rPr>
        <w:t xml:space="preserve"> kuad</w:t>
      </w:r>
      <w:r w:rsidR="00DA71DC" w:rsidRPr="00641640">
        <w:rPr>
          <w:rFonts w:ascii="Times New Roman" w:eastAsiaTheme="minorHAnsi" w:hAnsi="Times New Roman" w:cs="Times New Roman"/>
          <w:noProof/>
          <w:sz w:val="24"/>
          <w:szCs w:val="24"/>
          <w:lang w:val="sq-AL"/>
        </w:rPr>
        <w:t>ë</w:t>
      </w:r>
      <w:r w:rsidR="00311DD8" w:rsidRPr="00641640">
        <w:rPr>
          <w:rFonts w:ascii="Times New Roman" w:eastAsiaTheme="minorHAnsi" w:hAnsi="Times New Roman" w:cs="Times New Roman"/>
          <w:noProof/>
          <w:sz w:val="24"/>
          <w:szCs w:val="24"/>
          <w:lang w:val="sq-AL"/>
        </w:rPr>
        <w:t>r synohet</w:t>
      </w:r>
      <w:r w:rsidR="001F4E02" w:rsidRPr="00641640">
        <w:rPr>
          <w:rFonts w:ascii="Times New Roman" w:eastAsiaTheme="minorHAnsi" w:hAnsi="Times New Roman" w:cs="Times New Roman"/>
          <w:noProof/>
          <w:sz w:val="24"/>
          <w:szCs w:val="24"/>
          <w:lang w:val="sq-AL"/>
        </w:rPr>
        <w:t xml:space="preserve">: </w:t>
      </w:r>
    </w:p>
    <w:p w14:paraId="38EB6BE1" w14:textId="0FFF82C0" w:rsidR="00A4187D" w:rsidRPr="00641640" w:rsidRDefault="00D47DB3" w:rsidP="00F863ED">
      <w:pPr>
        <w:pStyle w:val="ListParagraph"/>
        <w:numPr>
          <w:ilvl w:val="0"/>
          <w:numId w:val="5"/>
        </w:numPr>
        <w:spacing w:line="276" w:lineRule="auto"/>
        <w:jc w:val="both"/>
        <w:rPr>
          <w:rFonts w:ascii="Times New Roman" w:eastAsiaTheme="minorHAnsi" w:hAnsi="Times New Roman" w:cs="Times New Roman"/>
          <w:noProof/>
          <w:sz w:val="24"/>
          <w:szCs w:val="24"/>
          <w:lang w:val="sq-AL"/>
        </w:rPr>
      </w:pPr>
      <w:r w:rsidRPr="00641640">
        <w:rPr>
          <w:rFonts w:ascii="Times New Roman" w:eastAsiaTheme="minorHAnsi" w:hAnsi="Times New Roman" w:cs="Times New Roman"/>
          <w:noProof/>
          <w:sz w:val="24"/>
          <w:szCs w:val="24"/>
          <w:lang w:val="sq-AL"/>
        </w:rPr>
        <w:t>T</w:t>
      </w:r>
      <w:r w:rsidR="004E04A9" w:rsidRPr="00641640">
        <w:rPr>
          <w:rFonts w:ascii="Times New Roman" w:eastAsiaTheme="minorHAnsi" w:hAnsi="Times New Roman" w:cs="Times New Roman"/>
          <w:noProof/>
          <w:sz w:val="24"/>
          <w:szCs w:val="24"/>
          <w:lang w:val="sq-AL"/>
        </w:rPr>
        <w:t>ren</w:t>
      </w:r>
      <w:r w:rsidR="00EC72C1" w:rsidRPr="00641640">
        <w:rPr>
          <w:rFonts w:ascii="Times New Roman" w:eastAsiaTheme="minorHAnsi" w:hAnsi="Times New Roman" w:cs="Times New Roman"/>
          <w:noProof/>
          <w:sz w:val="24"/>
          <w:szCs w:val="24"/>
          <w:lang w:val="sq-AL"/>
        </w:rPr>
        <w:t>d</w:t>
      </w:r>
      <w:r w:rsidR="004E04A9" w:rsidRPr="00641640">
        <w:rPr>
          <w:rFonts w:ascii="Times New Roman" w:eastAsiaTheme="minorHAnsi" w:hAnsi="Times New Roman" w:cs="Times New Roman"/>
          <w:noProof/>
          <w:sz w:val="24"/>
          <w:szCs w:val="24"/>
          <w:lang w:val="sq-AL"/>
        </w:rPr>
        <w:t xml:space="preserve"> rrit</w:t>
      </w:r>
      <w:r w:rsidR="00DA71DC" w:rsidRPr="00641640">
        <w:rPr>
          <w:rFonts w:ascii="Times New Roman" w:eastAsiaTheme="minorHAnsi" w:hAnsi="Times New Roman" w:cs="Times New Roman"/>
          <w:noProof/>
          <w:sz w:val="24"/>
          <w:szCs w:val="24"/>
          <w:lang w:val="sq-AL"/>
        </w:rPr>
        <w:t>ë</w:t>
      </w:r>
      <w:r w:rsidR="004E04A9" w:rsidRPr="00641640">
        <w:rPr>
          <w:rFonts w:ascii="Times New Roman" w:eastAsiaTheme="minorHAnsi" w:hAnsi="Times New Roman" w:cs="Times New Roman"/>
          <w:noProof/>
          <w:sz w:val="24"/>
          <w:szCs w:val="24"/>
          <w:lang w:val="sq-AL"/>
        </w:rPr>
        <w:t>s</w:t>
      </w:r>
      <w:r w:rsidR="0059529B" w:rsidRPr="00641640">
        <w:rPr>
          <w:rFonts w:ascii="Times New Roman" w:eastAsiaTheme="minorHAnsi" w:hAnsi="Times New Roman" w:cs="Times New Roman"/>
          <w:noProof/>
          <w:sz w:val="24"/>
          <w:szCs w:val="24"/>
          <w:lang w:val="sq-AL"/>
        </w:rPr>
        <w:t xml:space="preserve"> </w:t>
      </w:r>
      <w:r w:rsidR="001F4E02" w:rsidRPr="00641640">
        <w:rPr>
          <w:rFonts w:ascii="Times New Roman" w:eastAsiaTheme="minorHAnsi" w:hAnsi="Times New Roman" w:cs="Times New Roman"/>
          <w:noProof/>
          <w:sz w:val="24"/>
          <w:szCs w:val="24"/>
          <w:lang w:val="sq-AL"/>
        </w:rPr>
        <w:t>i</w:t>
      </w:r>
      <w:r w:rsidR="0059529B" w:rsidRPr="00641640">
        <w:rPr>
          <w:rFonts w:ascii="Times New Roman" w:eastAsiaTheme="minorHAnsi" w:hAnsi="Times New Roman" w:cs="Times New Roman"/>
          <w:noProof/>
          <w:sz w:val="24"/>
          <w:szCs w:val="24"/>
          <w:lang w:val="sq-AL"/>
        </w:rPr>
        <w:t xml:space="preserve"> </w:t>
      </w:r>
      <w:r w:rsidR="0059529B" w:rsidRPr="00641640">
        <w:rPr>
          <w:rFonts w:ascii="Times New Roman" w:eastAsiaTheme="minorHAnsi" w:hAnsi="Times New Roman" w:cs="Times New Roman"/>
          <w:bCs/>
          <w:noProof/>
          <w:sz w:val="24"/>
          <w:szCs w:val="24"/>
          <w:lang w:val="sq-AL"/>
        </w:rPr>
        <w:t xml:space="preserve">akteve që ndërmarrin harmonizim me </w:t>
      </w:r>
      <w:r w:rsidR="0059529B" w:rsidRPr="00641640">
        <w:rPr>
          <w:rFonts w:ascii="Times New Roman" w:eastAsiaTheme="minorHAnsi" w:hAnsi="Times New Roman" w:cs="Times New Roman"/>
          <w:bCs/>
          <w:i/>
          <w:iCs/>
          <w:noProof/>
          <w:sz w:val="24"/>
          <w:szCs w:val="24"/>
          <w:lang w:val="sq-AL"/>
        </w:rPr>
        <w:t>acquis</w:t>
      </w:r>
      <w:r w:rsidR="0059529B" w:rsidRPr="00641640">
        <w:rPr>
          <w:rFonts w:ascii="Times New Roman" w:eastAsiaTheme="minorHAnsi" w:hAnsi="Times New Roman" w:cs="Times New Roman"/>
          <w:bCs/>
          <w:noProof/>
          <w:sz w:val="24"/>
          <w:szCs w:val="24"/>
          <w:lang w:val="sq-AL"/>
        </w:rPr>
        <w:t>-në të cilat shoqërohen me Tabelat e Përputhshmërisë dhe versionin e përkthyer të acquis-së që transpozohet</w:t>
      </w:r>
      <w:r w:rsidR="003848B8" w:rsidRPr="00641640">
        <w:rPr>
          <w:rFonts w:ascii="Times New Roman" w:eastAsiaTheme="minorHAnsi" w:hAnsi="Times New Roman" w:cs="Times New Roman"/>
          <w:bCs/>
          <w:noProof/>
          <w:sz w:val="24"/>
          <w:szCs w:val="24"/>
          <w:lang w:val="sq-AL"/>
        </w:rPr>
        <w:t>;</w:t>
      </w:r>
    </w:p>
    <w:p w14:paraId="728BC97F" w14:textId="626DD6FE" w:rsidR="00F34292" w:rsidRPr="00641640" w:rsidRDefault="00DF5322" w:rsidP="00F863ED">
      <w:pPr>
        <w:pStyle w:val="ListParagraph"/>
        <w:numPr>
          <w:ilvl w:val="0"/>
          <w:numId w:val="5"/>
        </w:numPr>
        <w:spacing w:line="276" w:lineRule="auto"/>
        <w:jc w:val="both"/>
        <w:rPr>
          <w:rFonts w:ascii="Times New Roman" w:eastAsiaTheme="minorHAnsi" w:hAnsi="Times New Roman" w:cs="Times New Roman"/>
          <w:noProof/>
          <w:sz w:val="24"/>
          <w:szCs w:val="24"/>
          <w:lang w:val="sq-AL"/>
        </w:rPr>
      </w:pPr>
      <w:r w:rsidRPr="00641640">
        <w:rPr>
          <w:rFonts w:ascii="Times New Roman" w:eastAsiaTheme="minorHAnsi" w:hAnsi="Times New Roman" w:cs="Times New Roman"/>
          <w:bCs/>
          <w:noProof/>
          <w:sz w:val="24"/>
          <w:szCs w:val="24"/>
          <w:lang w:val="sq-AL"/>
        </w:rPr>
        <w:t>B</w:t>
      </w:r>
      <w:r w:rsidR="00E52D56" w:rsidRPr="00641640">
        <w:rPr>
          <w:rFonts w:ascii="Times New Roman" w:eastAsiaTheme="minorHAnsi" w:hAnsi="Times New Roman" w:cs="Times New Roman"/>
          <w:bCs/>
          <w:noProof/>
          <w:sz w:val="24"/>
          <w:szCs w:val="24"/>
          <w:lang w:val="sq-AL"/>
        </w:rPr>
        <w:t>renda vitit 2027</w:t>
      </w:r>
      <w:r w:rsidRPr="00641640">
        <w:rPr>
          <w:rFonts w:ascii="Times New Roman" w:eastAsiaTheme="minorHAnsi" w:hAnsi="Times New Roman" w:cs="Times New Roman"/>
          <w:bCs/>
          <w:noProof/>
          <w:sz w:val="24"/>
          <w:szCs w:val="24"/>
          <w:lang w:val="sq-AL"/>
        </w:rPr>
        <w:t xml:space="preserve">, </w:t>
      </w:r>
      <w:r w:rsidR="009D23A2" w:rsidRPr="00641640">
        <w:rPr>
          <w:rFonts w:ascii="Times New Roman" w:eastAsiaTheme="minorHAnsi" w:hAnsi="Times New Roman" w:cs="Times New Roman"/>
          <w:bCs/>
          <w:noProof/>
          <w:sz w:val="24"/>
          <w:szCs w:val="24"/>
          <w:lang w:val="sq-AL"/>
        </w:rPr>
        <w:t xml:space="preserve">të hartohen </w:t>
      </w:r>
      <w:r w:rsidRPr="00641640">
        <w:rPr>
          <w:rFonts w:ascii="Times New Roman" w:eastAsiaTheme="minorHAnsi" w:hAnsi="Times New Roman" w:cs="Times New Roman"/>
          <w:bCs/>
          <w:noProof/>
          <w:sz w:val="24"/>
          <w:szCs w:val="24"/>
          <w:lang w:val="sq-AL"/>
        </w:rPr>
        <w:t xml:space="preserve">raportet </w:t>
      </w:r>
      <w:r w:rsidR="00F34292" w:rsidRPr="00641640">
        <w:rPr>
          <w:rFonts w:ascii="Times New Roman" w:eastAsiaTheme="minorHAnsi" w:hAnsi="Times New Roman" w:cs="Times New Roman"/>
          <w:noProof/>
          <w:sz w:val="24"/>
          <w:szCs w:val="24"/>
          <w:lang w:val="sq-AL"/>
        </w:rPr>
        <w:t xml:space="preserve">RIA për </w:t>
      </w:r>
      <w:r w:rsidR="009D23A2" w:rsidRPr="00641640">
        <w:rPr>
          <w:rFonts w:ascii="Times New Roman" w:eastAsiaTheme="minorHAnsi" w:hAnsi="Times New Roman" w:cs="Times New Roman"/>
          <w:noProof/>
          <w:sz w:val="24"/>
          <w:szCs w:val="24"/>
          <w:lang w:val="sq-AL"/>
        </w:rPr>
        <w:t>t</w:t>
      </w:r>
      <w:r w:rsidR="002E3D0C" w:rsidRPr="00641640">
        <w:rPr>
          <w:rFonts w:ascii="Times New Roman" w:eastAsiaTheme="minorHAnsi" w:hAnsi="Times New Roman" w:cs="Times New Roman"/>
          <w:noProof/>
          <w:sz w:val="24"/>
          <w:szCs w:val="24"/>
          <w:lang w:val="sq-AL"/>
        </w:rPr>
        <w:t>ë</w:t>
      </w:r>
      <w:r w:rsidR="009D23A2" w:rsidRPr="00641640">
        <w:rPr>
          <w:rFonts w:ascii="Times New Roman" w:eastAsiaTheme="minorHAnsi" w:hAnsi="Times New Roman" w:cs="Times New Roman"/>
          <w:noProof/>
          <w:sz w:val="24"/>
          <w:szCs w:val="24"/>
          <w:lang w:val="sq-AL"/>
        </w:rPr>
        <w:t xml:space="preserve"> gjitha </w:t>
      </w:r>
      <w:r w:rsidR="00F34292" w:rsidRPr="00641640">
        <w:rPr>
          <w:rFonts w:ascii="Times New Roman" w:eastAsiaTheme="minorHAnsi" w:hAnsi="Times New Roman" w:cs="Times New Roman"/>
          <w:noProof/>
          <w:sz w:val="24"/>
          <w:szCs w:val="24"/>
          <w:lang w:val="sq-AL"/>
        </w:rPr>
        <w:t>nisma</w:t>
      </w:r>
      <w:r w:rsidR="009D23A2" w:rsidRPr="00641640">
        <w:rPr>
          <w:rFonts w:ascii="Times New Roman" w:eastAsiaTheme="minorHAnsi" w:hAnsi="Times New Roman" w:cs="Times New Roman"/>
          <w:noProof/>
          <w:sz w:val="24"/>
          <w:szCs w:val="24"/>
          <w:lang w:val="sq-AL"/>
        </w:rPr>
        <w:t>t</w:t>
      </w:r>
      <w:r w:rsidR="00F34292" w:rsidRPr="00641640">
        <w:rPr>
          <w:rFonts w:ascii="Times New Roman" w:eastAsiaTheme="minorHAnsi" w:hAnsi="Times New Roman" w:cs="Times New Roman"/>
          <w:noProof/>
          <w:sz w:val="24"/>
          <w:szCs w:val="24"/>
          <w:lang w:val="sq-AL"/>
        </w:rPr>
        <w:t xml:space="preserve"> të cilat transpozojnë acquis-në që përmbajnë referenca ndaj analizave të prodhuara nga Komisioni Evropian dhe/ose </w:t>
      </w:r>
      <w:r w:rsidR="00391B0D" w:rsidRPr="00641640">
        <w:rPr>
          <w:rFonts w:ascii="Times New Roman" w:eastAsiaTheme="minorHAnsi" w:hAnsi="Times New Roman" w:cs="Times New Roman"/>
          <w:noProof/>
          <w:sz w:val="24"/>
          <w:szCs w:val="24"/>
          <w:lang w:val="sq-AL"/>
        </w:rPr>
        <w:t>s</w:t>
      </w:r>
      <w:r w:rsidR="00F34292" w:rsidRPr="00641640">
        <w:rPr>
          <w:rFonts w:ascii="Times New Roman" w:eastAsiaTheme="minorHAnsi" w:hAnsi="Times New Roman" w:cs="Times New Roman"/>
          <w:noProof/>
          <w:sz w:val="24"/>
          <w:szCs w:val="24"/>
          <w:lang w:val="sq-AL"/>
        </w:rPr>
        <w:t xml:space="preserve">htetet </w:t>
      </w:r>
      <w:r w:rsidR="00391B0D" w:rsidRPr="00641640">
        <w:rPr>
          <w:rFonts w:ascii="Times New Roman" w:eastAsiaTheme="minorHAnsi" w:hAnsi="Times New Roman" w:cs="Times New Roman"/>
          <w:noProof/>
          <w:sz w:val="24"/>
          <w:szCs w:val="24"/>
          <w:lang w:val="sq-AL"/>
        </w:rPr>
        <w:t>a</w:t>
      </w:r>
      <w:r w:rsidR="00F34292" w:rsidRPr="00641640">
        <w:rPr>
          <w:rFonts w:ascii="Times New Roman" w:eastAsiaTheme="minorHAnsi" w:hAnsi="Times New Roman" w:cs="Times New Roman"/>
          <w:noProof/>
          <w:sz w:val="24"/>
          <w:szCs w:val="24"/>
          <w:lang w:val="sq-AL"/>
        </w:rPr>
        <w:t>nëtare të BE-së kur zhvillojnë dhe/ose transpozojnë të njëjtën direktivë në administrat</w:t>
      </w:r>
      <w:r w:rsidR="002856C6" w:rsidRPr="00641640">
        <w:rPr>
          <w:rFonts w:ascii="Times New Roman" w:eastAsiaTheme="minorHAnsi" w:hAnsi="Times New Roman" w:cs="Times New Roman"/>
          <w:noProof/>
          <w:sz w:val="24"/>
          <w:szCs w:val="24"/>
          <w:lang w:val="sq-AL"/>
        </w:rPr>
        <w:t>ë</w:t>
      </w:r>
      <w:r w:rsidR="00F34292" w:rsidRPr="00641640">
        <w:rPr>
          <w:rFonts w:ascii="Times New Roman" w:eastAsiaTheme="minorHAnsi" w:hAnsi="Times New Roman" w:cs="Times New Roman"/>
          <w:noProof/>
          <w:sz w:val="24"/>
          <w:szCs w:val="24"/>
          <w:lang w:val="sq-AL"/>
        </w:rPr>
        <w:t>n e tyre përkatëse.</w:t>
      </w:r>
    </w:p>
    <w:p w14:paraId="0BFF4BB8" w14:textId="697AE804" w:rsidR="004A1ADD" w:rsidRPr="00641640" w:rsidRDefault="00FD17AC" w:rsidP="00F863ED">
      <w:pPr>
        <w:spacing w:line="276" w:lineRule="auto"/>
        <w:jc w:val="both"/>
        <w:rPr>
          <w:rFonts w:ascii="Times New Roman" w:hAnsi="Times New Roman" w:cs="Times New Roman"/>
          <w:bCs/>
          <w:noProof/>
          <w:sz w:val="24"/>
          <w:szCs w:val="24"/>
          <w:lang w:val="sq-AL"/>
        </w:rPr>
      </w:pPr>
      <w:r w:rsidRPr="00641640">
        <w:rPr>
          <w:rFonts w:ascii="Times New Roman" w:eastAsia="Times New Roman" w:hAnsi="Times New Roman" w:cs="Times New Roman"/>
          <w:b/>
          <w:bCs/>
          <w:noProof/>
          <w:sz w:val="24"/>
          <w:szCs w:val="24"/>
          <w:lang w:val="sq-AL"/>
        </w:rPr>
        <w:t>Rezultati 4:</w:t>
      </w:r>
      <w:r w:rsidR="0078419D" w:rsidRPr="00641640">
        <w:rPr>
          <w:rFonts w:ascii="Times New Roman" w:eastAsia="Times New Roman" w:hAnsi="Times New Roman" w:cs="Times New Roman"/>
          <w:b/>
          <w:bCs/>
          <w:noProof/>
          <w:sz w:val="24"/>
          <w:szCs w:val="24"/>
          <w:lang w:val="sq-AL"/>
        </w:rPr>
        <w:t xml:space="preserve"> </w:t>
      </w:r>
      <w:r w:rsidR="004A6E92" w:rsidRPr="00641640">
        <w:rPr>
          <w:rFonts w:ascii="Times New Roman" w:eastAsia="Times New Roman" w:hAnsi="Times New Roman" w:cs="Times New Roman"/>
          <w:noProof/>
          <w:sz w:val="24"/>
          <w:szCs w:val="24"/>
          <w:lang w:val="sq-AL"/>
        </w:rPr>
        <w:t xml:space="preserve">Forcimi i kapaciteteve institucionale </w:t>
      </w:r>
      <w:r w:rsidR="000E0632" w:rsidRPr="00641640">
        <w:rPr>
          <w:rFonts w:ascii="Times New Roman" w:eastAsia="Times New Roman" w:hAnsi="Times New Roman" w:cs="Times New Roman"/>
          <w:noProof/>
          <w:sz w:val="24"/>
          <w:szCs w:val="24"/>
          <w:lang w:val="sq-AL"/>
        </w:rPr>
        <w:t>p</w:t>
      </w:r>
      <w:r w:rsidR="00DA71DC" w:rsidRPr="00641640">
        <w:rPr>
          <w:rFonts w:ascii="Times New Roman" w:eastAsia="Times New Roman" w:hAnsi="Times New Roman" w:cs="Times New Roman"/>
          <w:noProof/>
          <w:sz w:val="24"/>
          <w:szCs w:val="24"/>
          <w:lang w:val="sq-AL"/>
        </w:rPr>
        <w:t>ë</w:t>
      </w:r>
      <w:r w:rsidR="000E0632" w:rsidRPr="00641640">
        <w:rPr>
          <w:rFonts w:ascii="Times New Roman" w:eastAsia="Times New Roman" w:hAnsi="Times New Roman" w:cs="Times New Roman"/>
          <w:noProof/>
          <w:sz w:val="24"/>
          <w:szCs w:val="24"/>
          <w:lang w:val="sq-AL"/>
        </w:rPr>
        <w:t xml:space="preserve">r </w:t>
      </w:r>
      <w:r w:rsidR="004A1ADD" w:rsidRPr="00641640">
        <w:rPr>
          <w:rFonts w:ascii="Times New Roman" w:eastAsia="Times New Roman" w:hAnsi="Times New Roman" w:cs="Times New Roman"/>
          <w:noProof/>
          <w:sz w:val="24"/>
          <w:szCs w:val="24"/>
          <w:lang w:val="sq-AL"/>
        </w:rPr>
        <w:t>p</w:t>
      </w:r>
      <w:r w:rsidR="002E3D0C" w:rsidRPr="00641640">
        <w:rPr>
          <w:rFonts w:ascii="Times New Roman" w:eastAsia="Times New Roman" w:hAnsi="Times New Roman" w:cs="Times New Roman"/>
          <w:noProof/>
          <w:sz w:val="24"/>
          <w:szCs w:val="24"/>
          <w:lang w:val="sq-AL"/>
        </w:rPr>
        <w:t>ë</w:t>
      </w:r>
      <w:r w:rsidR="004A1ADD" w:rsidRPr="00641640">
        <w:rPr>
          <w:rFonts w:ascii="Times New Roman" w:eastAsia="Times New Roman" w:hAnsi="Times New Roman" w:cs="Times New Roman"/>
          <w:noProof/>
          <w:sz w:val="24"/>
          <w:szCs w:val="24"/>
          <w:lang w:val="sq-AL"/>
        </w:rPr>
        <w:t>rmir</w:t>
      </w:r>
      <w:r w:rsidR="002E3D0C" w:rsidRPr="00641640">
        <w:rPr>
          <w:rFonts w:ascii="Times New Roman" w:eastAsia="Times New Roman" w:hAnsi="Times New Roman" w:cs="Times New Roman"/>
          <w:noProof/>
          <w:sz w:val="24"/>
          <w:szCs w:val="24"/>
          <w:lang w:val="sq-AL"/>
        </w:rPr>
        <w:t>ë</w:t>
      </w:r>
      <w:r w:rsidR="004A1ADD" w:rsidRPr="00641640">
        <w:rPr>
          <w:rFonts w:ascii="Times New Roman" w:eastAsia="Times New Roman" w:hAnsi="Times New Roman" w:cs="Times New Roman"/>
          <w:noProof/>
          <w:sz w:val="24"/>
          <w:szCs w:val="24"/>
          <w:lang w:val="sq-AL"/>
        </w:rPr>
        <w:t>simin e cil</w:t>
      </w:r>
      <w:r w:rsidR="002E3D0C" w:rsidRPr="00641640">
        <w:rPr>
          <w:rFonts w:ascii="Times New Roman" w:eastAsia="Times New Roman" w:hAnsi="Times New Roman" w:cs="Times New Roman"/>
          <w:noProof/>
          <w:sz w:val="24"/>
          <w:szCs w:val="24"/>
          <w:lang w:val="sq-AL"/>
        </w:rPr>
        <w:t>ë</w:t>
      </w:r>
      <w:r w:rsidR="004A1ADD" w:rsidRPr="00641640">
        <w:rPr>
          <w:rFonts w:ascii="Times New Roman" w:eastAsia="Times New Roman" w:hAnsi="Times New Roman" w:cs="Times New Roman"/>
          <w:noProof/>
          <w:sz w:val="24"/>
          <w:szCs w:val="24"/>
          <w:lang w:val="sq-AL"/>
        </w:rPr>
        <w:t>sis</w:t>
      </w:r>
      <w:r w:rsidR="002E3D0C" w:rsidRPr="00641640">
        <w:rPr>
          <w:rFonts w:ascii="Times New Roman" w:eastAsia="Times New Roman" w:hAnsi="Times New Roman" w:cs="Times New Roman"/>
          <w:noProof/>
          <w:sz w:val="24"/>
          <w:szCs w:val="24"/>
          <w:lang w:val="sq-AL"/>
        </w:rPr>
        <w:t>ë</w:t>
      </w:r>
      <w:r w:rsidR="004A1ADD" w:rsidRPr="00641640">
        <w:rPr>
          <w:rFonts w:ascii="Times New Roman" w:eastAsia="Times New Roman" w:hAnsi="Times New Roman" w:cs="Times New Roman"/>
          <w:noProof/>
          <w:sz w:val="24"/>
          <w:szCs w:val="24"/>
          <w:lang w:val="sq-AL"/>
        </w:rPr>
        <w:t xml:space="preserve"> </w:t>
      </w:r>
      <w:r w:rsidR="004A1ADD" w:rsidRPr="00641640">
        <w:rPr>
          <w:rFonts w:ascii="Times New Roman" w:hAnsi="Times New Roman" w:cs="Times New Roman"/>
          <w:bCs/>
          <w:noProof/>
          <w:sz w:val="24"/>
          <w:szCs w:val="24"/>
          <w:lang w:val="sq-AL"/>
        </w:rPr>
        <w:t>së kryerjes dhe monitorimit të procesit RIA</w:t>
      </w:r>
      <w:r w:rsidR="00597826" w:rsidRPr="00641640">
        <w:rPr>
          <w:rFonts w:ascii="Times New Roman" w:hAnsi="Times New Roman" w:cs="Times New Roman"/>
          <w:bCs/>
          <w:noProof/>
          <w:sz w:val="24"/>
          <w:szCs w:val="24"/>
          <w:lang w:val="sq-AL"/>
        </w:rPr>
        <w:t>.</w:t>
      </w:r>
    </w:p>
    <w:p w14:paraId="38E06334" w14:textId="417036B1" w:rsidR="00075C0F" w:rsidRPr="00641640" w:rsidRDefault="00075C0F" w:rsidP="00F863ED">
      <w:pPr>
        <w:spacing w:after="0" w:line="276" w:lineRule="auto"/>
        <w:jc w:val="both"/>
        <w:rPr>
          <w:rFonts w:ascii="Times New Roman" w:hAnsi="Times New Roman" w:cs="Times New Roman"/>
          <w:noProof/>
          <w:sz w:val="24"/>
          <w:szCs w:val="24"/>
          <w:lang w:val="sq-AL"/>
        </w:rPr>
      </w:pPr>
      <w:r w:rsidRPr="00641640">
        <w:rPr>
          <w:rFonts w:ascii="Times New Roman" w:hAnsi="Times New Roman" w:cs="Times New Roman"/>
          <w:b/>
          <w:bCs/>
          <w:noProof/>
          <w:sz w:val="24"/>
          <w:szCs w:val="24"/>
          <w:lang w:val="sq-AL"/>
        </w:rPr>
        <w:t xml:space="preserve">Rezultati 5: </w:t>
      </w:r>
      <w:r w:rsidRPr="00641640">
        <w:rPr>
          <w:rFonts w:ascii="Times New Roman" w:hAnsi="Times New Roman" w:cs="Times New Roman"/>
          <w:noProof/>
          <w:sz w:val="24"/>
          <w:szCs w:val="24"/>
          <w:lang w:val="sq-AL"/>
        </w:rPr>
        <w:t>Zgjerimi i procesit të konsultimit publik tek aktet e legjislacionit dytësor me interes të lartë publik,</w:t>
      </w:r>
      <w:r w:rsidR="00B07C1A" w:rsidRPr="00641640">
        <w:rPr>
          <w:rFonts w:ascii="Times New Roman" w:hAnsi="Times New Roman" w:cs="Times New Roman"/>
          <w:noProof/>
          <w:sz w:val="24"/>
          <w:szCs w:val="24"/>
          <w:lang w:val="sq-AL"/>
        </w:rPr>
        <w:t xml:space="preserve"> përmes</w:t>
      </w:r>
      <w:r w:rsidR="001B191E" w:rsidRPr="00641640">
        <w:rPr>
          <w:rFonts w:ascii="Times New Roman" w:hAnsi="Times New Roman" w:cs="Times New Roman"/>
          <w:noProof/>
          <w:sz w:val="24"/>
          <w:szCs w:val="24"/>
          <w:lang w:val="sq-AL"/>
        </w:rPr>
        <w:t>:</w:t>
      </w:r>
      <w:r w:rsidR="00B07C1A" w:rsidRPr="00641640">
        <w:rPr>
          <w:rFonts w:ascii="Times New Roman" w:hAnsi="Times New Roman" w:cs="Times New Roman"/>
          <w:noProof/>
          <w:sz w:val="24"/>
          <w:szCs w:val="24"/>
          <w:lang w:val="sq-AL"/>
        </w:rPr>
        <w:t xml:space="preserve"> </w:t>
      </w:r>
    </w:p>
    <w:p w14:paraId="2D8AA608" w14:textId="1D715EBD" w:rsidR="00075C0F" w:rsidRPr="00641640" w:rsidRDefault="001B191E" w:rsidP="00F863ED">
      <w:pPr>
        <w:pStyle w:val="ListParagraph"/>
        <w:numPr>
          <w:ilvl w:val="0"/>
          <w:numId w:val="5"/>
        </w:numPr>
        <w:spacing w:line="276" w:lineRule="auto"/>
        <w:jc w:val="both"/>
        <w:rPr>
          <w:rFonts w:ascii="Times New Roman" w:eastAsia="Times New Roman" w:hAnsi="Times New Roman" w:cs="Times New Roman"/>
          <w:b/>
          <w:bCs/>
          <w:noProof/>
          <w:sz w:val="24"/>
          <w:szCs w:val="24"/>
          <w:lang w:val="sq-AL"/>
        </w:rPr>
      </w:pPr>
      <w:r w:rsidRPr="00641640">
        <w:rPr>
          <w:rFonts w:ascii="Times New Roman" w:hAnsi="Times New Roman" w:cs="Times New Roman"/>
          <w:noProof/>
          <w:sz w:val="24"/>
          <w:szCs w:val="24"/>
          <w:lang w:val="sq-AL"/>
        </w:rPr>
        <w:t xml:space="preserve">Rishikimit dhe plotësimit të kuadrit normativ, si dhe zbatimit të tij në praktikë, e konkretisht: (i) </w:t>
      </w:r>
      <w:r w:rsidR="00472184" w:rsidRPr="00641640">
        <w:rPr>
          <w:rFonts w:ascii="Times New Roman" w:hAnsi="Times New Roman" w:cs="Times New Roman"/>
          <w:noProof/>
          <w:sz w:val="24"/>
          <w:szCs w:val="24"/>
          <w:lang w:val="sq-AL"/>
        </w:rPr>
        <w:t>VKM</w:t>
      </w:r>
      <w:r w:rsidRPr="00641640">
        <w:rPr>
          <w:rFonts w:ascii="Times New Roman" w:hAnsi="Times New Roman" w:cs="Times New Roman"/>
          <w:noProof/>
          <w:sz w:val="24"/>
          <w:szCs w:val="24"/>
          <w:lang w:val="sq-AL"/>
        </w:rPr>
        <w:t>-së</w:t>
      </w:r>
      <w:r w:rsidR="00472184" w:rsidRPr="00641640">
        <w:rPr>
          <w:rFonts w:ascii="Times New Roman" w:hAnsi="Times New Roman" w:cs="Times New Roman"/>
          <w:noProof/>
          <w:sz w:val="24"/>
          <w:szCs w:val="24"/>
          <w:lang w:val="sq-AL"/>
        </w:rPr>
        <w:t xml:space="preserve"> nr. 584, datë 28.3.2003 “Për miratimin e rregullores së Këshillit të Ministrave”, i ndryshuar, për të pasqyruar listën e kritereve për përzgjedhjen e akteve </w:t>
      </w:r>
      <w:r w:rsidR="00472184" w:rsidRPr="00641640">
        <w:rPr>
          <w:rFonts w:ascii="Times New Roman" w:hAnsi="Times New Roman" w:cs="Times New Roman"/>
          <w:noProof/>
          <w:sz w:val="24"/>
          <w:szCs w:val="24"/>
          <w:lang w:val="sq-AL"/>
        </w:rPr>
        <w:lastRenderedPageBreak/>
        <w:t>nënligjore që do t’i nënshtrohen procesit RIA, bazuar në praktikat më të mira ndërkombëtare</w:t>
      </w:r>
      <w:r w:rsidR="00075C0F" w:rsidRPr="00641640">
        <w:rPr>
          <w:rFonts w:ascii="Times New Roman" w:hAnsi="Times New Roman" w:cs="Times New Roman"/>
          <w:noProof/>
          <w:sz w:val="24"/>
          <w:szCs w:val="24"/>
          <w:lang w:val="sq-AL"/>
        </w:rPr>
        <w:t>;</w:t>
      </w:r>
      <w:r w:rsidR="003C6B86" w:rsidRPr="00641640">
        <w:rPr>
          <w:rFonts w:ascii="Times New Roman" w:hAnsi="Times New Roman" w:cs="Times New Roman"/>
          <w:noProof/>
          <w:sz w:val="24"/>
          <w:szCs w:val="24"/>
          <w:lang w:val="sq-AL"/>
        </w:rPr>
        <w:t xml:space="preserve"> (ii) m</w:t>
      </w:r>
      <w:r w:rsidR="002D2D3D" w:rsidRPr="00641640">
        <w:rPr>
          <w:rFonts w:ascii="Times New Roman" w:hAnsi="Times New Roman" w:cs="Times New Roman"/>
          <w:noProof/>
          <w:sz w:val="24"/>
          <w:szCs w:val="24"/>
          <w:lang w:val="sq-AL"/>
        </w:rPr>
        <w:t>etodologji</w:t>
      </w:r>
      <w:r w:rsidR="003C6B86" w:rsidRPr="00641640">
        <w:rPr>
          <w:rFonts w:ascii="Times New Roman" w:hAnsi="Times New Roman" w:cs="Times New Roman"/>
          <w:noProof/>
          <w:sz w:val="24"/>
          <w:szCs w:val="24"/>
          <w:lang w:val="sq-AL"/>
        </w:rPr>
        <w:t>së</w:t>
      </w:r>
      <w:r w:rsidR="002D2D3D" w:rsidRPr="00641640">
        <w:rPr>
          <w:rFonts w:ascii="Times New Roman" w:hAnsi="Times New Roman" w:cs="Times New Roman"/>
          <w:noProof/>
          <w:sz w:val="24"/>
          <w:szCs w:val="24"/>
          <w:lang w:val="sq-AL"/>
        </w:rPr>
        <w:t xml:space="preserve"> për kryerjen e procesit RIA </w:t>
      </w:r>
      <w:r w:rsidR="00810D12" w:rsidRPr="00641640">
        <w:rPr>
          <w:rFonts w:ascii="Times New Roman" w:hAnsi="Times New Roman" w:cs="Times New Roman"/>
          <w:noProof/>
          <w:sz w:val="24"/>
          <w:szCs w:val="24"/>
          <w:lang w:val="sq-AL"/>
        </w:rPr>
        <w:t>të</w:t>
      </w:r>
      <w:r w:rsidR="002D2D3D" w:rsidRPr="00641640">
        <w:rPr>
          <w:rFonts w:ascii="Times New Roman" w:hAnsi="Times New Roman" w:cs="Times New Roman"/>
          <w:noProof/>
          <w:sz w:val="24"/>
          <w:szCs w:val="24"/>
          <w:lang w:val="sq-AL"/>
        </w:rPr>
        <w:t xml:space="preserve"> përditësuar me listën e kritereve për aktet nënligjore që do t’i nënshtrohen procesit RIA</w:t>
      </w:r>
      <w:r w:rsidR="00075C0F" w:rsidRPr="00641640">
        <w:rPr>
          <w:rFonts w:ascii="Times New Roman" w:hAnsi="Times New Roman" w:cs="Times New Roman"/>
          <w:noProof/>
          <w:sz w:val="24"/>
          <w:szCs w:val="24"/>
          <w:lang w:val="sq-AL"/>
        </w:rPr>
        <w:t>;</w:t>
      </w:r>
    </w:p>
    <w:p w14:paraId="3B105E44" w14:textId="18B9EE32" w:rsidR="00075C0F" w:rsidRPr="00641640" w:rsidRDefault="00075C0F" w:rsidP="00F863ED">
      <w:pPr>
        <w:pStyle w:val="ListParagraph"/>
        <w:numPr>
          <w:ilvl w:val="0"/>
          <w:numId w:val="5"/>
        </w:num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 xml:space="preserve">Forcimi i kapaciteteve administrative </w:t>
      </w:r>
      <w:r w:rsidRPr="00641640">
        <w:rPr>
          <w:rFonts w:ascii="Times New Roman" w:hAnsi="Times New Roman" w:cs="Times New Roman"/>
          <w:bCs/>
          <w:noProof/>
          <w:sz w:val="24"/>
          <w:szCs w:val="24"/>
          <w:lang w:val="sq-AL"/>
        </w:rPr>
        <w:t xml:space="preserve">për nëpunësit publikë </w:t>
      </w:r>
      <w:r w:rsidRPr="00641640">
        <w:rPr>
          <w:rFonts w:ascii="Times New Roman" w:hAnsi="Times New Roman" w:cs="Times New Roman"/>
          <w:noProof/>
          <w:sz w:val="24"/>
          <w:szCs w:val="24"/>
          <w:lang w:val="sq-AL"/>
        </w:rPr>
        <w:t xml:space="preserve">mbi </w:t>
      </w:r>
      <w:r w:rsidR="0030062F" w:rsidRPr="00641640">
        <w:rPr>
          <w:rFonts w:ascii="Times New Roman" w:hAnsi="Times New Roman" w:cs="Times New Roman"/>
          <w:noProof/>
          <w:sz w:val="24"/>
          <w:szCs w:val="24"/>
          <w:lang w:val="sq-AL"/>
        </w:rPr>
        <w:t xml:space="preserve">procesin RIA </w:t>
      </w:r>
      <w:r w:rsidR="00383D04" w:rsidRPr="00641640">
        <w:rPr>
          <w:rFonts w:ascii="Times New Roman" w:hAnsi="Times New Roman" w:cs="Times New Roman"/>
          <w:noProof/>
          <w:sz w:val="24"/>
          <w:szCs w:val="24"/>
          <w:lang w:val="sq-AL"/>
        </w:rPr>
        <w:t>p</w:t>
      </w:r>
      <w:r w:rsidR="002E3D0C" w:rsidRPr="00641640">
        <w:rPr>
          <w:rFonts w:ascii="Times New Roman" w:hAnsi="Times New Roman" w:cs="Times New Roman"/>
          <w:noProof/>
          <w:sz w:val="24"/>
          <w:szCs w:val="24"/>
          <w:lang w:val="sq-AL"/>
        </w:rPr>
        <w:t>ë</w:t>
      </w:r>
      <w:r w:rsidR="00383D04" w:rsidRPr="00641640">
        <w:rPr>
          <w:rFonts w:ascii="Times New Roman" w:hAnsi="Times New Roman" w:cs="Times New Roman"/>
          <w:noProof/>
          <w:sz w:val="24"/>
          <w:szCs w:val="24"/>
          <w:lang w:val="sq-AL"/>
        </w:rPr>
        <w:t>r</w:t>
      </w:r>
      <w:r w:rsidRPr="00641640">
        <w:rPr>
          <w:rFonts w:ascii="Times New Roman" w:hAnsi="Times New Roman" w:cs="Times New Roman"/>
          <w:noProof/>
          <w:sz w:val="24"/>
          <w:szCs w:val="24"/>
          <w:lang w:val="sq-AL"/>
        </w:rPr>
        <w:t xml:space="preserve"> legjislacionin dytësor</w:t>
      </w:r>
      <w:r w:rsidR="00810D12" w:rsidRPr="00641640">
        <w:rPr>
          <w:rFonts w:ascii="Times New Roman" w:hAnsi="Times New Roman" w:cs="Times New Roman"/>
          <w:noProof/>
          <w:sz w:val="24"/>
          <w:szCs w:val="24"/>
          <w:lang w:val="sq-AL"/>
        </w:rPr>
        <w:t>.</w:t>
      </w:r>
    </w:p>
    <w:p w14:paraId="7D535610" w14:textId="3C36BDDF" w:rsidR="00E613C9" w:rsidRPr="00641640" w:rsidRDefault="00EC0B3D" w:rsidP="00F863ED">
      <w:pPr>
        <w:spacing w:after="0" w:line="276" w:lineRule="auto"/>
        <w:jc w:val="both"/>
        <w:rPr>
          <w:rFonts w:ascii="Times New Roman" w:hAnsi="Times New Roman" w:cs="Times New Roman"/>
          <w:bCs/>
          <w:noProof/>
          <w:sz w:val="24"/>
          <w:szCs w:val="24"/>
          <w:lang w:val="sq-AL"/>
        </w:rPr>
      </w:pPr>
      <w:r w:rsidRPr="00641640">
        <w:rPr>
          <w:rFonts w:ascii="Times New Roman" w:hAnsi="Times New Roman" w:cs="Times New Roman"/>
          <w:b/>
          <w:bCs/>
          <w:noProof/>
          <w:sz w:val="24"/>
          <w:szCs w:val="24"/>
          <w:lang w:val="sq-AL"/>
        </w:rPr>
        <w:t xml:space="preserve">Rezultati </w:t>
      </w:r>
      <w:r w:rsidR="00F9784F" w:rsidRPr="00641640">
        <w:rPr>
          <w:rFonts w:ascii="Times New Roman" w:hAnsi="Times New Roman" w:cs="Times New Roman"/>
          <w:b/>
          <w:bCs/>
          <w:noProof/>
          <w:sz w:val="24"/>
          <w:szCs w:val="24"/>
          <w:lang w:val="sq-AL"/>
        </w:rPr>
        <w:t>6</w:t>
      </w:r>
      <w:r w:rsidRPr="00641640">
        <w:rPr>
          <w:rFonts w:ascii="Times New Roman" w:hAnsi="Times New Roman" w:cs="Times New Roman"/>
          <w:b/>
          <w:bCs/>
          <w:noProof/>
          <w:sz w:val="24"/>
          <w:szCs w:val="24"/>
          <w:lang w:val="sq-AL"/>
        </w:rPr>
        <w:t>:</w:t>
      </w:r>
      <w:r w:rsidRPr="00641640">
        <w:rPr>
          <w:rFonts w:ascii="Times New Roman" w:hAnsi="Times New Roman" w:cs="Times New Roman"/>
          <w:noProof/>
          <w:sz w:val="24"/>
          <w:szCs w:val="24"/>
          <w:lang w:val="sq-AL"/>
        </w:rPr>
        <w:t xml:space="preserve"> </w:t>
      </w:r>
      <w:r w:rsidR="00E613C9" w:rsidRPr="00641640">
        <w:rPr>
          <w:rFonts w:ascii="Times New Roman" w:hAnsi="Times New Roman" w:cs="Times New Roman"/>
          <w:bCs/>
          <w:noProof/>
          <w:sz w:val="24"/>
          <w:szCs w:val="24"/>
          <w:lang w:val="sq-AL"/>
        </w:rPr>
        <w:t>Harmonizimi i procesit të Vlerësimit të Ndikimit Rregullator me procesin e konsultimit publik</w:t>
      </w:r>
      <w:r w:rsidR="00277367" w:rsidRPr="00641640">
        <w:rPr>
          <w:rFonts w:ascii="Times New Roman" w:hAnsi="Times New Roman" w:cs="Times New Roman"/>
          <w:bCs/>
          <w:noProof/>
          <w:sz w:val="24"/>
          <w:szCs w:val="24"/>
          <w:lang w:val="sq-AL"/>
        </w:rPr>
        <w:t>, duke synuar:</w:t>
      </w:r>
    </w:p>
    <w:p w14:paraId="6C7AF221" w14:textId="07B6DD03" w:rsidR="00277367" w:rsidRPr="00641640" w:rsidRDefault="00BF20CD" w:rsidP="00F863ED">
      <w:pPr>
        <w:pStyle w:val="ListParagraph"/>
        <w:numPr>
          <w:ilvl w:val="0"/>
          <w:numId w:val="5"/>
        </w:numPr>
        <w:spacing w:line="276" w:lineRule="auto"/>
        <w:jc w:val="both"/>
        <w:rPr>
          <w:rFonts w:ascii="Times New Roman" w:hAnsi="Times New Roman" w:cs="Times New Roman"/>
          <w:noProof/>
          <w:sz w:val="24"/>
          <w:szCs w:val="24"/>
          <w:lang w:val="sq-AL"/>
        </w:rPr>
      </w:pPr>
      <w:r w:rsidRPr="00641640">
        <w:rPr>
          <w:rFonts w:ascii="Times New Roman" w:eastAsiaTheme="minorHAnsi" w:hAnsi="Times New Roman" w:cs="Times New Roman"/>
          <w:bCs/>
          <w:noProof/>
          <w:sz w:val="24"/>
          <w:szCs w:val="24"/>
          <w:lang w:val="sq-AL"/>
        </w:rPr>
        <w:t>P</w:t>
      </w:r>
      <w:r w:rsidR="002E3D0C" w:rsidRPr="00641640">
        <w:rPr>
          <w:rFonts w:ascii="Times New Roman" w:eastAsiaTheme="minorHAnsi" w:hAnsi="Times New Roman" w:cs="Times New Roman"/>
          <w:bCs/>
          <w:noProof/>
          <w:sz w:val="24"/>
          <w:szCs w:val="24"/>
          <w:lang w:val="sq-AL"/>
        </w:rPr>
        <w:t>ë</w:t>
      </w:r>
      <w:r w:rsidRPr="00641640">
        <w:rPr>
          <w:rFonts w:ascii="Times New Roman" w:eastAsiaTheme="minorHAnsi" w:hAnsi="Times New Roman" w:cs="Times New Roman"/>
          <w:bCs/>
          <w:noProof/>
          <w:sz w:val="24"/>
          <w:szCs w:val="24"/>
          <w:lang w:val="sq-AL"/>
        </w:rPr>
        <w:t>rmir</w:t>
      </w:r>
      <w:r w:rsidR="002E3D0C" w:rsidRPr="00641640">
        <w:rPr>
          <w:rFonts w:ascii="Times New Roman" w:eastAsiaTheme="minorHAnsi" w:hAnsi="Times New Roman" w:cs="Times New Roman"/>
          <w:bCs/>
          <w:noProof/>
          <w:sz w:val="24"/>
          <w:szCs w:val="24"/>
          <w:lang w:val="sq-AL"/>
        </w:rPr>
        <w:t>ë</w:t>
      </w:r>
      <w:r w:rsidRPr="00641640">
        <w:rPr>
          <w:rFonts w:ascii="Times New Roman" w:eastAsiaTheme="minorHAnsi" w:hAnsi="Times New Roman" w:cs="Times New Roman"/>
          <w:bCs/>
          <w:noProof/>
          <w:sz w:val="24"/>
          <w:szCs w:val="24"/>
          <w:lang w:val="sq-AL"/>
        </w:rPr>
        <w:t xml:space="preserve">simin e </w:t>
      </w:r>
      <w:r w:rsidR="00810D12" w:rsidRPr="00641640">
        <w:rPr>
          <w:rFonts w:ascii="Times New Roman" w:eastAsiaTheme="minorHAnsi" w:hAnsi="Times New Roman" w:cs="Times New Roman"/>
          <w:bCs/>
          <w:noProof/>
          <w:sz w:val="24"/>
          <w:szCs w:val="24"/>
          <w:lang w:val="sq-AL"/>
        </w:rPr>
        <w:t>u</w:t>
      </w:r>
      <w:r w:rsidR="002C0424" w:rsidRPr="00641640">
        <w:rPr>
          <w:rFonts w:ascii="Times New Roman" w:eastAsiaTheme="minorHAnsi" w:hAnsi="Times New Roman" w:cs="Times New Roman"/>
          <w:bCs/>
          <w:noProof/>
          <w:sz w:val="24"/>
          <w:szCs w:val="24"/>
          <w:lang w:val="sq-AL"/>
        </w:rPr>
        <w:t>dhëzime</w:t>
      </w:r>
      <w:r w:rsidRPr="00641640">
        <w:rPr>
          <w:rFonts w:ascii="Times New Roman" w:eastAsiaTheme="minorHAnsi" w:hAnsi="Times New Roman" w:cs="Times New Roman"/>
          <w:bCs/>
          <w:noProof/>
          <w:sz w:val="24"/>
          <w:szCs w:val="24"/>
          <w:lang w:val="sq-AL"/>
        </w:rPr>
        <w:t xml:space="preserve">ve </w:t>
      </w:r>
      <w:r w:rsidR="002C0424" w:rsidRPr="00641640">
        <w:rPr>
          <w:rFonts w:ascii="Times New Roman" w:eastAsiaTheme="minorHAnsi" w:hAnsi="Times New Roman" w:cs="Times New Roman"/>
          <w:noProof/>
          <w:sz w:val="24"/>
          <w:szCs w:val="24"/>
          <w:lang w:val="sq-AL"/>
        </w:rPr>
        <w:t>për integrimin e konsultimit publik në procesin RIA</w:t>
      </w:r>
      <w:r w:rsidR="003848B8" w:rsidRPr="00641640">
        <w:rPr>
          <w:rFonts w:ascii="Times New Roman" w:eastAsiaTheme="minorHAnsi" w:hAnsi="Times New Roman" w:cs="Times New Roman"/>
          <w:noProof/>
          <w:sz w:val="24"/>
          <w:szCs w:val="24"/>
          <w:lang w:val="sq-AL"/>
        </w:rPr>
        <w:t>;</w:t>
      </w:r>
    </w:p>
    <w:p w14:paraId="4C47F47E" w14:textId="52F6DA1E" w:rsidR="007D6FFB" w:rsidRPr="00641640" w:rsidRDefault="00BE41D4" w:rsidP="00F863ED">
      <w:pPr>
        <w:pStyle w:val="ListParagraph"/>
        <w:numPr>
          <w:ilvl w:val="0"/>
          <w:numId w:val="5"/>
        </w:numPr>
        <w:spacing w:line="276" w:lineRule="auto"/>
        <w:jc w:val="both"/>
        <w:rPr>
          <w:rFonts w:ascii="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Forcimi</w:t>
      </w:r>
      <w:r w:rsidR="00BF20CD" w:rsidRPr="00641640">
        <w:rPr>
          <w:rFonts w:ascii="Times New Roman" w:eastAsia="Times New Roman" w:hAnsi="Times New Roman" w:cs="Times New Roman"/>
          <w:noProof/>
          <w:sz w:val="24"/>
          <w:szCs w:val="24"/>
          <w:lang w:val="sq-AL"/>
        </w:rPr>
        <w:t>n e</w:t>
      </w:r>
      <w:r w:rsidRPr="00641640">
        <w:rPr>
          <w:rFonts w:ascii="Times New Roman" w:eastAsia="Times New Roman" w:hAnsi="Times New Roman" w:cs="Times New Roman"/>
          <w:noProof/>
          <w:sz w:val="24"/>
          <w:szCs w:val="24"/>
          <w:lang w:val="sq-AL"/>
        </w:rPr>
        <w:t xml:space="preserve"> kapaciteteve t</w:t>
      </w:r>
      <w:r w:rsidR="002E3D0C"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 xml:space="preserve"> n</w:t>
      </w:r>
      <w:r w:rsidR="002E3D0C"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pun</w:t>
      </w:r>
      <w:r w:rsidR="002E3D0C"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sve publik</w:t>
      </w:r>
      <w:r w:rsidR="002E3D0C"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 xml:space="preserve"> mbi procesin RIA</w:t>
      </w:r>
      <w:r w:rsidR="0055039D" w:rsidRPr="00641640">
        <w:rPr>
          <w:rFonts w:ascii="Times New Roman" w:eastAsia="Times New Roman" w:hAnsi="Times New Roman" w:cs="Times New Roman"/>
          <w:noProof/>
          <w:sz w:val="24"/>
          <w:szCs w:val="24"/>
          <w:lang w:val="sq-AL"/>
        </w:rPr>
        <w:t>;</w:t>
      </w:r>
    </w:p>
    <w:p w14:paraId="5E31EF06" w14:textId="0D93D777" w:rsidR="00C37B99" w:rsidRPr="00641640" w:rsidRDefault="00E30C4B" w:rsidP="00F863ED">
      <w:pPr>
        <w:pStyle w:val="ListParagraph"/>
        <w:numPr>
          <w:ilvl w:val="0"/>
          <w:numId w:val="5"/>
        </w:num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Publikimi</w:t>
      </w:r>
      <w:r w:rsidR="00BF20CD" w:rsidRPr="00641640">
        <w:rPr>
          <w:rFonts w:ascii="Times New Roman" w:hAnsi="Times New Roman" w:cs="Times New Roman"/>
          <w:noProof/>
          <w:sz w:val="24"/>
          <w:szCs w:val="24"/>
          <w:lang w:val="sq-AL"/>
        </w:rPr>
        <w:t>n e</w:t>
      </w:r>
      <w:r w:rsidRPr="00641640">
        <w:rPr>
          <w:rFonts w:ascii="Times New Roman" w:hAnsi="Times New Roman" w:cs="Times New Roman"/>
          <w:noProof/>
          <w:sz w:val="24"/>
          <w:szCs w:val="24"/>
          <w:lang w:val="sq-AL"/>
        </w:rPr>
        <w:t xml:space="preserve"> </w:t>
      </w:r>
      <w:r w:rsidR="00281864" w:rsidRPr="00641640">
        <w:rPr>
          <w:rFonts w:ascii="Times New Roman" w:hAnsi="Times New Roman" w:cs="Times New Roman"/>
          <w:noProof/>
          <w:sz w:val="24"/>
          <w:szCs w:val="24"/>
          <w:lang w:val="sq-AL"/>
        </w:rPr>
        <w:t>t</w:t>
      </w:r>
      <w:r w:rsidR="002E3D0C" w:rsidRPr="00641640">
        <w:rPr>
          <w:rFonts w:ascii="Times New Roman" w:hAnsi="Times New Roman" w:cs="Times New Roman"/>
          <w:noProof/>
          <w:sz w:val="24"/>
          <w:szCs w:val="24"/>
          <w:lang w:val="sq-AL"/>
        </w:rPr>
        <w:t>ë</w:t>
      </w:r>
      <w:r w:rsidR="00281864" w:rsidRPr="00641640">
        <w:rPr>
          <w:rFonts w:ascii="Times New Roman" w:hAnsi="Times New Roman" w:cs="Times New Roman"/>
          <w:noProof/>
          <w:sz w:val="24"/>
          <w:szCs w:val="24"/>
          <w:lang w:val="sq-AL"/>
        </w:rPr>
        <w:t xml:space="preserve"> gjith</w:t>
      </w:r>
      <w:r w:rsidRPr="00641640">
        <w:rPr>
          <w:rFonts w:ascii="Times New Roman" w:hAnsi="Times New Roman" w:cs="Times New Roman"/>
          <w:noProof/>
          <w:sz w:val="24"/>
          <w:szCs w:val="24"/>
          <w:lang w:val="sq-AL"/>
        </w:rPr>
        <w:t>a</w:t>
      </w:r>
      <w:r w:rsidR="00281864" w:rsidRPr="00641640">
        <w:rPr>
          <w:rFonts w:ascii="Times New Roman" w:hAnsi="Times New Roman" w:cs="Times New Roman"/>
          <w:noProof/>
          <w:sz w:val="24"/>
          <w:szCs w:val="24"/>
          <w:lang w:val="sq-AL"/>
        </w:rPr>
        <w:t xml:space="preserve"> </w:t>
      </w:r>
      <w:r w:rsidRPr="00641640">
        <w:rPr>
          <w:rFonts w:ascii="Times New Roman" w:eastAsiaTheme="minorHAnsi" w:hAnsi="Times New Roman" w:cs="Times New Roman"/>
          <w:noProof/>
          <w:sz w:val="24"/>
          <w:szCs w:val="24"/>
          <w:lang w:val="sq-AL"/>
        </w:rPr>
        <w:t>draft raporteve RIA në RENJKP përpara finalizimit</w:t>
      </w:r>
      <w:r w:rsidR="00D94391" w:rsidRPr="00641640">
        <w:rPr>
          <w:rFonts w:ascii="Times New Roman" w:eastAsiaTheme="minorHAnsi" w:hAnsi="Times New Roman" w:cs="Times New Roman"/>
          <w:noProof/>
          <w:sz w:val="24"/>
          <w:szCs w:val="24"/>
          <w:lang w:val="sq-AL"/>
        </w:rPr>
        <w:t>,</w:t>
      </w:r>
      <w:r w:rsidRPr="00641640">
        <w:rPr>
          <w:rFonts w:ascii="Times New Roman" w:eastAsiaTheme="minorHAnsi" w:hAnsi="Times New Roman" w:cs="Times New Roman"/>
          <w:noProof/>
          <w:sz w:val="24"/>
          <w:szCs w:val="24"/>
          <w:lang w:val="sq-AL"/>
        </w:rPr>
        <w:t xml:space="preserve"> brenda vitit 2030</w:t>
      </w:r>
      <w:r w:rsidR="0055039D" w:rsidRPr="00641640">
        <w:rPr>
          <w:rFonts w:ascii="Times New Roman" w:eastAsiaTheme="minorHAnsi" w:hAnsi="Times New Roman" w:cs="Times New Roman"/>
          <w:noProof/>
          <w:sz w:val="24"/>
          <w:szCs w:val="24"/>
          <w:lang w:val="sq-AL"/>
        </w:rPr>
        <w:t>;</w:t>
      </w:r>
    </w:p>
    <w:p w14:paraId="1FC9AAC3" w14:textId="60FDC547" w:rsidR="001B28CC" w:rsidRPr="00641640" w:rsidRDefault="009D301C" w:rsidP="00F863ED">
      <w:pPr>
        <w:spacing w:after="0" w:line="276" w:lineRule="auto"/>
        <w:jc w:val="both"/>
        <w:rPr>
          <w:rFonts w:ascii="Times New Roman" w:hAnsi="Times New Roman" w:cs="Times New Roman"/>
          <w:noProof/>
          <w:sz w:val="24"/>
          <w:szCs w:val="24"/>
          <w:lang w:val="sq-AL"/>
        </w:rPr>
      </w:pPr>
      <w:r w:rsidRPr="00641640">
        <w:rPr>
          <w:rFonts w:ascii="Times New Roman" w:hAnsi="Times New Roman" w:cs="Times New Roman"/>
          <w:b/>
          <w:bCs/>
          <w:noProof/>
          <w:sz w:val="24"/>
          <w:szCs w:val="24"/>
          <w:lang w:val="sq-AL"/>
        </w:rPr>
        <w:t xml:space="preserve">Rezultati </w:t>
      </w:r>
      <w:r w:rsidR="005927EE" w:rsidRPr="00641640">
        <w:rPr>
          <w:rFonts w:ascii="Times New Roman" w:hAnsi="Times New Roman" w:cs="Times New Roman"/>
          <w:b/>
          <w:bCs/>
          <w:noProof/>
          <w:sz w:val="24"/>
          <w:szCs w:val="24"/>
          <w:lang w:val="sq-AL"/>
        </w:rPr>
        <w:t>7</w:t>
      </w:r>
      <w:r w:rsidRPr="00641640">
        <w:rPr>
          <w:rFonts w:ascii="Times New Roman" w:hAnsi="Times New Roman" w:cs="Times New Roman"/>
          <w:b/>
          <w:bCs/>
          <w:noProof/>
          <w:sz w:val="24"/>
          <w:szCs w:val="24"/>
          <w:lang w:val="sq-AL"/>
        </w:rPr>
        <w:t xml:space="preserve">: </w:t>
      </w:r>
      <w:r w:rsidRPr="00641640">
        <w:rPr>
          <w:rFonts w:ascii="Times New Roman" w:hAnsi="Times New Roman" w:cs="Times New Roman"/>
          <w:bCs/>
          <w:noProof/>
          <w:sz w:val="24"/>
          <w:szCs w:val="24"/>
          <w:lang w:val="sq-AL"/>
        </w:rPr>
        <w:t>Përmirësimi i procesit të konsultimit publik, përmes</w:t>
      </w:r>
      <w:r w:rsidR="001B28CC" w:rsidRPr="00641640">
        <w:rPr>
          <w:rFonts w:ascii="Times New Roman" w:hAnsi="Times New Roman" w:cs="Times New Roman"/>
          <w:bCs/>
          <w:noProof/>
          <w:sz w:val="24"/>
          <w:szCs w:val="24"/>
          <w:lang w:val="sq-AL"/>
        </w:rPr>
        <w:t>:</w:t>
      </w:r>
    </w:p>
    <w:p w14:paraId="74E4A6C7" w14:textId="77777777" w:rsidR="00695138" w:rsidRPr="00641640" w:rsidRDefault="0091202D" w:rsidP="00F863ED">
      <w:pPr>
        <w:pStyle w:val="ListParagraph"/>
        <w:numPr>
          <w:ilvl w:val="0"/>
          <w:numId w:val="5"/>
        </w:num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heme="minorHAnsi" w:hAnsi="Times New Roman" w:cs="Times New Roman"/>
          <w:bCs/>
          <w:noProof/>
          <w:sz w:val="24"/>
          <w:szCs w:val="24"/>
          <w:lang w:val="sq-AL"/>
        </w:rPr>
        <w:t>100% e akteve të miratuara në Këshillin e Ministrave, objekt i ligjit për konsultimin publik, të publikuara në RENJKP</w:t>
      </w:r>
      <w:r w:rsidR="00695138" w:rsidRPr="00641640">
        <w:rPr>
          <w:rFonts w:ascii="Times New Roman" w:eastAsiaTheme="minorHAnsi" w:hAnsi="Times New Roman" w:cs="Times New Roman"/>
          <w:bCs/>
          <w:noProof/>
          <w:sz w:val="24"/>
          <w:szCs w:val="24"/>
          <w:lang w:val="sq-AL"/>
        </w:rPr>
        <w:t>;</w:t>
      </w:r>
    </w:p>
    <w:p w14:paraId="57EBBC7D" w14:textId="26B548C7" w:rsidR="002A75D6" w:rsidRPr="00641640" w:rsidRDefault="00695138" w:rsidP="00F863ED">
      <w:pPr>
        <w:pStyle w:val="ListParagraph"/>
        <w:numPr>
          <w:ilvl w:val="0"/>
          <w:numId w:val="5"/>
        </w:num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heme="minorHAnsi" w:hAnsi="Times New Roman" w:cs="Times New Roman"/>
          <w:bCs/>
          <w:noProof/>
          <w:sz w:val="24"/>
          <w:szCs w:val="24"/>
          <w:lang w:val="sq-AL"/>
        </w:rPr>
        <w:t>100% e raporteve individuale të konsultimit publik të publikuara në RENJKP</w:t>
      </w:r>
      <w:r w:rsidR="000B79A1" w:rsidRPr="00641640">
        <w:rPr>
          <w:rFonts w:ascii="Times New Roman" w:eastAsiaTheme="minorHAnsi" w:hAnsi="Times New Roman" w:cs="Times New Roman"/>
          <w:bCs/>
          <w:noProof/>
          <w:sz w:val="24"/>
          <w:szCs w:val="24"/>
          <w:lang w:val="sq-AL"/>
        </w:rPr>
        <w:t>;</w:t>
      </w:r>
    </w:p>
    <w:p w14:paraId="48BF9DA4" w14:textId="41AEECFD" w:rsidR="002A75D6" w:rsidRPr="00641640" w:rsidRDefault="002A75D6" w:rsidP="00F863ED">
      <w:pPr>
        <w:pStyle w:val="ListParagraph"/>
        <w:numPr>
          <w:ilvl w:val="0"/>
          <w:numId w:val="5"/>
        </w:num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heme="minorHAnsi" w:hAnsi="Times New Roman" w:cs="Times New Roman"/>
          <w:bCs/>
          <w:noProof/>
          <w:sz w:val="24"/>
          <w:szCs w:val="24"/>
          <w:lang w:val="sq-AL"/>
        </w:rPr>
        <w:t>100% e projektakteve të publikuara në RENJKP në respektim të afatit ligjor të konsultimit publik</w:t>
      </w:r>
      <w:r w:rsidR="000B79A1" w:rsidRPr="00641640">
        <w:rPr>
          <w:rFonts w:ascii="Times New Roman" w:eastAsiaTheme="minorHAnsi" w:hAnsi="Times New Roman" w:cs="Times New Roman"/>
          <w:bCs/>
          <w:noProof/>
          <w:sz w:val="24"/>
          <w:szCs w:val="24"/>
          <w:lang w:val="sq-AL"/>
        </w:rPr>
        <w:t>;</w:t>
      </w:r>
    </w:p>
    <w:p w14:paraId="559B7AB7" w14:textId="6EC684B1" w:rsidR="002A75D6" w:rsidRPr="00641640" w:rsidRDefault="003171A0" w:rsidP="00F863ED">
      <w:pPr>
        <w:pStyle w:val="ListParagraph"/>
        <w:numPr>
          <w:ilvl w:val="0"/>
          <w:numId w:val="5"/>
        </w:num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heme="minorHAnsi" w:hAnsi="Times New Roman" w:cs="Times New Roman"/>
          <w:bCs/>
          <w:noProof/>
          <w:sz w:val="24"/>
          <w:szCs w:val="24"/>
          <w:lang w:val="sq-AL"/>
        </w:rPr>
        <w:t>100% e raporteve insitucionale periodike të konsultimit publik të publikuara në RENJKP</w:t>
      </w:r>
      <w:r w:rsidR="000B79A1" w:rsidRPr="00641640">
        <w:rPr>
          <w:rFonts w:ascii="Times New Roman" w:eastAsiaTheme="minorHAnsi" w:hAnsi="Times New Roman" w:cs="Times New Roman"/>
          <w:bCs/>
          <w:noProof/>
          <w:sz w:val="24"/>
          <w:szCs w:val="24"/>
          <w:lang w:val="sq-AL"/>
        </w:rPr>
        <w:t>.</w:t>
      </w:r>
    </w:p>
    <w:p w14:paraId="52B03B70" w14:textId="6F6FE60B" w:rsidR="0027199E" w:rsidRPr="00641640" w:rsidRDefault="003C0782" w:rsidP="00F863ED">
      <w:pPr>
        <w:spacing w:after="0" w:line="276" w:lineRule="auto"/>
        <w:jc w:val="both"/>
        <w:rPr>
          <w:rFonts w:ascii="Times New Roman" w:hAnsi="Times New Roman" w:cs="Times New Roman"/>
          <w:noProof/>
          <w:sz w:val="24"/>
          <w:szCs w:val="24"/>
          <w:lang w:val="sq-AL"/>
        </w:rPr>
      </w:pPr>
      <w:r w:rsidRPr="00641640">
        <w:rPr>
          <w:rFonts w:ascii="Times New Roman" w:hAnsi="Times New Roman" w:cs="Times New Roman"/>
          <w:b/>
          <w:bCs/>
          <w:noProof/>
          <w:sz w:val="24"/>
          <w:szCs w:val="24"/>
          <w:lang w:val="sq-AL"/>
        </w:rPr>
        <w:t xml:space="preserve">Rezultati </w:t>
      </w:r>
      <w:r w:rsidR="005927EE" w:rsidRPr="00641640">
        <w:rPr>
          <w:rFonts w:ascii="Times New Roman" w:hAnsi="Times New Roman" w:cs="Times New Roman"/>
          <w:b/>
          <w:bCs/>
          <w:noProof/>
          <w:sz w:val="24"/>
          <w:szCs w:val="24"/>
          <w:lang w:val="sq-AL"/>
        </w:rPr>
        <w:t>8</w:t>
      </w:r>
      <w:r w:rsidRPr="00641640">
        <w:rPr>
          <w:rFonts w:ascii="Times New Roman" w:hAnsi="Times New Roman" w:cs="Times New Roman"/>
          <w:b/>
          <w:bCs/>
          <w:noProof/>
          <w:sz w:val="24"/>
          <w:szCs w:val="24"/>
          <w:lang w:val="sq-AL"/>
        </w:rPr>
        <w:t xml:space="preserve">: </w:t>
      </w:r>
      <w:r w:rsidR="00CF4712" w:rsidRPr="00641640">
        <w:rPr>
          <w:rFonts w:ascii="Times New Roman" w:hAnsi="Times New Roman" w:cs="Times New Roman"/>
          <w:noProof/>
          <w:sz w:val="24"/>
          <w:szCs w:val="24"/>
          <w:lang w:val="sq-AL"/>
        </w:rPr>
        <w:t>Zgjerimi i procesit të konsultimit publik tek aktet e legjislacionit dytësor me interes të lartë publik, duke synuar k</w:t>
      </w:r>
      <w:r w:rsidR="002E3D0C" w:rsidRPr="00641640">
        <w:rPr>
          <w:rFonts w:ascii="Times New Roman" w:hAnsi="Times New Roman" w:cs="Times New Roman"/>
          <w:noProof/>
          <w:sz w:val="24"/>
          <w:szCs w:val="24"/>
          <w:lang w:val="sq-AL"/>
        </w:rPr>
        <w:t>ë</w:t>
      </w:r>
      <w:r w:rsidR="00CF4712" w:rsidRPr="00641640">
        <w:rPr>
          <w:rFonts w:ascii="Times New Roman" w:hAnsi="Times New Roman" w:cs="Times New Roman"/>
          <w:noProof/>
          <w:sz w:val="24"/>
          <w:szCs w:val="24"/>
          <w:lang w:val="sq-AL"/>
        </w:rPr>
        <w:t>to rezultate:</w:t>
      </w:r>
    </w:p>
    <w:p w14:paraId="2436732C" w14:textId="7AA09750" w:rsidR="00CF4712" w:rsidRPr="00641640" w:rsidRDefault="00372331" w:rsidP="00F863ED">
      <w:pPr>
        <w:pStyle w:val="ListParagraph"/>
        <w:numPr>
          <w:ilvl w:val="0"/>
          <w:numId w:val="5"/>
        </w:numPr>
        <w:spacing w:after="0" w:line="276" w:lineRule="auto"/>
        <w:jc w:val="both"/>
        <w:rPr>
          <w:rFonts w:ascii="Times New Roman" w:hAnsi="Times New Roman" w:cs="Times New Roman"/>
          <w:bCs/>
          <w:noProof/>
          <w:sz w:val="24"/>
          <w:szCs w:val="24"/>
          <w:lang w:val="sq-AL"/>
        </w:rPr>
      </w:pPr>
      <w:r w:rsidRPr="00641640">
        <w:rPr>
          <w:rFonts w:ascii="Times New Roman" w:hAnsi="Times New Roman" w:cs="Times New Roman"/>
          <w:bCs/>
          <w:noProof/>
          <w:sz w:val="24"/>
          <w:szCs w:val="24"/>
          <w:lang w:val="sq-AL"/>
        </w:rPr>
        <w:t xml:space="preserve">Hartimi i </w:t>
      </w:r>
      <w:r w:rsidR="00D27EED" w:rsidRPr="00641640">
        <w:rPr>
          <w:rFonts w:ascii="Times New Roman" w:hAnsi="Times New Roman" w:cs="Times New Roman"/>
          <w:bCs/>
          <w:noProof/>
          <w:sz w:val="24"/>
          <w:szCs w:val="24"/>
          <w:lang w:val="sq-AL"/>
        </w:rPr>
        <w:t>“</w:t>
      </w:r>
      <w:r w:rsidRPr="00641640">
        <w:rPr>
          <w:rFonts w:ascii="Times New Roman" w:hAnsi="Times New Roman" w:cs="Times New Roman"/>
          <w:bCs/>
          <w:noProof/>
          <w:sz w:val="24"/>
          <w:szCs w:val="24"/>
          <w:lang w:val="sq-AL"/>
        </w:rPr>
        <w:t>Metodologjis</w:t>
      </w:r>
      <w:r w:rsidR="002E3D0C" w:rsidRPr="00641640">
        <w:rPr>
          <w:rFonts w:ascii="Times New Roman" w:hAnsi="Times New Roman" w:cs="Times New Roman"/>
          <w:bCs/>
          <w:noProof/>
          <w:sz w:val="24"/>
          <w:szCs w:val="24"/>
          <w:lang w:val="sq-AL"/>
        </w:rPr>
        <w:t>ë</w:t>
      </w:r>
      <w:r w:rsidR="00D27EED" w:rsidRPr="00641640">
        <w:rPr>
          <w:rFonts w:ascii="Times New Roman" w:hAnsi="Times New Roman" w:cs="Times New Roman"/>
          <w:bCs/>
          <w:noProof/>
          <w:sz w:val="24"/>
          <w:szCs w:val="24"/>
          <w:lang w:val="sq-AL"/>
        </w:rPr>
        <w:t>”</w:t>
      </w:r>
      <w:r w:rsidRPr="00641640">
        <w:rPr>
          <w:rFonts w:ascii="Times New Roman" w:hAnsi="Times New Roman" w:cs="Times New Roman"/>
          <w:bCs/>
          <w:noProof/>
          <w:sz w:val="24"/>
          <w:szCs w:val="24"/>
          <w:lang w:val="sq-AL"/>
        </w:rPr>
        <w:t xml:space="preserve"> për konsultimin publik e përditësuar me udhëzimet për kryerjen e procesit mbi aktet e legjislacionit dytësor me interes të lartë publik</w:t>
      </w:r>
      <w:r w:rsidR="000B79A1" w:rsidRPr="00641640">
        <w:rPr>
          <w:rFonts w:ascii="Times New Roman" w:hAnsi="Times New Roman" w:cs="Times New Roman"/>
          <w:bCs/>
          <w:noProof/>
          <w:sz w:val="24"/>
          <w:szCs w:val="24"/>
          <w:lang w:val="sq-AL"/>
        </w:rPr>
        <w:t>;</w:t>
      </w:r>
    </w:p>
    <w:p w14:paraId="154AD678" w14:textId="1F2B97A9" w:rsidR="000B79A1" w:rsidRPr="00641640" w:rsidRDefault="0050352C" w:rsidP="00F863ED">
      <w:pPr>
        <w:pStyle w:val="ListParagraph"/>
        <w:numPr>
          <w:ilvl w:val="0"/>
          <w:numId w:val="5"/>
        </w:numPr>
        <w:spacing w:after="0" w:line="276" w:lineRule="auto"/>
        <w:jc w:val="both"/>
        <w:rPr>
          <w:rFonts w:ascii="Times New Roman" w:hAnsi="Times New Roman" w:cs="Times New Roman"/>
          <w:bCs/>
          <w:noProof/>
          <w:sz w:val="24"/>
          <w:szCs w:val="24"/>
          <w:lang w:val="sq-AL"/>
        </w:rPr>
      </w:pPr>
      <w:r w:rsidRPr="00641640">
        <w:rPr>
          <w:rFonts w:ascii="Times New Roman" w:hAnsi="Times New Roman" w:cs="Times New Roman"/>
          <w:bCs/>
          <w:noProof/>
          <w:sz w:val="24"/>
          <w:szCs w:val="24"/>
          <w:lang w:val="sq-AL"/>
        </w:rPr>
        <w:t xml:space="preserve">Forcimi i kapaciteteve </w:t>
      </w:r>
      <w:r w:rsidR="00453C65" w:rsidRPr="00641640">
        <w:rPr>
          <w:rFonts w:ascii="Times New Roman" w:hAnsi="Times New Roman" w:cs="Times New Roman"/>
          <w:bCs/>
          <w:noProof/>
          <w:sz w:val="24"/>
          <w:szCs w:val="24"/>
          <w:lang w:val="sq-AL"/>
        </w:rPr>
        <w:t>p</w:t>
      </w:r>
      <w:r w:rsidR="002E3D0C" w:rsidRPr="00641640">
        <w:rPr>
          <w:rFonts w:ascii="Times New Roman" w:hAnsi="Times New Roman" w:cs="Times New Roman"/>
          <w:bCs/>
          <w:noProof/>
          <w:sz w:val="24"/>
          <w:szCs w:val="24"/>
          <w:lang w:val="sq-AL"/>
        </w:rPr>
        <w:t>ë</w:t>
      </w:r>
      <w:r w:rsidR="00453C65" w:rsidRPr="00641640">
        <w:rPr>
          <w:rFonts w:ascii="Times New Roman" w:hAnsi="Times New Roman" w:cs="Times New Roman"/>
          <w:bCs/>
          <w:noProof/>
          <w:sz w:val="24"/>
          <w:szCs w:val="24"/>
          <w:lang w:val="sq-AL"/>
        </w:rPr>
        <w:t xml:space="preserve">r zbatimin e </w:t>
      </w:r>
      <w:r w:rsidRPr="00641640">
        <w:rPr>
          <w:rFonts w:ascii="Times New Roman" w:hAnsi="Times New Roman" w:cs="Times New Roman"/>
          <w:bCs/>
          <w:noProof/>
          <w:sz w:val="24"/>
          <w:szCs w:val="24"/>
          <w:lang w:val="sq-AL"/>
        </w:rPr>
        <w:t>procesi</w:t>
      </w:r>
      <w:r w:rsidR="00453C65" w:rsidRPr="00641640">
        <w:rPr>
          <w:rFonts w:ascii="Times New Roman" w:hAnsi="Times New Roman" w:cs="Times New Roman"/>
          <w:bCs/>
          <w:noProof/>
          <w:sz w:val="24"/>
          <w:szCs w:val="24"/>
          <w:lang w:val="sq-AL"/>
        </w:rPr>
        <w:t>t t</w:t>
      </w:r>
      <w:r w:rsidR="002E3D0C" w:rsidRPr="00641640">
        <w:rPr>
          <w:rFonts w:ascii="Times New Roman" w:hAnsi="Times New Roman" w:cs="Times New Roman"/>
          <w:bCs/>
          <w:noProof/>
          <w:sz w:val="24"/>
          <w:szCs w:val="24"/>
          <w:lang w:val="sq-AL"/>
        </w:rPr>
        <w:t>ë</w:t>
      </w:r>
      <w:r w:rsidR="00453C65" w:rsidRPr="00641640">
        <w:rPr>
          <w:rFonts w:ascii="Times New Roman" w:hAnsi="Times New Roman" w:cs="Times New Roman"/>
          <w:bCs/>
          <w:noProof/>
          <w:sz w:val="24"/>
          <w:szCs w:val="24"/>
          <w:lang w:val="sq-AL"/>
        </w:rPr>
        <w:t xml:space="preserve"> </w:t>
      </w:r>
      <w:r w:rsidRPr="00641640">
        <w:rPr>
          <w:rFonts w:ascii="Times New Roman" w:hAnsi="Times New Roman" w:cs="Times New Roman"/>
          <w:bCs/>
          <w:noProof/>
          <w:sz w:val="24"/>
          <w:szCs w:val="24"/>
          <w:lang w:val="sq-AL"/>
        </w:rPr>
        <w:t>kosnsultimit publik</w:t>
      </w:r>
      <w:r w:rsidR="00453C65" w:rsidRPr="00641640">
        <w:rPr>
          <w:rFonts w:ascii="Times New Roman" w:hAnsi="Times New Roman" w:cs="Times New Roman"/>
          <w:bCs/>
          <w:noProof/>
          <w:sz w:val="24"/>
          <w:szCs w:val="24"/>
          <w:lang w:val="sq-AL"/>
        </w:rPr>
        <w:t xml:space="preserve"> mbi aktet e legjislacionit dytësor</w:t>
      </w:r>
      <w:r w:rsidR="00D27EED" w:rsidRPr="00641640">
        <w:rPr>
          <w:rFonts w:ascii="Times New Roman" w:hAnsi="Times New Roman" w:cs="Times New Roman"/>
          <w:bCs/>
          <w:noProof/>
          <w:sz w:val="24"/>
          <w:szCs w:val="24"/>
          <w:lang w:val="sq-AL"/>
        </w:rPr>
        <w:t>;</w:t>
      </w:r>
    </w:p>
    <w:p w14:paraId="46C557FD" w14:textId="5C00AD0E" w:rsidR="006C1FDB" w:rsidRPr="00641640" w:rsidRDefault="006C1FDB" w:rsidP="00F863ED">
      <w:pPr>
        <w:pStyle w:val="ListParagraph"/>
        <w:numPr>
          <w:ilvl w:val="0"/>
          <w:numId w:val="5"/>
        </w:numPr>
        <w:spacing w:after="0" w:line="276" w:lineRule="auto"/>
        <w:jc w:val="both"/>
        <w:rPr>
          <w:rFonts w:ascii="Times New Roman" w:hAnsi="Times New Roman" w:cs="Times New Roman"/>
          <w:bCs/>
          <w:noProof/>
          <w:sz w:val="24"/>
          <w:szCs w:val="24"/>
          <w:lang w:val="sq-AL"/>
        </w:rPr>
      </w:pPr>
      <w:r w:rsidRPr="00641640">
        <w:rPr>
          <w:rFonts w:ascii="Times New Roman" w:hAnsi="Times New Roman" w:cs="Times New Roman"/>
          <w:bCs/>
          <w:noProof/>
          <w:sz w:val="24"/>
          <w:szCs w:val="24"/>
          <w:lang w:val="sq-AL"/>
        </w:rPr>
        <w:t>Rritje periodike e projektakteve t</w:t>
      </w:r>
      <w:r w:rsidR="002E3D0C"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legjislacionit dyt</w:t>
      </w:r>
      <w:r w:rsidR="002E3D0C"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sor </w:t>
      </w:r>
      <w:r w:rsidR="001A6B4B" w:rsidRPr="00641640">
        <w:rPr>
          <w:rFonts w:ascii="Times New Roman" w:hAnsi="Times New Roman" w:cs="Times New Roman"/>
          <w:bCs/>
          <w:noProof/>
          <w:sz w:val="24"/>
          <w:szCs w:val="24"/>
          <w:lang w:val="sq-AL"/>
        </w:rPr>
        <w:t>t</w:t>
      </w:r>
      <w:r w:rsidR="002E3D0C" w:rsidRPr="00641640">
        <w:rPr>
          <w:rFonts w:ascii="Times New Roman" w:hAnsi="Times New Roman" w:cs="Times New Roman"/>
          <w:bCs/>
          <w:noProof/>
          <w:sz w:val="24"/>
          <w:szCs w:val="24"/>
          <w:lang w:val="sq-AL"/>
        </w:rPr>
        <w:t>ë</w:t>
      </w:r>
      <w:r w:rsidR="001A6B4B" w:rsidRPr="00641640">
        <w:rPr>
          <w:rFonts w:ascii="Times New Roman" w:hAnsi="Times New Roman" w:cs="Times New Roman"/>
          <w:bCs/>
          <w:noProof/>
          <w:sz w:val="24"/>
          <w:szCs w:val="24"/>
          <w:lang w:val="sq-AL"/>
        </w:rPr>
        <w:t xml:space="preserve"> konsultuara</w:t>
      </w:r>
      <w:r w:rsidR="00D27EED" w:rsidRPr="00641640">
        <w:rPr>
          <w:rFonts w:ascii="Times New Roman" w:hAnsi="Times New Roman" w:cs="Times New Roman"/>
          <w:bCs/>
          <w:noProof/>
          <w:sz w:val="24"/>
          <w:szCs w:val="24"/>
          <w:lang w:val="sq-AL"/>
        </w:rPr>
        <w:t>;</w:t>
      </w:r>
    </w:p>
    <w:p w14:paraId="0660BC5C" w14:textId="207B71D5" w:rsidR="001A6B4B" w:rsidRPr="00641640" w:rsidRDefault="00D27EED" w:rsidP="00F863ED">
      <w:pPr>
        <w:pStyle w:val="ListParagraph"/>
        <w:numPr>
          <w:ilvl w:val="0"/>
          <w:numId w:val="5"/>
        </w:numPr>
        <w:spacing w:after="0" w:line="276" w:lineRule="auto"/>
        <w:jc w:val="both"/>
        <w:rPr>
          <w:rFonts w:ascii="Times New Roman" w:hAnsi="Times New Roman" w:cs="Times New Roman"/>
          <w:bCs/>
          <w:noProof/>
          <w:sz w:val="24"/>
          <w:szCs w:val="24"/>
          <w:lang w:val="sq-AL"/>
        </w:rPr>
      </w:pPr>
      <w:r w:rsidRPr="00641640">
        <w:rPr>
          <w:rFonts w:ascii="Times New Roman" w:hAnsi="Times New Roman" w:cs="Times New Roman"/>
          <w:noProof/>
          <w:sz w:val="24"/>
          <w:szCs w:val="24"/>
          <w:lang w:val="sq-AL"/>
        </w:rPr>
        <w:t>Raporte monitorimi të orientuara drejt përmbajtjes dhe cilësisë, të përgatitura periodikisht nga njësia përgjegjëse e mbikëqyrjes, me synim vlerësimin e nevojave për trajnim mbi procesin për nëpunësit.</w:t>
      </w:r>
    </w:p>
    <w:p w14:paraId="47A1F858" w14:textId="77777777" w:rsidR="003F2199" w:rsidRPr="00641640" w:rsidRDefault="003F2199" w:rsidP="00F863ED">
      <w:pPr>
        <w:spacing w:after="0" w:line="276" w:lineRule="auto"/>
        <w:jc w:val="both"/>
        <w:rPr>
          <w:rFonts w:ascii="Times New Roman" w:hAnsi="Times New Roman" w:cs="Times New Roman"/>
          <w:b/>
          <w:bCs/>
          <w:noProof/>
          <w:sz w:val="24"/>
          <w:szCs w:val="24"/>
          <w:lang w:val="sq-AL"/>
        </w:rPr>
      </w:pPr>
    </w:p>
    <w:p w14:paraId="7D19FF97" w14:textId="4E0E3B4F" w:rsidR="00F02346" w:rsidRPr="00641640" w:rsidRDefault="003F2199" w:rsidP="00F863ED">
      <w:pPr>
        <w:spacing w:after="0" w:line="276" w:lineRule="auto"/>
        <w:jc w:val="both"/>
        <w:rPr>
          <w:rFonts w:ascii="Times New Roman" w:hAnsi="Times New Roman" w:cs="Times New Roman"/>
          <w:noProof/>
          <w:sz w:val="24"/>
          <w:szCs w:val="24"/>
          <w:lang w:val="sq-AL"/>
        </w:rPr>
      </w:pPr>
      <w:r w:rsidRPr="00641640">
        <w:rPr>
          <w:rFonts w:ascii="Times New Roman" w:hAnsi="Times New Roman" w:cs="Times New Roman"/>
          <w:b/>
          <w:bCs/>
          <w:noProof/>
          <w:sz w:val="24"/>
          <w:szCs w:val="24"/>
          <w:lang w:val="sq-AL"/>
        </w:rPr>
        <w:t xml:space="preserve">Rezultati </w:t>
      </w:r>
      <w:r w:rsidR="005927EE" w:rsidRPr="00641640">
        <w:rPr>
          <w:rFonts w:ascii="Times New Roman" w:hAnsi="Times New Roman" w:cs="Times New Roman"/>
          <w:b/>
          <w:bCs/>
          <w:noProof/>
          <w:sz w:val="24"/>
          <w:szCs w:val="24"/>
          <w:lang w:val="sq-AL"/>
        </w:rPr>
        <w:t>9</w:t>
      </w:r>
      <w:r w:rsidRPr="00641640">
        <w:rPr>
          <w:rFonts w:ascii="Times New Roman" w:hAnsi="Times New Roman" w:cs="Times New Roman"/>
          <w:b/>
          <w:bCs/>
          <w:noProof/>
          <w:sz w:val="24"/>
          <w:szCs w:val="24"/>
          <w:lang w:val="sq-AL"/>
        </w:rPr>
        <w:t xml:space="preserve">: </w:t>
      </w:r>
      <w:r w:rsidR="00D76F68" w:rsidRPr="00641640">
        <w:rPr>
          <w:rFonts w:ascii="Times New Roman" w:hAnsi="Times New Roman" w:cs="Times New Roman"/>
          <w:noProof/>
          <w:sz w:val="24"/>
          <w:szCs w:val="24"/>
          <w:lang w:val="sq-AL"/>
        </w:rPr>
        <w:t>Rritja e pjesëmarrjes qytetare në procesin e konsultimit publik, ku synohet:</w:t>
      </w:r>
    </w:p>
    <w:p w14:paraId="06FD8018" w14:textId="2729A31A" w:rsidR="00892FAF" w:rsidRPr="00641640" w:rsidRDefault="00892FAF" w:rsidP="00F863ED">
      <w:pPr>
        <w:pStyle w:val="ListParagraph"/>
        <w:numPr>
          <w:ilvl w:val="0"/>
          <w:numId w:val="5"/>
        </w:numPr>
        <w:spacing w:after="0"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3000 njoftime automatike të dërguara cdo vit</w:t>
      </w:r>
      <w:r w:rsidR="00A54914" w:rsidRPr="00641640">
        <w:rPr>
          <w:rFonts w:ascii="Times New Roman" w:hAnsi="Times New Roman" w:cs="Times New Roman"/>
          <w:noProof/>
          <w:sz w:val="24"/>
          <w:szCs w:val="24"/>
          <w:lang w:val="sq-AL"/>
        </w:rPr>
        <w:t>;</w:t>
      </w:r>
    </w:p>
    <w:p w14:paraId="6A3579A3" w14:textId="049AF6B3" w:rsidR="00A54914" w:rsidRPr="00641640" w:rsidRDefault="00F02346" w:rsidP="00F863ED">
      <w:pPr>
        <w:pStyle w:val="ListParagraph"/>
        <w:numPr>
          <w:ilvl w:val="0"/>
          <w:numId w:val="5"/>
        </w:numPr>
        <w:spacing w:after="0" w:line="276" w:lineRule="auto"/>
        <w:jc w:val="both"/>
        <w:rPr>
          <w:rFonts w:ascii="Times New Roman" w:hAnsi="Times New Roman" w:cs="Times New Roman"/>
          <w:bCs/>
          <w:noProof/>
          <w:sz w:val="24"/>
          <w:szCs w:val="24"/>
          <w:lang w:val="sq-AL"/>
        </w:rPr>
      </w:pPr>
      <w:r w:rsidRPr="00641640">
        <w:rPr>
          <w:rFonts w:ascii="Times New Roman" w:hAnsi="Times New Roman" w:cs="Times New Roman"/>
          <w:noProof/>
          <w:sz w:val="24"/>
          <w:szCs w:val="24"/>
          <w:lang w:val="sq-AL"/>
        </w:rPr>
        <w:t>Të paktën 50% e projektakteve të konsultuara nëpërmjet një prej metodave alternative, duke filluar nga viti 2026</w:t>
      </w:r>
      <w:r w:rsidR="00A54914" w:rsidRPr="00641640">
        <w:rPr>
          <w:rFonts w:ascii="Times New Roman" w:hAnsi="Times New Roman" w:cs="Times New Roman"/>
          <w:noProof/>
          <w:sz w:val="24"/>
          <w:szCs w:val="24"/>
          <w:lang w:val="sq-AL"/>
        </w:rPr>
        <w:t>;</w:t>
      </w:r>
    </w:p>
    <w:p w14:paraId="2F7D2BB0" w14:textId="63D18FBE" w:rsidR="009414AC" w:rsidRPr="00641640" w:rsidRDefault="009414AC" w:rsidP="00F863ED">
      <w:pPr>
        <w:pStyle w:val="ListParagraph"/>
        <w:numPr>
          <w:ilvl w:val="0"/>
          <w:numId w:val="5"/>
        </w:numPr>
        <w:spacing w:after="0" w:line="276" w:lineRule="auto"/>
        <w:jc w:val="both"/>
        <w:rPr>
          <w:rFonts w:ascii="Times New Roman" w:hAnsi="Times New Roman" w:cs="Times New Roman"/>
          <w:bCs/>
          <w:noProof/>
          <w:sz w:val="24"/>
          <w:szCs w:val="24"/>
          <w:lang w:val="sq-AL"/>
        </w:rPr>
      </w:pPr>
      <w:r w:rsidRPr="00641640">
        <w:rPr>
          <w:rFonts w:ascii="Times New Roman" w:hAnsi="Times New Roman" w:cs="Times New Roman"/>
          <w:noProof/>
          <w:sz w:val="24"/>
          <w:szCs w:val="24"/>
          <w:lang w:val="sq-AL"/>
        </w:rPr>
        <w:t>Njoftime paraprake të publikuara për 75% të projektakteve të konsultuara në RENJKP gjatë vitit 2026</w:t>
      </w:r>
      <w:r w:rsidR="00A54914"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w:t>
      </w:r>
    </w:p>
    <w:p w14:paraId="12259318" w14:textId="1FB82A35" w:rsidR="00D91689" w:rsidRPr="00641640" w:rsidRDefault="00A54914" w:rsidP="00F863ED">
      <w:pPr>
        <w:pStyle w:val="ListParagraph"/>
        <w:numPr>
          <w:ilvl w:val="0"/>
          <w:numId w:val="5"/>
        </w:numPr>
        <w:spacing w:after="0" w:line="276" w:lineRule="auto"/>
        <w:jc w:val="both"/>
        <w:rPr>
          <w:rFonts w:ascii="Times New Roman" w:hAnsi="Times New Roman" w:cs="Times New Roman"/>
          <w:bCs/>
          <w:noProof/>
          <w:sz w:val="24"/>
          <w:szCs w:val="24"/>
          <w:lang w:val="sq-AL"/>
        </w:rPr>
      </w:pPr>
      <w:r w:rsidRPr="00641640">
        <w:rPr>
          <w:rFonts w:ascii="Times New Roman" w:hAnsi="Times New Roman" w:cs="Times New Roman"/>
          <w:noProof/>
          <w:sz w:val="24"/>
          <w:szCs w:val="24"/>
          <w:lang w:val="sq-AL"/>
        </w:rPr>
        <w:t>Njoftime paraprake të publikuara  për të paktën 90% të projektakteve të  konsultuara në RENJKP, në vit, duke filluar nga viti 2027;</w:t>
      </w:r>
    </w:p>
    <w:p w14:paraId="3B4A0FAD" w14:textId="77777777" w:rsidR="000C0AD4" w:rsidRPr="00641640" w:rsidRDefault="000C0AD4" w:rsidP="00F863ED">
      <w:pPr>
        <w:spacing w:after="0" w:line="276" w:lineRule="auto"/>
        <w:jc w:val="both"/>
        <w:rPr>
          <w:rFonts w:ascii="Times New Roman" w:hAnsi="Times New Roman" w:cs="Times New Roman"/>
          <w:b/>
          <w:bCs/>
          <w:noProof/>
          <w:sz w:val="24"/>
          <w:szCs w:val="24"/>
          <w:lang w:val="sq-AL"/>
        </w:rPr>
      </w:pPr>
    </w:p>
    <w:p w14:paraId="760EB4F9" w14:textId="7D2784DC" w:rsidR="00265965" w:rsidRPr="00641640" w:rsidRDefault="00D42A92" w:rsidP="00F863ED">
      <w:pPr>
        <w:spacing w:after="0" w:line="276" w:lineRule="auto"/>
        <w:jc w:val="both"/>
        <w:rPr>
          <w:rFonts w:ascii="Times New Roman" w:hAnsi="Times New Roman" w:cs="Times New Roman"/>
          <w:bCs/>
          <w:noProof/>
          <w:sz w:val="24"/>
          <w:szCs w:val="24"/>
          <w:lang w:val="sq-AL"/>
        </w:rPr>
      </w:pPr>
      <w:r w:rsidRPr="00641640">
        <w:rPr>
          <w:rFonts w:ascii="Times New Roman" w:hAnsi="Times New Roman" w:cs="Times New Roman"/>
          <w:b/>
          <w:bCs/>
          <w:noProof/>
          <w:sz w:val="24"/>
          <w:szCs w:val="24"/>
          <w:lang w:val="sq-AL"/>
        </w:rPr>
        <w:lastRenderedPageBreak/>
        <w:t xml:space="preserve">Rezultati </w:t>
      </w:r>
      <w:r w:rsidR="005927EE" w:rsidRPr="00641640">
        <w:rPr>
          <w:rFonts w:ascii="Times New Roman" w:hAnsi="Times New Roman" w:cs="Times New Roman"/>
          <w:b/>
          <w:bCs/>
          <w:noProof/>
          <w:sz w:val="24"/>
          <w:szCs w:val="24"/>
          <w:lang w:val="sq-AL"/>
        </w:rPr>
        <w:t>10</w:t>
      </w:r>
      <w:r w:rsidRPr="00641640">
        <w:rPr>
          <w:rFonts w:ascii="Times New Roman" w:hAnsi="Times New Roman" w:cs="Times New Roman"/>
          <w:b/>
          <w:bCs/>
          <w:noProof/>
          <w:sz w:val="24"/>
          <w:szCs w:val="24"/>
          <w:lang w:val="sq-AL"/>
        </w:rPr>
        <w:t xml:space="preserve">: </w:t>
      </w:r>
      <w:r w:rsidR="00F77D72" w:rsidRPr="00641640">
        <w:rPr>
          <w:rFonts w:ascii="Times New Roman" w:hAnsi="Times New Roman" w:cs="Times New Roman"/>
          <w:noProof/>
          <w:sz w:val="24"/>
          <w:szCs w:val="24"/>
          <w:lang w:val="sq-AL"/>
        </w:rPr>
        <w:t xml:space="preserve">Plotësimi i procesit të vlerësimit të ndikimit rregullator përmes vlerësimit </w:t>
      </w:r>
      <w:r w:rsidR="00F77D72" w:rsidRPr="00641640">
        <w:rPr>
          <w:rFonts w:ascii="Times New Roman" w:hAnsi="Times New Roman" w:cs="Times New Roman"/>
          <w:i/>
          <w:noProof/>
          <w:sz w:val="24"/>
          <w:szCs w:val="24"/>
          <w:lang w:val="sq-AL"/>
        </w:rPr>
        <w:t>ex-post,</w:t>
      </w:r>
      <w:r w:rsidR="00F77D72" w:rsidRPr="00641640">
        <w:rPr>
          <w:rFonts w:ascii="Times New Roman" w:hAnsi="Times New Roman" w:cs="Times New Roman"/>
          <w:noProof/>
          <w:sz w:val="24"/>
          <w:szCs w:val="24"/>
          <w:lang w:val="sq-AL"/>
        </w:rPr>
        <w:t xml:space="preserve"> për të siguruar monitorim dhe përmirësim të vazhdueshëm të kuadrit ligjor</w:t>
      </w:r>
      <w:r w:rsidR="00265965" w:rsidRPr="00641640">
        <w:rPr>
          <w:rFonts w:ascii="Times New Roman" w:hAnsi="Times New Roman" w:cs="Times New Roman"/>
          <w:noProof/>
          <w:sz w:val="24"/>
          <w:szCs w:val="24"/>
          <w:lang w:val="sq-AL"/>
        </w:rPr>
        <w:t xml:space="preserve">, </w:t>
      </w:r>
      <w:r w:rsidR="00265965" w:rsidRPr="00641640">
        <w:rPr>
          <w:rFonts w:ascii="Times New Roman" w:hAnsi="Times New Roman" w:cs="Times New Roman"/>
          <w:bCs/>
          <w:noProof/>
          <w:sz w:val="24"/>
          <w:szCs w:val="24"/>
          <w:lang w:val="sq-AL"/>
        </w:rPr>
        <w:t>ku priten këto rezultate:</w:t>
      </w:r>
    </w:p>
    <w:p w14:paraId="44201B0C" w14:textId="3A015FB5" w:rsidR="00265965" w:rsidRPr="00641640" w:rsidRDefault="003D281C" w:rsidP="00F863ED">
      <w:pPr>
        <w:pStyle w:val="ListParagraph"/>
        <w:numPr>
          <w:ilvl w:val="0"/>
          <w:numId w:val="5"/>
        </w:numPr>
        <w:spacing w:after="0" w:line="276" w:lineRule="auto"/>
        <w:jc w:val="both"/>
        <w:rPr>
          <w:rFonts w:ascii="Times New Roman" w:hAnsi="Times New Roman" w:cs="Times New Roman"/>
          <w:bCs/>
          <w:noProof/>
          <w:sz w:val="24"/>
          <w:szCs w:val="24"/>
          <w:lang w:val="sq-AL"/>
        </w:rPr>
      </w:pPr>
      <w:r w:rsidRPr="00641640">
        <w:rPr>
          <w:rFonts w:ascii="Times New Roman" w:eastAsiaTheme="minorHAnsi" w:hAnsi="Times New Roman" w:cs="Times New Roman"/>
          <w:noProof/>
          <w:sz w:val="24"/>
          <w:szCs w:val="24"/>
          <w:lang w:val="sq-AL"/>
        </w:rPr>
        <w:t xml:space="preserve">Miratimi i </w:t>
      </w:r>
      <w:r w:rsidR="008B7348" w:rsidRPr="00641640">
        <w:rPr>
          <w:rFonts w:ascii="Times New Roman" w:eastAsiaTheme="minorHAnsi" w:hAnsi="Times New Roman" w:cs="Times New Roman"/>
          <w:noProof/>
          <w:sz w:val="24"/>
          <w:szCs w:val="24"/>
          <w:lang w:val="sq-AL"/>
        </w:rPr>
        <w:t>l</w:t>
      </w:r>
      <w:r w:rsidR="002E35FB" w:rsidRPr="00641640">
        <w:rPr>
          <w:rFonts w:ascii="Times New Roman" w:eastAsiaTheme="minorHAnsi" w:hAnsi="Times New Roman" w:cs="Times New Roman"/>
          <w:noProof/>
          <w:sz w:val="24"/>
          <w:szCs w:val="24"/>
          <w:lang w:val="sq-AL"/>
        </w:rPr>
        <w:t>ist</w:t>
      </w:r>
      <w:r w:rsidRPr="00641640">
        <w:rPr>
          <w:rFonts w:ascii="Times New Roman" w:eastAsiaTheme="minorHAnsi" w:hAnsi="Times New Roman" w:cs="Times New Roman"/>
          <w:noProof/>
          <w:sz w:val="24"/>
          <w:szCs w:val="24"/>
          <w:lang w:val="sq-AL"/>
        </w:rPr>
        <w:t>ës</w:t>
      </w:r>
      <w:r w:rsidR="002E35FB" w:rsidRPr="00641640">
        <w:rPr>
          <w:rFonts w:ascii="Times New Roman" w:eastAsiaTheme="minorHAnsi" w:hAnsi="Times New Roman" w:cs="Times New Roman"/>
          <w:noProof/>
          <w:sz w:val="24"/>
          <w:szCs w:val="24"/>
          <w:lang w:val="sq-AL"/>
        </w:rPr>
        <w:t xml:space="preserve"> </w:t>
      </w:r>
      <w:r w:rsidRPr="00641640">
        <w:rPr>
          <w:rFonts w:ascii="Times New Roman" w:eastAsiaTheme="minorHAnsi" w:hAnsi="Times New Roman" w:cs="Times New Roman"/>
          <w:noProof/>
          <w:sz w:val="24"/>
          <w:szCs w:val="24"/>
          <w:lang w:val="sq-AL"/>
        </w:rPr>
        <w:t>së</w:t>
      </w:r>
      <w:r w:rsidR="002E35FB" w:rsidRPr="00641640">
        <w:rPr>
          <w:rFonts w:ascii="Times New Roman" w:eastAsiaTheme="minorHAnsi" w:hAnsi="Times New Roman" w:cs="Times New Roman"/>
          <w:noProof/>
          <w:sz w:val="24"/>
          <w:szCs w:val="24"/>
          <w:lang w:val="sq-AL"/>
        </w:rPr>
        <w:t xml:space="preserve"> kritereve </w:t>
      </w:r>
      <w:r w:rsidR="00A06266" w:rsidRPr="00641640">
        <w:rPr>
          <w:rFonts w:ascii="Times New Roman" w:eastAsiaTheme="minorHAnsi" w:hAnsi="Times New Roman" w:cs="Times New Roman"/>
          <w:noProof/>
          <w:sz w:val="24"/>
          <w:szCs w:val="24"/>
          <w:lang w:val="sq-AL"/>
        </w:rPr>
        <w:t>për përzgjedhjen e akteve që do t’i nënshtrohen procesit RIA</w:t>
      </w:r>
      <w:r w:rsidR="00A06266" w:rsidRPr="00641640">
        <w:rPr>
          <w:rFonts w:ascii="Times New Roman" w:eastAsiaTheme="minorHAnsi" w:hAnsi="Times New Roman" w:cs="Times New Roman"/>
          <w:i/>
          <w:noProof/>
          <w:sz w:val="24"/>
          <w:szCs w:val="24"/>
          <w:lang w:val="sq-AL"/>
        </w:rPr>
        <w:t xml:space="preserve"> ex-post</w:t>
      </w:r>
      <w:r w:rsidR="002E35FB" w:rsidRPr="00641640">
        <w:rPr>
          <w:rFonts w:ascii="Times New Roman" w:eastAsiaTheme="minorHAnsi" w:hAnsi="Times New Roman" w:cs="Times New Roman"/>
          <w:noProof/>
          <w:sz w:val="24"/>
          <w:szCs w:val="24"/>
          <w:lang w:val="sq-AL"/>
        </w:rPr>
        <w:t>, bazuar në praktikat më të mira;</w:t>
      </w:r>
    </w:p>
    <w:p w14:paraId="19FC1431" w14:textId="10C26256" w:rsidR="002E35FB" w:rsidRPr="00641640" w:rsidRDefault="0007146E" w:rsidP="00F863ED">
      <w:pPr>
        <w:pStyle w:val="ListParagraph"/>
        <w:numPr>
          <w:ilvl w:val="0"/>
          <w:numId w:val="5"/>
        </w:numPr>
        <w:spacing w:after="0" w:line="276" w:lineRule="auto"/>
        <w:jc w:val="both"/>
        <w:rPr>
          <w:rFonts w:ascii="Times New Roman" w:hAnsi="Times New Roman" w:cs="Times New Roman"/>
          <w:bCs/>
          <w:noProof/>
          <w:sz w:val="24"/>
          <w:szCs w:val="24"/>
          <w:lang w:val="sq-AL"/>
        </w:rPr>
      </w:pPr>
      <w:r w:rsidRPr="00641640">
        <w:rPr>
          <w:rFonts w:ascii="Times New Roman" w:eastAsiaTheme="minorHAnsi" w:hAnsi="Times New Roman" w:cs="Times New Roman"/>
          <w:noProof/>
          <w:sz w:val="24"/>
          <w:szCs w:val="24"/>
          <w:lang w:val="sq-AL"/>
        </w:rPr>
        <w:t>Përditësimi i m</w:t>
      </w:r>
      <w:r w:rsidR="008E1479" w:rsidRPr="00641640">
        <w:rPr>
          <w:rFonts w:ascii="Times New Roman" w:eastAsiaTheme="minorHAnsi" w:hAnsi="Times New Roman" w:cs="Times New Roman"/>
          <w:noProof/>
          <w:sz w:val="24"/>
          <w:szCs w:val="24"/>
          <w:lang w:val="sq-AL"/>
        </w:rPr>
        <w:t>etodologji</w:t>
      </w:r>
      <w:r w:rsidRPr="00641640">
        <w:rPr>
          <w:rFonts w:ascii="Times New Roman" w:eastAsiaTheme="minorHAnsi" w:hAnsi="Times New Roman" w:cs="Times New Roman"/>
          <w:noProof/>
          <w:sz w:val="24"/>
          <w:szCs w:val="24"/>
          <w:lang w:val="sq-AL"/>
        </w:rPr>
        <w:t>së</w:t>
      </w:r>
      <w:r w:rsidR="008E1479" w:rsidRPr="00641640">
        <w:rPr>
          <w:rFonts w:ascii="Times New Roman" w:eastAsiaTheme="minorHAnsi" w:hAnsi="Times New Roman" w:cs="Times New Roman"/>
          <w:noProof/>
          <w:sz w:val="24"/>
          <w:szCs w:val="24"/>
          <w:lang w:val="sq-AL"/>
        </w:rPr>
        <w:t xml:space="preserve"> për kryerjen e procesit RIA</w:t>
      </w:r>
      <w:r w:rsidRPr="00641640">
        <w:rPr>
          <w:rFonts w:ascii="Times New Roman" w:eastAsiaTheme="minorHAnsi" w:hAnsi="Times New Roman" w:cs="Times New Roman"/>
          <w:noProof/>
          <w:sz w:val="24"/>
          <w:szCs w:val="24"/>
          <w:lang w:val="sq-AL"/>
        </w:rPr>
        <w:t>,</w:t>
      </w:r>
      <w:r w:rsidR="008E1479" w:rsidRPr="00641640">
        <w:rPr>
          <w:rFonts w:ascii="Times New Roman" w:eastAsiaTheme="minorHAnsi" w:hAnsi="Times New Roman" w:cs="Times New Roman"/>
          <w:noProof/>
          <w:sz w:val="24"/>
          <w:szCs w:val="24"/>
          <w:lang w:val="sq-AL"/>
        </w:rPr>
        <w:t xml:space="preserve"> </w:t>
      </w:r>
      <w:r w:rsidRPr="00641640">
        <w:rPr>
          <w:rFonts w:ascii="Times New Roman" w:eastAsiaTheme="minorHAnsi" w:hAnsi="Times New Roman" w:cs="Times New Roman"/>
          <w:noProof/>
          <w:sz w:val="24"/>
          <w:szCs w:val="24"/>
          <w:lang w:val="sq-AL"/>
        </w:rPr>
        <w:t>sipas</w:t>
      </w:r>
      <w:r w:rsidR="008E1479" w:rsidRPr="00641640">
        <w:rPr>
          <w:rFonts w:ascii="Times New Roman" w:eastAsiaTheme="minorHAnsi" w:hAnsi="Times New Roman" w:cs="Times New Roman"/>
          <w:noProof/>
          <w:sz w:val="24"/>
          <w:szCs w:val="24"/>
          <w:lang w:val="sq-AL"/>
        </w:rPr>
        <w:t xml:space="preserve"> listë</w:t>
      </w:r>
      <w:r w:rsidRPr="00641640">
        <w:rPr>
          <w:rFonts w:ascii="Times New Roman" w:eastAsiaTheme="minorHAnsi" w:hAnsi="Times New Roman" w:cs="Times New Roman"/>
          <w:noProof/>
          <w:sz w:val="24"/>
          <w:szCs w:val="24"/>
          <w:lang w:val="sq-AL"/>
        </w:rPr>
        <w:t>s</w:t>
      </w:r>
      <w:r w:rsidR="008E1479" w:rsidRPr="00641640">
        <w:rPr>
          <w:rFonts w:ascii="Times New Roman" w:eastAsiaTheme="minorHAnsi" w:hAnsi="Times New Roman" w:cs="Times New Roman"/>
          <w:noProof/>
          <w:sz w:val="24"/>
          <w:szCs w:val="24"/>
          <w:lang w:val="sq-AL"/>
        </w:rPr>
        <w:t xml:space="preserve"> </w:t>
      </w:r>
      <w:r w:rsidRPr="00641640">
        <w:rPr>
          <w:rFonts w:ascii="Times New Roman" w:eastAsiaTheme="minorHAnsi" w:hAnsi="Times New Roman" w:cs="Times New Roman"/>
          <w:noProof/>
          <w:sz w:val="24"/>
          <w:szCs w:val="24"/>
          <w:lang w:val="sq-AL"/>
        </w:rPr>
        <w:t>së</w:t>
      </w:r>
      <w:r w:rsidR="008E1479" w:rsidRPr="00641640">
        <w:rPr>
          <w:rFonts w:ascii="Times New Roman" w:eastAsiaTheme="minorHAnsi" w:hAnsi="Times New Roman" w:cs="Times New Roman"/>
          <w:noProof/>
          <w:sz w:val="24"/>
          <w:szCs w:val="24"/>
          <w:lang w:val="sq-AL"/>
        </w:rPr>
        <w:t xml:space="preserve"> kritereve për aktet që do t’i nënshtrohen procesit RIA </w:t>
      </w:r>
      <w:r w:rsidR="008E1479" w:rsidRPr="00641640">
        <w:rPr>
          <w:rFonts w:ascii="Times New Roman" w:eastAsiaTheme="minorHAnsi" w:hAnsi="Times New Roman" w:cs="Times New Roman"/>
          <w:i/>
          <w:noProof/>
          <w:sz w:val="24"/>
          <w:szCs w:val="24"/>
          <w:lang w:val="sq-AL"/>
        </w:rPr>
        <w:t>ex-post</w:t>
      </w:r>
      <w:r w:rsidR="00B47E6F" w:rsidRPr="00641640">
        <w:rPr>
          <w:rFonts w:ascii="Times New Roman" w:eastAsiaTheme="minorHAnsi" w:hAnsi="Times New Roman" w:cs="Times New Roman"/>
          <w:i/>
          <w:noProof/>
          <w:sz w:val="24"/>
          <w:szCs w:val="24"/>
          <w:lang w:val="sq-AL"/>
        </w:rPr>
        <w:t>;</w:t>
      </w:r>
    </w:p>
    <w:p w14:paraId="1C667B25" w14:textId="43D82A6C" w:rsidR="00B47E6F" w:rsidRPr="00641640" w:rsidRDefault="000961F7" w:rsidP="00F863ED">
      <w:pPr>
        <w:pStyle w:val="ListParagraph"/>
        <w:numPr>
          <w:ilvl w:val="0"/>
          <w:numId w:val="5"/>
        </w:numPr>
        <w:spacing w:after="0" w:line="276" w:lineRule="auto"/>
        <w:jc w:val="both"/>
        <w:rPr>
          <w:rFonts w:ascii="Times New Roman" w:hAnsi="Times New Roman" w:cs="Times New Roman"/>
          <w:bCs/>
          <w:noProof/>
          <w:sz w:val="24"/>
          <w:szCs w:val="24"/>
          <w:lang w:val="sq-AL"/>
        </w:rPr>
      </w:pPr>
      <w:r w:rsidRPr="00641640">
        <w:rPr>
          <w:rFonts w:ascii="Times New Roman" w:eastAsiaTheme="minorHAnsi" w:hAnsi="Times New Roman" w:cs="Times New Roman"/>
          <w:noProof/>
          <w:sz w:val="24"/>
          <w:szCs w:val="24"/>
          <w:lang w:val="sq-AL"/>
        </w:rPr>
        <w:t xml:space="preserve">Forcimi i kapaciteteve administrative </w:t>
      </w:r>
      <w:r w:rsidR="00B47E6F" w:rsidRPr="00641640">
        <w:rPr>
          <w:rFonts w:ascii="Times New Roman" w:eastAsiaTheme="minorHAnsi" w:hAnsi="Times New Roman" w:cs="Times New Roman"/>
          <w:noProof/>
          <w:sz w:val="24"/>
          <w:szCs w:val="24"/>
          <w:lang w:val="sq-AL"/>
        </w:rPr>
        <w:t xml:space="preserve">për nëpunësit publikë mbi vlerësimin RIA </w:t>
      </w:r>
      <w:r w:rsidR="00B47E6F" w:rsidRPr="00641640">
        <w:rPr>
          <w:rFonts w:ascii="Times New Roman" w:eastAsiaTheme="minorHAnsi" w:hAnsi="Times New Roman" w:cs="Times New Roman"/>
          <w:i/>
          <w:iCs/>
          <w:noProof/>
          <w:sz w:val="24"/>
          <w:szCs w:val="24"/>
          <w:lang w:val="sq-AL"/>
        </w:rPr>
        <w:t>ex-post</w:t>
      </w:r>
      <w:r w:rsidRPr="00641640">
        <w:rPr>
          <w:rFonts w:ascii="Times New Roman" w:eastAsiaTheme="minorHAnsi" w:hAnsi="Times New Roman" w:cs="Times New Roman"/>
          <w:noProof/>
          <w:sz w:val="24"/>
          <w:szCs w:val="24"/>
          <w:lang w:val="sq-AL"/>
        </w:rPr>
        <w:t>;</w:t>
      </w:r>
    </w:p>
    <w:p w14:paraId="77D1F0DF" w14:textId="0B5A982E" w:rsidR="000961F7" w:rsidRPr="00641640" w:rsidRDefault="00B13403" w:rsidP="00F863ED">
      <w:pPr>
        <w:pStyle w:val="ListParagraph"/>
        <w:numPr>
          <w:ilvl w:val="0"/>
          <w:numId w:val="5"/>
        </w:numPr>
        <w:spacing w:after="0" w:line="276" w:lineRule="auto"/>
        <w:jc w:val="both"/>
        <w:rPr>
          <w:rFonts w:ascii="Times New Roman" w:hAnsi="Times New Roman" w:cs="Times New Roman"/>
          <w:bCs/>
          <w:noProof/>
          <w:sz w:val="24"/>
          <w:szCs w:val="24"/>
          <w:lang w:val="sq-AL"/>
        </w:rPr>
      </w:pPr>
      <w:r w:rsidRPr="00641640">
        <w:rPr>
          <w:rFonts w:ascii="Times New Roman" w:eastAsiaTheme="minorHAnsi" w:hAnsi="Times New Roman" w:cs="Times New Roman"/>
          <w:noProof/>
          <w:sz w:val="24"/>
          <w:szCs w:val="24"/>
          <w:lang w:val="sq-AL"/>
        </w:rPr>
        <w:t>Raporte monitorimi të orientuara drejt përmbajtjes dhe cilësisë, të përgatitura periodikisht nga njësia përgjegjëse e mbikëqyrjes, me synim vlerësimin e nevojave për trajnim mbi procesin për nëpunësit civilë.</w:t>
      </w:r>
    </w:p>
    <w:p w14:paraId="12216AAD" w14:textId="77777777" w:rsidR="003E2A20" w:rsidRPr="00641640" w:rsidRDefault="003E2A20" w:rsidP="00F863ED">
      <w:pPr>
        <w:pStyle w:val="ListParagraph"/>
        <w:spacing w:after="0" w:line="276" w:lineRule="auto"/>
        <w:jc w:val="both"/>
        <w:rPr>
          <w:rFonts w:ascii="Times New Roman" w:hAnsi="Times New Roman" w:cs="Times New Roman"/>
          <w:bCs/>
          <w:noProof/>
          <w:sz w:val="24"/>
          <w:szCs w:val="24"/>
          <w:lang w:val="sq-AL"/>
        </w:rPr>
      </w:pPr>
    </w:p>
    <w:p w14:paraId="084EBFFB" w14:textId="39A7DE07" w:rsidR="00CD04E4" w:rsidRPr="00641640" w:rsidRDefault="00CD04E4" w:rsidP="00F863ED">
      <w:pPr>
        <w:spacing w:after="0" w:line="276" w:lineRule="auto"/>
        <w:jc w:val="both"/>
        <w:rPr>
          <w:rFonts w:ascii="Times New Roman" w:hAnsi="Times New Roman" w:cs="Times New Roman"/>
          <w:noProof/>
          <w:sz w:val="24"/>
          <w:szCs w:val="24"/>
          <w:lang w:val="sq-AL"/>
        </w:rPr>
      </w:pPr>
      <w:r w:rsidRPr="00641640">
        <w:rPr>
          <w:rFonts w:ascii="Times New Roman" w:hAnsi="Times New Roman" w:cs="Times New Roman"/>
          <w:b/>
          <w:noProof/>
          <w:sz w:val="24"/>
          <w:szCs w:val="24"/>
          <w:lang w:val="sq-AL"/>
        </w:rPr>
        <w:t xml:space="preserve">Rezultati </w:t>
      </w:r>
      <w:r w:rsidR="00F66DFD" w:rsidRPr="00641640">
        <w:rPr>
          <w:rFonts w:ascii="Times New Roman" w:hAnsi="Times New Roman" w:cs="Times New Roman"/>
          <w:b/>
          <w:noProof/>
          <w:sz w:val="24"/>
          <w:szCs w:val="24"/>
          <w:lang w:val="sq-AL"/>
        </w:rPr>
        <w:t>1</w:t>
      </w:r>
      <w:r w:rsidR="005927EE" w:rsidRPr="00641640">
        <w:rPr>
          <w:rFonts w:ascii="Times New Roman" w:hAnsi="Times New Roman" w:cs="Times New Roman"/>
          <w:b/>
          <w:noProof/>
          <w:sz w:val="24"/>
          <w:szCs w:val="24"/>
          <w:lang w:val="sq-AL"/>
        </w:rPr>
        <w:t>1</w:t>
      </w:r>
      <w:r w:rsidRPr="00641640">
        <w:rPr>
          <w:rFonts w:ascii="Times New Roman" w:hAnsi="Times New Roman" w:cs="Times New Roman"/>
          <w:b/>
          <w:noProof/>
          <w:sz w:val="24"/>
          <w:szCs w:val="24"/>
          <w:lang w:val="sq-AL"/>
        </w:rPr>
        <w:t>:</w:t>
      </w:r>
      <w:r w:rsidRPr="00641640">
        <w:rPr>
          <w:rFonts w:ascii="Times New Roman" w:hAnsi="Times New Roman" w:cs="Times New Roman"/>
          <w:bCs/>
          <w:noProof/>
          <w:sz w:val="24"/>
          <w:szCs w:val="24"/>
          <w:lang w:val="sq-AL"/>
        </w:rPr>
        <w:t xml:space="preserve"> </w:t>
      </w:r>
      <w:r w:rsidR="007C2A29" w:rsidRPr="00641640">
        <w:rPr>
          <w:rFonts w:ascii="Times New Roman" w:hAnsi="Times New Roman" w:cs="Times New Roman"/>
          <w:noProof/>
          <w:sz w:val="24"/>
          <w:szCs w:val="24"/>
          <w:lang w:val="sq-AL"/>
        </w:rPr>
        <w:t>Rritja e transparencës së vendimmarrjes së qeverisjes qendrore</w:t>
      </w:r>
      <w:r w:rsidR="00256EA6" w:rsidRPr="00641640">
        <w:rPr>
          <w:rFonts w:ascii="Times New Roman" w:hAnsi="Times New Roman" w:cs="Times New Roman"/>
          <w:noProof/>
          <w:sz w:val="24"/>
          <w:szCs w:val="24"/>
          <w:lang w:val="sq-AL"/>
        </w:rPr>
        <w:t>, n</w:t>
      </w:r>
      <w:r w:rsidR="005E0279" w:rsidRPr="00641640">
        <w:rPr>
          <w:rFonts w:ascii="Times New Roman" w:hAnsi="Times New Roman" w:cs="Times New Roman"/>
          <w:noProof/>
          <w:sz w:val="24"/>
          <w:szCs w:val="24"/>
          <w:lang w:val="sq-AL"/>
        </w:rPr>
        <w:t>ë</w:t>
      </w:r>
      <w:r w:rsidR="00256EA6" w:rsidRPr="00641640">
        <w:rPr>
          <w:rFonts w:ascii="Times New Roman" w:hAnsi="Times New Roman" w:cs="Times New Roman"/>
          <w:noProof/>
          <w:sz w:val="24"/>
          <w:szCs w:val="24"/>
          <w:lang w:val="sq-AL"/>
        </w:rPr>
        <w:t>p</w:t>
      </w:r>
      <w:r w:rsidR="005E0279" w:rsidRPr="00641640">
        <w:rPr>
          <w:rFonts w:ascii="Times New Roman" w:hAnsi="Times New Roman" w:cs="Times New Roman"/>
          <w:noProof/>
          <w:sz w:val="24"/>
          <w:szCs w:val="24"/>
          <w:lang w:val="sq-AL"/>
        </w:rPr>
        <w:t>ë</w:t>
      </w:r>
      <w:r w:rsidR="00256EA6" w:rsidRPr="00641640">
        <w:rPr>
          <w:rFonts w:ascii="Times New Roman" w:hAnsi="Times New Roman" w:cs="Times New Roman"/>
          <w:noProof/>
          <w:sz w:val="24"/>
          <w:szCs w:val="24"/>
          <w:lang w:val="sq-AL"/>
        </w:rPr>
        <w:t>rmjet s</w:t>
      </w:r>
      <w:r w:rsidR="005E0279" w:rsidRPr="00641640">
        <w:rPr>
          <w:rFonts w:ascii="Times New Roman" w:hAnsi="Times New Roman" w:cs="Times New Roman"/>
          <w:noProof/>
          <w:sz w:val="24"/>
          <w:szCs w:val="24"/>
          <w:lang w:val="sq-AL"/>
        </w:rPr>
        <w:t>ë</w:t>
      </w:r>
      <w:r w:rsidR="00256EA6" w:rsidRPr="00641640">
        <w:rPr>
          <w:rFonts w:ascii="Times New Roman" w:hAnsi="Times New Roman" w:cs="Times New Roman"/>
          <w:noProof/>
          <w:sz w:val="24"/>
          <w:szCs w:val="24"/>
          <w:lang w:val="sq-AL"/>
        </w:rPr>
        <w:t xml:space="preserve"> cil</w:t>
      </w:r>
      <w:r w:rsidR="005E0279" w:rsidRPr="00641640">
        <w:rPr>
          <w:rFonts w:ascii="Times New Roman" w:hAnsi="Times New Roman" w:cs="Times New Roman"/>
          <w:noProof/>
          <w:sz w:val="24"/>
          <w:szCs w:val="24"/>
          <w:lang w:val="sq-AL"/>
        </w:rPr>
        <w:t>ë</w:t>
      </w:r>
      <w:r w:rsidR="00256EA6" w:rsidRPr="00641640">
        <w:rPr>
          <w:rFonts w:ascii="Times New Roman" w:hAnsi="Times New Roman" w:cs="Times New Roman"/>
          <w:noProof/>
          <w:sz w:val="24"/>
          <w:szCs w:val="24"/>
          <w:lang w:val="sq-AL"/>
        </w:rPr>
        <w:t>s synohet:</w:t>
      </w:r>
    </w:p>
    <w:p w14:paraId="049F9382" w14:textId="1EB3B69D" w:rsidR="00256EA6" w:rsidRPr="00641640" w:rsidRDefault="006F7E80" w:rsidP="00F863ED">
      <w:pPr>
        <w:pStyle w:val="ListParagraph"/>
        <w:numPr>
          <w:ilvl w:val="0"/>
          <w:numId w:val="5"/>
        </w:numPr>
        <w:spacing w:after="0" w:line="276" w:lineRule="auto"/>
        <w:jc w:val="both"/>
        <w:rPr>
          <w:rFonts w:ascii="Times New Roman" w:hAnsi="Times New Roman" w:cs="Times New Roman"/>
          <w:bCs/>
          <w:noProof/>
          <w:sz w:val="24"/>
          <w:szCs w:val="24"/>
          <w:lang w:val="sq-AL"/>
        </w:rPr>
      </w:pPr>
      <w:r w:rsidRPr="00641640">
        <w:rPr>
          <w:rFonts w:ascii="Times New Roman" w:eastAsiaTheme="minorHAnsi" w:hAnsi="Times New Roman" w:cs="Times New Roman"/>
          <w:noProof/>
          <w:sz w:val="24"/>
          <w:szCs w:val="24"/>
          <w:lang w:val="sq-AL"/>
        </w:rPr>
        <w:t>Publikimi rregullisht në faqen zyrtare të Kryeministrisë i a</w:t>
      </w:r>
      <w:r w:rsidR="00593298" w:rsidRPr="00641640">
        <w:rPr>
          <w:rFonts w:ascii="Times New Roman" w:eastAsiaTheme="minorHAnsi" w:hAnsi="Times New Roman" w:cs="Times New Roman"/>
          <w:noProof/>
          <w:sz w:val="24"/>
          <w:szCs w:val="24"/>
          <w:lang w:val="sq-AL"/>
        </w:rPr>
        <w:t>kte</w:t>
      </w:r>
      <w:r w:rsidRPr="00641640">
        <w:rPr>
          <w:rFonts w:ascii="Times New Roman" w:eastAsiaTheme="minorHAnsi" w:hAnsi="Times New Roman" w:cs="Times New Roman"/>
          <w:noProof/>
          <w:sz w:val="24"/>
          <w:szCs w:val="24"/>
          <w:lang w:val="sq-AL"/>
        </w:rPr>
        <w:t>ve</w:t>
      </w:r>
      <w:r w:rsidR="00593298" w:rsidRPr="00641640">
        <w:rPr>
          <w:rFonts w:ascii="Times New Roman" w:eastAsiaTheme="minorHAnsi" w:hAnsi="Times New Roman" w:cs="Times New Roman"/>
          <w:noProof/>
          <w:sz w:val="24"/>
          <w:szCs w:val="24"/>
          <w:lang w:val="sq-AL"/>
        </w:rPr>
        <w:t xml:space="preserve"> </w:t>
      </w:r>
      <w:r w:rsidRPr="00641640">
        <w:rPr>
          <w:rFonts w:ascii="Times New Roman" w:eastAsiaTheme="minorHAnsi" w:hAnsi="Times New Roman" w:cs="Times New Roman"/>
          <w:noProof/>
          <w:sz w:val="24"/>
          <w:szCs w:val="24"/>
          <w:lang w:val="sq-AL"/>
        </w:rPr>
        <w:t>të</w:t>
      </w:r>
      <w:r w:rsidR="00593298" w:rsidRPr="00641640">
        <w:rPr>
          <w:rFonts w:ascii="Times New Roman" w:eastAsiaTheme="minorHAnsi" w:hAnsi="Times New Roman" w:cs="Times New Roman"/>
          <w:noProof/>
          <w:sz w:val="24"/>
          <w:szCs w:val="24"/>
          <w:lang w:val="sq-AL"/>
        </w:rPr>
        <w:t xml:space="preserve"> miratuara në mbledhjet e Këshillit të Ministrave</w:t>
      </w:r>
      <w:r w:rsidRPr="00641640">
        <w:rPr>
          <w:rFonts w:ascii="Times New Roman" w:eastAsiaTheme="minorHAnsi" w:hAnsi="Times New Roman" w:cs="Times New Roman"/>
          <w:noProof/>
          <w:sz w:val="24"/>
          <w:szCs w:val="24"/>
          <w:lang w:val="sq-AL"/>
        </w:rPr>
        <w:t>;</w:t>
      </w:r>
    </w:p>
    <w:p w14:paraId="5C8211B0" w14:textId="44B87128" w:rsidR="00593298" w:rsidRPr="00641640" w:rsidRDefault="00D42E13" w:rsidP="00F863ED">
      <w:pPr>
        <w:pStyle w:val="ListParagraph"/>
        <w:numPr>
          <w:ilvl w:val="0"/>
          <w:numId w:val="5"/>
        </w:numPr>
        <w:spacing w:after="0" w:line="276" w:lineRule="auto"/>
        <w:jc w:val="both"/>
        <w:rPr>
          <w:rFonts w:ascii="Times New Roman" w:hAnsi="Times New Roman" w:cs="Times New Roman"/>
          <w:bCs/>
          <w:noProof/>
          <w:sz w:val="24"/>
          <w:szCs w:val="24"/>
          <w:lang w:val="sq-AL"/>
        </w:rPr>
      </w:pPr>
      <w:r w:rsidRPr="00641640">
        <w:rPr>
          <w:rFonts w:ascii="Times New Roman" w:eastAsiaTheme="minorHAnsi" w:hAnsi="Times New Roman" w:cs="Times New Roman"/>
          <w:noProof/>
          <w:sz w:val="24"/>
          <w:szCs w:val="24"/>
          <w:lang w:val="sq-AL"/>
        </w:rPr>
        <w:t>Publikimi rregullisht i r</w:t>
      </w:r>
      <w:r w:rsidR="00DA215D" w:rsidRPr="00641640">
        <w:rPr>
          <w:rFonts w:ascii="Times New Roman" w:eastAsiaTheme="minorHAnsi" w:hAnsi="Times New Roman" w:cs="Times New Roman"/>
          <w:noProof/>
          <w:sz w:val="24"/>
          <w:szCs w:val="24"/>
          <w:lang w:val="sq-AL"/>
        </w:rPr>
        <w:t>aporte</w:t>
      </w:r>
      <w:r w:rsidRPr="00641640">
        <w:rPr>
          <w:rFonts w:ascii="Times New Roman" w:eastAsiaTheme="minorHAnsi" w:hAnsi="Times New Roman" w:cs="Times New Roman"/>
          <w:noProof/>
          <w:sz w:val="24"/>
          <w:szCs w:val="24"/>
          <w:lang w:val="sq-AL"/>
        </w:rPr>
        <w:t>ve të</w:t>
      </w:r>
      <w:r w:rsidR="00DA215D" w:rsidRPr="00641640">
        <w:rPr>
          <w:rFonts w:ascii="Times New Roman" w:eastAsiaTheme="minorHAnsi" w:hAnsi="Times New Roman" w:cs="Times New Roman"/>
          <w:noProof/>
          <w:sz w:val="24"/>
          <w:szCs w:val="24"/>
          <w:lang w:val="sq-AL"/>
        </w:rPr>
        <w:t xml:space="preserve"> </w:t>
      </w:r>
      <w:r w:rsidRPr="00641640">
        <w:rPr>
          <w:rFonts w:ascii="Times New Roman" w:eastAsiaTheme="minorHAnsi" w:hAnsi="Times New Roman" w:cs="Times New Roman"/>
          <w:noProof/>
          <w:sz w:val="24"/>
          <w:szCs w:val="24"/>
          <w:lang w:val="sq-AL"/>
        </w:rPr>
        <w:t>m</w:t>
      </w:r>
      <w:r w:rsidR="00DA215D" w:rsidRPr="00641640">
        <w:rPr>
          <w:rFonts w:ascii="Times New Roman" w:eastAsiaTheme="minorHAnsi" w:hAnsi="Times New Roman" w:cs="Times New Roman"/>
          <w:noProof/>
          <w:sz w:val="24"/>
          <w:szCs w:val="24"/>
          <w:lang w:val="sq-AL"/>
        </w:rPr>
        <w:t>onitorimit të Strategjive Sektoriale dhe Ndërsektoriale</w:t>
      </w:r>
      <w:r w:rsidRPr="00641640">
        <w:rPr>
          <w:rFonts w:ascii="Times New Roman" w:eastAsiaTheme="minorHAnsi" w:hAnsi="Times New Roman" w:cs="Times New Roman"/>
          <w:noProof/>
          <w:sz w:val="24"/>
          <w:szCs w:val="24"/>
          <w:lang w:val="sq-AL"/>
        </w:rPr>
        <w:t>;</w:t>
      </w:r>
    </w:p>
    <w:p w14:paraId="7A1C8812" w14:textId="57EB2B8E" w:rsidR="00A0108D" w:rsidRPr="00641640" w:rsidRDefault="00D42E13" w:rsidP="00F863ED">
      <w:pPr>
        <w:pStyle w:val="ListParagraph"/>
        <w:numPr>
          <w:ilvl w:val="0"/>
          <w:numId w:val="5"/>
        </w:numPr>
        <w:spacing w:after="0" w:line="276" w:lineRule="auto"/>
        <w:jc w:val="both"/>
        <w:rPr>
          <w:rFonts w:ascii="Times New Roman" w:hAnsi="Times New Roman" w:cs="Times New Roman"/>
          <w:bCs/>
          <w:noProof/>
          <w:sz w:val="24"/>
          <w:szCs w:val="24"/>
          <w:lang w:val="sq-AL"/>
        </w:rPr>
      </w:pPr>
      <w:r w:rsidRPr="00641640">
        <w:rPr>
          <w:rFonts w:ascii="Times New Roman" w:eastAsiaTheme="minorHAnsi" w:hAnsi="Times New Roman" w:cs="Times New Roman"/>
          <w:noProof/>
          <w:sz w:val="24"/>
          <w:szCs w:val="24"/>
          <w:lang w:val="sq-AL"/>
        </w:rPr>
        <w:t>Publikimi rregullisht i r</w:t>
      </w:r>
      <w:r w:rsidR="00A0108D" w:rsidRPr="00641640">
        <w:rPr>
          <w:rFonts w:ascii="Times New Roman" w:eastAsiaTheme="minorHAnsi" w:hAnsi="Times New Roman" w:cs="Times New Roman"/>
          <w:noProof/>
          <w:sz w:val="24"/>
          <w:szCs w:val="24"/>
          <w:lang w:val="sq-AL"/>
        </w:rPr>
        <w:t>aporte</w:t>
      </w:r>
      <w:r w:rsidRPr="00641640">
        <w:rPr>
          <w:rFonts w:ascii="Times New Roman" w:eastAsiaTheme="minorHAnsi" w:hAnsi="Times New Roman" w:cs="Times New Roman"/>
          <w:noProof/>
          <w:sz w:val="24"/>
          <w:szCs w:val="24"/>
          <w:lang w:val="sq-AL"/>
        </w:rPr>
        <w:t>ve</w:t>
      </w:r>
      <w:r w:rsidR="00A0108D" w:rsidRPr="00641640">
        <w:rPr>
          <w:rFonts w:ascii="Times New Roman" w:eastAsiaTheme="minorHAnsi" w:hAnsi="Times New Roman" w:cs="Times New Roman"/>
          <w:noProof/>
          <w:sz w:val="24"/>
          <w:szCs w:val="24"/>
          <w:lang w:val="sq-AL"/>
        </w:rPr>
        <w:t xml:space="preserve"> </w:t>
      </w:r>
      <w:r w:rsidRPr="00641640">
        <w:rPr>
          <w:rFonts w:ascii="Times New Roman" w:eastAsiaTheme="minorHAnsi" w:hAnsi="Times New Roman" w:cs="Times New Roman"/>
          <w:noProof/>
          <w:sz w:val="24"/>
          <w:szCs w:val="24"/>
          <w:lang w:val="sq-AL"/>
        </w:rPr>
        <w:t>të</w:t>
      </w:r>
      <w:r w:rsidR="00A0108D" w:rsidRPr="00641640">
        <w:rPr>
          <w:rFonts w:ascii="Times New Roman" w:eastAsiaTheme="minorHAnsi" w:hAnsi="Times New Roman" w:cs="Times New Roman"/>
          <w:noProof/>
          <w:sz w:val="24"/>
          <w:szCs w:val="24"/>
          <w:lang w:val="sq-AL"/>
        </w:rPr>
        <w:t xml:space="preserve"> </w:t>
      </w:r>
      <w:r w:rsidRPr="00641640">
        <w:rPr>
          <w:rFonts w:ascii="Times New Roman" w:eastAsiaTheme="minorHAnsi" w:hAnsi="Times New Roman" w:cs="Times New Roman"/>
          <w:noProof/>
          <w:sz w:val="24"/>
          <w:szCs w:val="24"/>
          <w:lang w:val="sq-AL"/>
        </w:rPr>
        <w:t>m</w:t>
      </w:r>
      <w:r w:rsidR="00A0108D" w:rsidRPr="00641640">
        <w:rPr>
          <w:rFonts w:ascii="Times New Roman" w:eastAsiaTheme="minorHAnsi" w:hAnsi="Times New Roman" w:cs="Times New Roman"/>
          <w:noProof/>
          <w:sz w:val="24"/>
          <w:szCs w:val="24"/>
          <w:lang w:val="sq-AL"/>
        </w:rPr>
        <w:t>onitorimit të zbatimit të PPAP dhe PKIE;</w:t>
      </w:r>
    </w:p>
    <w:p w14:paraId="0EBCC05F" w14:textId="17B4ECB2" w:rsidR="00A0108D" w:rsidRPr="00641640" w:rsidRDefault="00D42E13" w:rsidP="00F863ED">
      <w:pPr>
        <w:pStyle w:val="ListParagraph"/>
        <w:numPr>
          <w:ilvl w:val="0"/>
          <w:numId w:val="5"/>
        </w:numPr>
        <w:spacing w:after="0" w:line="276" w:lineRule="auto"/>
        <w:jc w:val="both"/>
        <w:rPr>
          <w:rFonts w:ascii="Times New Roman" w:hAnsi="Times New Roman" w:cs="Times New Roman"/>
          <w:bCs/>
          <w:noProof/>
          <w:sz w:val="24"/>
          <w:szCs w:val="24"/>
          <w:lang w:val="sq-AL"/>
        </w:rPr>
      </w:pPr>
      <w:r w:rsidRPr="00641640">
        <w:rPr>
          <w:rFonts w:ascii="Times New Roman" w:eastAsiaTheme="minorHAnsi" w:hAnsi="Times New Roman" w:cs="Times New Roman"/>
          <w:noProof/>
          <w:sz w:val="24"/>
          <w:szCs w:val="24"/>
          <w:lang w:val="sq-AL"/>
        </w:rPr>
        <w:t>Publikimi rregullisht në Fletoren Zyrtare i u</w:t>
      </w:r>
      <w:r w:rsidR="00E90478" w:rsidRPr="00641640">
        <w:rPr>
          <w:rFonts w:ascii="Times New Roman" w:eastAsiaTheme="minorHAnsi" w:hAnsi="Times New Roman" w:cs="Times New Roman"/>
          <w:noProof/>
          <w:sz w:val="24"/>
          <w:szCs w:val="24"/>
          <w:lang w:val="sq-AL"/>
        </w:rPr>
        <w:t>rdhra</w:t>
      </w:r>
      <w:r w:rsidRPr="00641640">
        <w:rPr>
          <w:rFonts w:ascii="Times New Roman" w:eastAsiaTheme="minorHAnsi" w:hAnsi="Times New Roman" w:cs="Times New Roman"/>
          <w:noProof/>
          <w:sz w:val="24"/>
          <w:szCs w:val="24"/>
          <w:lang w:val="sq-AL"/>
        </w:rPr>
        <w:t xml:space="preserve">ve </w:t>
      </w:r>
      <w:r w:rsidR="00E90478" w:rsidRPr="00641640">
        <w:rPr>
          <w:rFonts w:ascii="Times New Roman" w:eastAsiaTheme="minorHAnsi" w:hAnsi="Times New Roman" w:cs="Times New Roman"/>
          <w:noProof/>
          <w:sz w:val="24"/>
          <w:szCs w:val="24"/>
          <w:lang w:val="sq-AL"/>
        </w:rPr>
        <w:t>të karakterit normativ</w:t>
      </w:r>
      <w:r w:rsidR="007C053F" w:rsidRPr="00641640">
        <w:rPr>
          <w:rFonts w:ascii="Times New Roman" w:eastAsiaTheme="minorHAnsi" w:hAnsi="Times New Roman" w:cs="Times New Roman"/>
          <w:noProof/>
          <w:sz w:val="24"/>
          <w:szCs w:val="24"/>
          <w:lang w:val="sq-AL"/>
        </w:rPr>
        <w:t>.</w:t>
      </w:r>
    </w:p>
    <w:p w14:paraId="3489720B" w14:textId="77777777" w:rsidR="00847AEB" w:rsidRPr="00641640" w:rsidRDefault="00847AEB" w:rsidP="00F863ED">
      <w:pPr>
        <w:spacing w:after="0" w:line="276" w:lineRule="auto"/>
        <w:jc w:val="both"/>
        <w:rPr>
          <w:rFonts w:ascii="Times New Roman" w:eastAsia="Times New Roman" w:hAnsi="Times New Roman" w:cs="Times New Roman"/>
          <w:b/>
          <w:bCs/>
          <w:noProof/>
          <w:sz w:val="24"/>
          <w:szCs w:val="24"/>
          <w:lang w:val="sq-AL"/>
        </w:rPr>
      </w:pPr>
    </w:p>
    <w:p w14:paraId="47DAE8EF" w14:textId="50958E3F" w:rsidR="00847AEB" w:rsidRPr="00641640" w:rsidRDefault="00A4187D" w:rsidP="00F863ED">
      <w:pPr>
        <w:spacing w:line="276" w:lineRule="auto"/>
        <w:jc w:val="both"/>
        <w:rPr>
          <w:rFonts w:ascii="Times New Roman" w:hAnsi="Times New Roman" w:cs="Times New Roman"/>
          <w:bCs/>
          <w:noProof/>
          <w:sz w:val="24"/>
          <w:szCs w:val="24"/>
          <w:lang w:val="sq-AL"/>
        </w:rPr>
      </w:pPr>
      <w:r w:rsidRPr="00641640">
        <w:rPr>
          <w:rFonts w:ascii="Times New Roman" w:eastAsia="Times New Roman" w:hAnsi="Times New Roman" w:cs="Times New Roman"/>
          <w:b/>
          <w:bCs/>
          <w:noProof/>
          <w:sz w:val="24"/>
          <w:szCs w:val="24"/>
          <w:lang w:val="sq-AL"/>
        </w:rPr>
        <w:t>Institucione kryesore:</w:t>
      </w:r>
      <w:r w:rsidRPr="00641640">
        <w:rPr>
          <w:rFonts w:ascii="Times New Roman" w:eastAsia="Times New Roman" w:hAnsi="Times New Roman" w:cs="Times New Roman"/>
          <w:noProof/>
          <w:sz w:val="24"/>
          <w:szCs w:val="24"/>
          <w:lang w:val="sq-AL"/>
        </w:rPr>
        <w:t xml:space="preserve"> </w:t>
      </w:r>
      <w:r w:rsidR="006D5C91" w:rsidRPr="006D5C91">
        <w:rPr>
          <w:rFonts w:ascii="Times New Roman" w:eastAsiaTheme="minorHAnsi" w:hAnsi="Times New Roman" w:cs="Times New Roman"/>
          <w:noProof/>
          <w:sz w:val="22"/>
          <w:szCs w:val="22"/>
          <w:lang w:val="sq-AL"/>
        </w:rPr>
        <w:t xml:space="preserve">Kryeministria, Ministritë e Linjës, </w:t>
      </w:r>
      <w:r w:rsidR="0078027A">
        <w:rPr>
          <w:rFonts w:ascii="Times New Roman" w:eastAsiaTheme="minorHAnsi" w:hAnsi="Times New Roman" w:cs="Times New Roman"/>
          <w:noProof/>
          <w:sz w:val="22"/>
          <w:szCs w:val="22"/>
          <w:lang w:val="sq-AL"/>
        </w:rPr>
        <w:t>Qendra e Botimeve Zyrtare</w:t>
      </w:r>
      <w:r w:rsidR="006E5931">
        <w:rPr>
          <w:rFonts w:ascii="Times New Roman" w:eastAsiaTheme="minorHAnsi" w:hAnsi="Times New Roman" w:cs="Times New Roman"/>
          <w:noProof/>
          <w:sz w:val="22"/>
          <w:szCs w:val="22"/>
          <w:lang w:val="sq-AL"/>
        </w:rPr>
        <w:t>, SASPAC</w:t>
      </w:r>
      <w:r w:rsidR="005927EE" w:rsidRPr="00641640">
        <w:rPr>
          <w:rFonts w:ascii="Times New Roman" w:eastAsiaTheme="minorHAnsi" w:hAnsi="Times New Roman" w:cs="Times New Roman"/>
          <w:noProof/>
          <w:sz w:val="22"/>
          <w:szCs w:val="22"/>
          <w:lang w:val="sq-AL"/>
        </w:rPr>
        <w:t>.</w:t>
      </w:r>
    </w:p>
    <w:p w14:paraId="735EBC20" w14:textId="6A0CEAC6" w:rsidR="00A4187D" w:rsidRPr="00641640" w:rsidRDefault="00A4187D"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kontributore:</w:t>
      </w:r>
      <w:r w:rsidRPr="00641640">
        <w:rPr>
          <w:rFonts w:ascii="Times New Roman" w:eastAsia="Times New Roman" w:hAnsi="Times New Roman" w:cs="Times New Roman"/>
          <w:noProof/>
          <w:sz w:val="24"/>
          <w:szCs w:val="24"/>
          <w:lang w:val="sq-AL"/>
        </w:rPr>
        <w:t xml:space="preserve"> </w:t>
      </w:r>
      <w:r w:rsidR="006E6AD2" w:rsidRPr="006E6AD2">
        <w:rPr>
          <w:rFonts w:ascii="Times New Roman" w:eastAsia="Times New Roman" w:hAnsi="Times New Roman" w:cs="Times New Roman"/>
          <w:noProof/>
          <w:sz w:val="24"/>
          <w:szCs w:val="24"/>
          <w:lang w:val="sq-AL"/>
        </w:rPr>
        <w:t xml:space="preserve">Kryeministria, </w:t>
      </w:r>
      <w:r w:rsidR="00CC5AAB" w:rsidRPr="006D5C91">
        <w:rPr>
          <w:rFonts w:ascii="Times New Roman" w:eastAsiaTheme="minorHAnsi" w:hAnsi="Times New Roman" w:cs="Times New Roman"/>
          <w:noProof/>
          <w:sz w:val="22"/>
          <w:szCs w:val="22"/>
          <w:lang w:val="sq-AL"/>
        </w:rPr>
        <w:t>Ministritë e Linjës</w:t>
      </w:r>
      <w:r w:rsidR="00CC5AAB">
        <w:rPr>
          <w:rFonts w:ascii="Times New Roman" w:eastAsia="Times New Roman" w:hAnsi="Times New Roman" w:cs="Times New Roman"/>
          <w:noProof/>
          <w:sz w:val="24"/>
          <w:szCs w:val="24"/>
          <w:lang w:val="sq-AL"/>
        </w:rPr>
        <w:t xml:space="preserve">, </w:t>
      </w:r>
      <w:r w:rsidR="006E6AD2" w:rsidRPr="006E6AD2">
        <w:rPr>
          <w:rFonts w:ascii="Times New Roman" w:eastAsia="Times New Roman" w:hAnsi="Times New Roman" w:cs="Times New Roman"/>
          <w:noProof/>
          <w:sz w:val="24"/>
          <w:szCs w:val="24"/>
          <w:lang w:val="sq-AL"/>
        </w:rPr>
        <w:t>ASPA,</w:t>
      </w:r>
      <w:r w:rsidR="00142EA9">
        <w:rPr>
          <w:rFonts w:ascii="Times New Roman" w:eastAsia="Times New Roman" w:hAnsi="Times New Roman" w:cs="Times New Roman"/>
          <w:noProof/>
          <w:sz w:val="24"/>
          <w:szCs w:val="24"/>
          <w:lang w:val="sq-AL"/>
        </w:rPr>
        <w:t xml:space="preserve"> AKSHI</w:t>
      </w:r>
      <w:r w:rsidR="00CC5AAB">
        <w:rPr>
          <w:rFonts w:ascii="Times New Roman" w:eastAsia="Times New Roman" w:hAnsi="Times New Roman" w:cs="Times New Roman"/>
          <w:noProof/>
          <w:sz w:val="24"/>
          <w:szCs w:val="24"/>
          <w:lang w:val="sq-AL"/>
        </w:rPr>
        <w:t xml:space="preserve">, </w:t>
      </w:r>
      <w:r w:rsidR="00CC5AAB" w:rsidRPr="006E6AD2">
        <w:rPr>
          <w:rFonts w:ascii="Times New Roman" w:eastAsia="Times New Roman" w:hAnsi="Times New Roman" w:cs="Times New Roman"/>
          <w:noProof/>
          <w:sz w:val="24"/>
          <w:szCs w:val="24"/>
          <w:lang w:val="sq-AL"/>
        </w:rPr>
        <w:t xml:space="preserve">Institucionet </w:t>
      </w:r>
      <w:r w:rsidR="00CC5AAB">
        <w:rPr>
          <w:rFonts w:ascii="Times New Roman" w:eastAsia="Times New Roman" w:hAnsi="Times New Roman" w:cs="Times New Roman"/>
          <w:noProof/>
          <w:sz w:val="24"/>
          <w:szCs w:val="24"/>
          <w:lang w:val="sq-AL"/>
        </w:rPr>
        <w:t>publike</w:t>
      </w:r>
      <w:r w:rsidR="005927EE" w:rsidRPr="00641640">
        <w:rPr>
          <w:rFonts w:ascii="Times New Roman" w:eastAsia="Times New Roman" w:hAnsi="Times New Roman" w:cs="Times New Roman"/>
          <w:noProof/>
          <w:sz w:val="24"/>
          <w:szCs w:val="24"/>
          <w:lang w:val="sq-AL"/>
        </w:rPr>
        <w:t>.</w:t>
      </w:r>
    </w:p>
    <w:p w14:paraId="4282E1E0" w14:textId="77777777" w:rsidR="00C25B0F" w:rsidRPr="00641640" w:rsidRDefault="00C25B0F" w:rsidP="003A395D">
      <w:pPr>
        <w:spacing w:after="0" w:line="276" w:lineRule="auto"/>
        <w:jc w:val="both"/>
        <w:rPr>
          <w:rFonts w:ascii="Times New Roman" w:hAnsi="Times New Roman" w:cs="Times New Roman"/>
          <w:b/>
          <w:bCs/>
          <w:noProof/>
          <w:sz w:val="24"/>
          <w:szCs w:val="24"/>
          <w:lang w:val="sq-AL"/>
        </w:rPr>
      </w:pPr>
    </w:p>
    <w:p w14:paraId="336FBAE0" w14:textId="659C9166" w:rsidR="00A4187D" w:rsidRPr="00641640" w:rsidRDefault="00A4187D" w:rsidP="003A395D">
      <w:pPr>
        <w:spacing w:line="276" w:lineRule="auto"/>
        <w:jc w:val="both"/>
        <w:rPr>
          <w:rStyle w:val="normaltextrun"/>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Masat dhe aktivitetet</w:t>
      </w:r>
    </w:p>
    <w:p w14:paraId="31B9C9DC" w14:textId="25AB4603" w:rsidR="00CE1BDF" w:rsidRPr="00641640" w:rsidRDefault="00CE1BDF"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Ky </w:t>
      </w:r>
      <w:r w:rsidR="005B3EA3" w:rsidRPr="00641640">
        <w:rPr>
          <w:rFonts w:ascii="Times New Roman" w:hAnsi="Times New Roman" w:cs="Times New Roman"/>
          <w:noProof/>
          <w:sz w:val="24"/>
          <w:szCs w:val="24"/>
          <w:lang w:val="sq-AL"/>
        </w:rPr>
        <w:t>o</w:t>
      </w:r>
      <w:r w:rsidRPr="00641640">
        <w:rPr>
          <w:rFonts w:ascii="Times New Roman" w:hAnsi="Times New Roman" w:cs="Times New Roman"/>
          <w:noProof/>
          <w:sz w:val="24"/>
          <w:szCs w:val="24"/>
          <w:lang w:val="sq-AL"/>
        </w:rPr>
        <w:t xml:space="preserve">bjektiv </w:t>
      </w:r>
      <w:r w:rsidR="005B3EA3" w:rsidRPr="00641640">
        <w:rPr>
          <w:rFonts w:ascii="Times New Roman" w:hAnsi="Times New Roman" w:cs="Times New Roman"/>
          <w:noProof/>
          <w:sz w:val="24"/>
          <w:szCs w:val="24"/>
          <w:lang w:val="sq-AL"/>
        </w:rPr>
        <w:t>s</w:t>
      </w:r>
      <w:r w:rsidRPr="00641640">
        <w:rPr>
          <w:rFonts w:ascii="Times New Roman" w:hAnsi="Times New Roman" w:cs="Times New Roman"/>
          <w:noProof/>
          <w:sz w:val="24"/>
          <w:szCs w:val="24"/>
          <w:lang w:val="sq-AL"/>
        </w:rPr>
        <w:t>pecifik do të zbatohet përmes masave të mëposhtme, teksa aktivitetet konkrete për periudhën e parë të zbatimit të SNRAP 202</w:t>
      </w:r>
      <w:r w:rsidR="005B3EA3" w:rsidRPr="00641640">
        <w:rPr>
          <w:rFonts w:ascii="Times New Roman" w:hAnsi="Times New Roman" w:cs="Times New Roman"/>
          <w:noProof/>
          <w:sz w:val="24"/>
          <w:szCs w:val="24"/>
          <w:lang w:val="sq-AL"/>
        </w:rPr>
        <w:t>5</w:t>
      </w:r>
      <w:r w:rsidRPr="00641640">
        <w:rPr>
          <w:rFonts w:ascii="Times New Roman" w:hAnsi="Times New Roman" w:cs="Times New Roman"/>
          <w:noProof/>
          <w:sz w:val="24"/>
          <w:szCs w:val="24"/>
          <w:lang w:val="sq-AL"/>
        </w:rPr>
        <w:t>-2030 mund të gjenden në Planin e Veprimit 202</w:t>
      </w:r>
      <w:r w:rsidR="005B3EA3" w:rsidRPr="00641640">
        <w:rPr>
          <w:rFonts w:ascii="Times New Roman" w:hAnsi="Times New Roman" w:cs="Times New Roman"/>
          <w:noProof/>
          <w:sz w:val="24"/>
          <w:szCs w:val="24"/>
          <w:lang w:val="sq-AL"/>
        </w:rPr>
        <w:t>5</w:t>
      </w:r>
      <w:r w:rsidRPr="00641640">
        <w:rPr>
          <w:rFonts w:ascii="Times New Roman" w:hAnsi="Times New Roman" w:cs="Times New Roman"/>
          <w:noProof/>
          <w:sz w:val="24"/>
          <w:szCs w:val="24"/>
          <w:lang w:val="sq-AL"/>
        </w:rPr>
        <w:t>-202</w:t>
      </w:r>
      <w:r w:rsidR="005B3EA3" w:rsidRPr="00641640">
        <w:rPr>
          <w:rFonts w:ascii="Times New Roman" w:hAnsi="Times New Roman" w:cs="Times New Roman"/>
          <w:noProof/>
          <w:sz w:val="24"/>
          <w:szCs w:val="24"/>
          <w:lang w:val="sq-AL"/>
        </w:rPr>
        <w:t>7</w:t>
      </w:r>
      <w:r w:rsidRPr="00641640">
        <w:rPr>
          <w:rFonts w:ascii="Times New Roman" w:hAnsi="Times New Roman" w:cs="Times New Roman"/>
          <w:noProof/>
          <w:sz w:val="24"/>
          <w:szCs w:val="24"/>
          <w:lang w:val="sq-AL"/>
        </w:rPr>
        <w:t xml:space="preserve"> (Aneksi nr. 1).</w:t>
      </w:r>
    </w:p>
    <w:tbl>
      <w:tblPr>
        <w:tblStyle w:val="TableGrid"/>
        <w:tblW w:w="0" w:type="auto"/>
        <w:shd w:val="clear" w:color="auto" w:fill="C5E0B3" w:themeFill="accent6" w:themeFillTint="66"/>
        <w:tblLayout w:type="fixed"/>
        <w:tblLook w:val="04A0" w:firstRow="1" w:lastRow="0" w:firstColumn="1" w:lastColumn="0" w:noHBand="0" w:noVBand="1"/>
      </w:tblPr>
      <w:tblGrid>
        <w:gridCol w:w="988"/>
        <w:gridCol w:w="8362"/>
      </w:tblGrid>
      <w:tr w:rsidR="004D135D" w:rsidRPr="00641640" w14:paraId="2D98D462" w14:textId="77777777" w:rsidTr="000B3C88">
        <w:trPr>
          <w:trHeight w:val="1160"/>
        </w:trPr>
        <w:tc>
          <w:tcPr>
            <w:tcW w:w="9350" w:type="dxa"/>
            <w:gridSpan w:val="2"/>
            <w:shd w:val="clear" w:color="auto" w:fill="C5E0B3" w:themeFill="accent6" w:themeFillTint="66"/>
          </w:tcPr>
          <w:p w14:paraId="3234C5E6" w14:textId="56CBCE09" w:rsidR="004D135D" w:rsidRPr="00641640" w:rsidRDefault="004D135D" w:rsidP="003A395D">
            <w:pPr>
              <w:spacing w:before="240" w:line="276" w:lineRule="auto"/>
              <w:jc w:val="center"/>
              <w:textAlignment w:val="baseline"/>
              <w:rPr>
                <w:rFonts w:ascii="Times New Roman" w:hAnsi="Times New Roman" w:cs="Times New Roman"/>
                <w:b/>
                <w:i/>
                <w:noProof/>
                <w:sz w:val="22"/>
                <w:szCs w:val="22"/>
                <w:lang w:val="sq-AL"/>
              </w:rPr>
            </w:pPr>
            <w:r w:rsidRPr="00641640">
              <w:rPr>
                <w:rFonts w:ascii="Times New Roman" w:hAnsi="Times New Roman" w:cs="Times New Roman"/>
                <w:b/>
                <w:i/>
                <w:noProof/>
                <w:sz w:val="22"/>
                <w:szCs w:val="22"/>
                <w:lang w:val="sq-AL"/>
              </w:rPr>
              <w:t xml:space="preserve">Objektivi Specifik </w:t>
            </w:r>
            <w:r w:rsidR="0035040C" w:rsidRPr="00641640">
              <w:rPr>
                <w:rFonts w:ascii="Times New Roman" w:hAnsi="Times New Roman" w:cs="Times New Roman"/>
                <w:b/>
                <w:i/>
                <w:noProof/>
                <w:sz w:val="22"/>
                <w:szCs w:val="22"/>
                <w:lang w:val="sq-AL"/>
              </w:rPr>
              <w:t>1</w:t>
            </w:r>
            <w:r w:rsidR="006012DF" w:rsidRPr="00641640">
              <w:rPr>
                <w:rFonts w:ascii="Times New Roman" w:hAnsi="Times New Roman" w:cs="Times New Roman"/>
                <w:b/>
                <w:i/>
                <w:noProof/>
                <w:sz w:val="22"/>
                <w:szCs w:val="22"/>
                <w:lang w:val="sq-AL"/>
              </w:rPr>
              <w:t>.3</w:t>
            </w:r>
            <w:r w:rsidR="003958D2" w:rsidRPr="00641640">
              <w:rPr>
                <w:rFonts w:ascii="Times New Roman" w:hAnsi="Times New Roman" w:cs="Times New Roman"/>
                <w:b/>
                <w:i/>
                <w:noProof/>
                <w:sz w:val="22"/>
                <w:szCs w:val="22"/>
                <w:lang w:val="sq-AL"/>
              </w:rPr>
              <w:t>: Hartimi i politikave mbështetur në të dhëna dhe vlerësim cilësor të ndikimit rregullator, përgjatë një procesi mirëplanifikimi ligjor dhe konsultimi gjithëpërfshirës publik, q</w:t>
            </w:r>
            <w:r w:rsidR="00F92D25" w:rsidRPr="00641640">
              <w:rPr>
                <w:rFonts w:ascii="Times New Roman" w:hAnsi="Times New Roman" w:cs="Times New Roman"/>
                <w:b/>
                <w:i/>
                <w:noProof/>
                <w:sz w:val="22"/>
                <w:szCs w:val="22"/>
                <w:lang w:val="sq-AL"/>
              </w:rPr>
              <w:t>ë</w:t>
            </w:r>
            <w:r w:rsidR="003958D2" w:rsidRPr="00641640">
              <w:rPr>
                <w:rFonts w:ascii="Times New Roman" w:hAnsi="Times New Roman" w:cs="Times New Roman"/>
                <w:b/>
                <w:i/>
                <w:noProof/>
                <w:sz w:val="22"/>
                <w:szCs w:val="22"/>
                <w:lang w:val="sq-AL"/>
              </w:rPr>
              <w:t xml:space="preserve"> garanton p</w:t>
            </w:r>
            <w:r w:rsidR="00F92D25" w:rsidRPr="00641640">
              <w:rPr>
                <w:rFonts w:ascii="Times New Roman" w:hAnsi="Times New Roman" w:cs="Times New Roman"/>
                <w:b/>
                <w:i/>
                <w:noProof/>
                <w:sz w:val="22"/>
                <w:szCs w:val="22"/>
                <w:lang w:val="sq-AL"/>
              </w:rPr>
              <w:t>ë</w:t>
            </w:r>
            <w:r w:rsidR="003958D2" w:rsidRPr="00641640">
              <w:rPr>
                <w:rFonts w:ascii="Times New Roman" w:hAnsi="Times New Roman" w:cs="Times New Roman"/>
                <w:b/>
                <w:i/>
                <w:noProof/>
                <w:sz w:val="22"/>
                <w:szCs w:val="22"/>
                <w:lang w:val="sq-AL"/>
              </w:rPr>
              <w:t>rputhje me acquis-n</w:t>
            </w:r>
            <w:r w:rsidR="00F92D25" w:rsidRPr="00641640">
              <w:rPr>
                <w:rFonts w:ascii="Times New Roman" w:hAnsi="Times New Roman" w:cs="Times New Roman"/>
                <w:b/>
                <w:i/>
                <w:noProof/>
                <w:sz w:val="22"/>
                <w:szCs w:val="22"/>
                <w:lang w:val="sq-AL"/>
              </w:rPr>
              <w:t>ë</w:t>
            </w:r>
            <w:r w:rsidR="003958D2" w:rsidRPr="00641640">
              <w:rPr>
                <w:rFonts w:ascii="Times New Roman" w:hAnsi="Times New Roman" w:cs="Times New Roman"/>
                <w:b/>
                <w:i/>
                <w:noProof/>
                <w:sz w:val="22"/>
                <w:szCs w:val="22"/>
                <w:lang w:val="sq-AL"/>
              </w:rPr>
              <w:t xml:space="preserve"> dhe praktikat e mira nd</w:t>
            </w:r>
            <w:r w:rsidR="00F92D25" w:rsidRPr="00641640">
              <w:rPr>
                <w:rFonts w:ascii="Times New Roman" w:hAnsi="Times New Roman" w:cs="Times New Roman"/>
                <w:b/>
                <w:i/>
                <w:noProof/>
                <w:sz w:val="22"/>
                <w:szCs w:val="22"/>
                <w:lang w:val="sq-AL"/>
              </w:rPr>
              <w:t>ë</w:t>
            </w:r>
            <w:r w:rsidR="003958D2" w:rsidRPr="00641640">
              <w:rPr>
                <w:rFonts w:ascii="Times New Roman" w:hAnsi="Times New Roman" w:cs="Times New Roman"/>
                <w:b/>
                <w:i/>
                <w:noProof/>
                <w:sz w:val="22"/>
                <w:szCs w:val="22"/>
                <w:lang w:val="sq-AL"/>
              </w:rPr>
              <w:t>rkomb</w:t>
            </w:r>
            <w:r w:rsidR="00F92D25" w:rsidRPr="00641640">
              <w:rPr>
                <w:rFonts w:ascii="Times New Roman" w:hAnsi="Times New Roman" w:cs="Times New Roman"/>
                <w:b/>
                <w:i/>
                <w:noProof/>
                <w:sz w:val="22"/>
                <w:szCs w:val="22"/>
                <w:lang w:val="sq-AL"/>
              </w:rPr>
              <w:t>ë</w:t>
            </w:r>
            <w:r w:rsidR="003958D2" w:rsidRPr="00641640">
              <w:rPr>
                <w:rFonts w:ascii="Times New Roman" w:hAnsi="Times New Roman" w:cs="Times New Roman"/>
                <w:b/>
                <w:i/>
                <w:noProof/>
                <w:sz w:val="22"/>
                <w:szCs w:val="22"/>
                <w:lang w:val="sq-AL"/>
              </w:rPr>
              <w:t>tare.</w:t>
            </w:r>
          </w:p>
        </w:tc>
      </w:tr>
      <w:tr w:rsidR="004D135D" w:rsidRPr="00641640" w14:paraId="1788F9A9" w14:textId="77777777" w:rsidTr="000B3C88">
        <w:trPr>
          <w:trHeight w:val="1223"/>
        </w:trPr>
        <w:tc>
          <w:tcPr>
            <w:tcW w:w="988" w:type="dxa"/>
            <w:shd w:val="clear" w:color="auto" w:fill="C5E0B3" w:themeFill="accent6" w:themeFillTint="66"/>
          </w:tcPr>
          <w:p w14:paraId="5B18868C" w14:textId="5F1A2FCB" w:rsidR="004D135D" w:rsidRPr="00641640" w:rsidRDefault="004D135D"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C523FF" w:rsidRPr="00641640">
              <w:rPr>
                <w:rFonts w:ascii="Times New Roman" w:hAnsi="Times New Roman" w:cs="Times New Roman"/>
                <w:b/>
                <w:noProof/>
                <w:sz w:val="22"/>
                <w:szCs w:val="22"/>
                <w:lang w:val="sq-AL"/>
              </w:rPr>
              <w:t>1</w:t>
            </w:r>
            <w:r w:rsidRPr="00641640">
              <w:rPr>
                <w:rFonts w:ascii="Times New Roman" w:hAnsi="Times New Roman" w:cs="Times New Roman"/>
                <w:b/>
                <w:noProof/>
                <w:sz w:val="22"/>
                <w:szCs w:val="22"/>
                <w:lang w:val="sq-AL"/>
              </w:rPr>
              <w:t>.</w:t>
            </w:r>
            <w:r w:rsidR="006012DF" w:rsidRPr="00641640">
              <w:rPr>
                <w:rFonts w:ascii="Times New Roman" w:hAnsi="Times New Roman" w:cs="Times New Roman"/>
                <w:b/>
                <w:noProof/>
                <w:sz w:val="22"/>
                <w:szCs w:val="22"/>
                <w:lang w:val="sq-AL"/>
              </w:rPr>
              <w:t>3</w:t>
            </w:r>
            <w:r w:rsidRPr="00641640">
              <w:rPr>
                <w:rFonts w:ascii="Times New Roman" w:hAnsi="Times New Roman" w:cs="Times New Roman"/>
                <w:b/>
                <w:noProof/>
                <w:sz w:val="22"/>
                <w:szCs w:val="22"/>
                <w:lang w:val="sq-AL"/>
              </w:rPr>
              <w:t>.1</w:t>
            </w:r>
          </w:p>
        </w:tc>
        <w:tc>
          <w:tcPr>
            <w:tcW w:w="8362" w:type="dxa"/>
            <w:shd w:val="clear" w:color="auto" w:fill="auto"/>
          </w:tcPr>
          <w:p w14:paraId="56EE859F" w14:textId="1D78AF4A" w:rsidR="00FE6B6C" w:rsidRPr="00641640" w:rsidRDefault="00995975" w:rsidP="003A395D">
            <w:pPr>
              <w:spacing w:line="276" w:lineRule="auto"/>
              <w:contextualSpacing/>
              <w:jc w:val="both"/>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Harmonizimi i programimit ligjor dhe procesit të Vlerësimit të Ndikimit Rregullator (VNR/RIA), përmes shoqërimit të projektakteve me një raport të thjeshtuar paraprak të ndikimit rregullator (RIA) para planifikimit të tyre në Programin e Përgjithshëm Analitik të Projektakteve (PPAP).</w:t>
            </w:r>
          </w:p>
        </w:tc>
      </w:tr>
      <w:tr w:rsidR="00A93040" w:rsidRPr="00641640" w14:paraId="704C7DFC" w14:textId="77777777" w:rsidTr="000B3C88">
        <w:trPr>
          <w:trHeight w:val="737"/>
        </w:trPr>
        <w:tc>
          <w:tcPr>
            <w:tcW w:w="988" w:type="dxa"/>
            <w:shd w:val="clear" w:color="auto" w:fill="C5E0B3" w:themeFill="accent6" w:themeFillTint="66"/>
          </w:tcPr>
          <w:p w14:paraId="7078CE97" w14:textId="4FB43964" w:rsidR="00A93040" w:rsidRPr="00641640" w:rsidRDefault="00A93040"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lastRenderedPageBreak/>
              <w:t xml:space="preserve">Masa </w:t>
            </w:r>
            <w:r w:rsidR="00C523FF" w:rsidRPr="00641640">
              <w:rPr>
                <w:rFonts w:ascii="Times New Roman" w:hAnsi="Times New Roman" w:cs="Times New Roman"/>
                <w:b/>
                <w:noProof/>
                <w:sz w:val="22"/>
                <w:szCs w:val="22"/>
                <w:lang w:val="sq-AL"/>
              </w:rPr>
              <w:t>1</w:t>
            </w:r>
            <w:r w:rsidRPr="00641640">
              <w:rPr>
                <w:rFonts w:ascii="Times New Roman" w:hAnsi="Times New Roman" w:cs="Times New Roman"/>
                <w:b/>
                <w:noProof/>
                <w:sz w:val="22"/>
                <w:szCs w:val="22"/>
                <w:lang w:val="sq-AL"/>
              </w:rPr>
              <w:t>.3.2</w:t>
            </w:r>
          </w:p>
        </w:tc>
        <w:tc>
          <w:tcPr>
            <w:tcW w:w="8362" w:type="dxa"/>
            <w:shd w:val="clear" w:color="auto" w:fill="auto"/>
          </w:tcPr>
          <w:p w14:paraId="659A6CCA" w14:textId="5446A385" w:rsidR="00FE6B6C" w:rsidRPr="00641640" w:rsidRDefault="00995975"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Përmirësimi i përputhshmërisë së politikave të propozuara në Programin e Përgjithshëm Analitik të Projektakteve me politikat e përgjithshme dhe prioritetet qeveritare.</w:t>
            </w:r>
          </w:p>
        </w:tc>
      </w:tr>
      <w:tr w:rsidR="00A93040" w:rsidRPr="00641640" w14:paraId="5A7C46D8" w14:textId="77777777" w:rsidTr="000B3C88">
        <w:trPr>
          <w:trHeight w:val="701"/>
        </w:trPr>
        <w:tc>
          <w:tcPr>
            <w:tcW w:w="988" w:type="dxa"/>
            <w:shd w:val="clear" w:color="auto" w:fill="C5E0B3" w:themeFill="accent6" w:themeFillTint="66"/>
          </w:tcPr>
          <w:p w14:paraId="30D87C3B" w14:textId="424A029C" w:rsidR="00A93040" w:rsidRPr="00641640" w:rsidRDefault="00A93040"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C523FF" w:rsidRPr="00641640">
              <w:rPr>
                <w:rFonts w:ascii="Times New Roman" w:hAnsi="Times New Roman" w:cs="Times New Roman"/>
                <w:b/>
                <w:noProof/>
                <w:sz w:val="22"/>
                <w:szCs w:val="22"/>
                <w:lang w:val="sq-AL"/>
              </w:rPr>
              <w:t>1</w:t>
            </w:r>
            <w:r w:rsidRPr="00641640">
              <w:rPr>
                <w:rFonts w:ascii="Times New Roman" w:hAnsi="Times New Roman" w:cs="Times New Roman"/>
                <w:b/>
                <w:noProof/>
                <w:sz w:val="22"/>
                <w:szCs w:val="22"/>
                <w:lang w:val="sq-AL"/>
              </w:rPr>
              <w:t>.3.3</w:t>
            </w:r>
          </w:p>
        </w:tc>
        <w:tc>
          <w:tcPr>
            <w:tcW w:w="8362" w:type="dxa"/>
            <w:shd w:val="clear" w:color="auto" w:fill="auto"/>
          </w:tcPr>
          <w:p w14:paraId="7C22B4BA" w14:textId="3976B711" w:rsidR="00A93040" w:rsidRPr="00641640" w:rsidRDefault="008C5148"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Mbështetja në praktika të mira ndërkombëtare dhe përafrimi efikas me acquis-në dhe standardet evropiane përgjatë përgatitjes së nismave të reja ligjore dhe politike.</w:t>
            </w:r>
            <w:r w:rsidR="00A93040" w:rsidRPr="00641640">
              <w:rPr>
                <w:rFonts w:ascii="Times New Roman" w:hAnsi="Times New Roman" w:cs="Times New Roman"/>
                <w:noProof/>
                <w:sz w:val="22"/>
                <w:szCs w:val="22"/>
                <w:lang w:val="sq-AL"/>
              </w:rPr>
              <w:t xml:space="preserve">    </w:t>
            </w:r>
          </w:p>
        </w:tc>
      </w:tr>
      <w:tr w:rsidR="00012F53" w:rsidRPr="00641640" w14:paraId="3A8C5239" w14:textId="77777777" w:rsidTr="000B3C88">
        <w:trPr>
          <w:trHeight w:val="719"/>
        </w:trPr>
        <w:tc>
          <w:tcPr>
            <w:tcW w:w="988" w:type="dxa"/>
            <w:shd w:val="clear" w:color="auto" w:fill="C5E0B3" w:themeFill="accent6" w:themeFillTint="66"/>
          </w:tcPr>
          <w:p w14:paraId="6FC74901" w14:textId="016A67E5" w:rsidR="00012F53" w:rsidRPr="00641640" w:rsidRDefault="006B4316"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C523FF" w:rsidRPr="00641640">
              <w:rPr>
                <w:rFonts w:ascii="Times New Roman" w:hAnsi="Times New Roman" w:cs="Times New Roman"/>
                <w:b/>
                <w:noProof/>
                <w:sz w:val="22"/>
                <w:szCs w:val="22"/>
                <w:lang w:val="sq-AL"/>
              </w:rPr>
              <w:t>1</w:t>
            </w:r>
            <w:r w:rsidRPr="00641640">
              <w:rPr>
                <w:rFonts w:ascii="Times New Roman" w:hAnsi="Times New Roman" w:cs="Times New Roman"/>
                <w:b/>
                <w:noProof/>
                <w:sz w:val="22"/>
                <w:szCs w:val="22"/>
                <w:lang w:val="sq-AL"/>
              </w:rPr>
              <w:t>.3.4</w:t>
            </w:r>
          </w:p>
        </w:tc>
        <w:tc>
          <w:tcPr>
            <w:tcW w:w="8362" w:type="dxa"/>
            <w:shd w:val="clear" w:color="auto" w:fill="auto"/>
          </w:tcPr>
          <w:p w14:paraId="4B489516" w14:textId="3C089404" w:rsidR="00012F53" w:rsidRPr="00641640" w:rsidRDefault="00C006A1"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Përmirësimi i cilësisë së kryerjes dhe monitorimit të procesit RIA, përmes rritjes së burimeve dhe kapaciteteve në Kryeministri dhe institucionet përkatëse.</w:t>
            </w:r>
            <w:r w:rsidR="006B4316" w:rsidRPr="00641640">
              <w:rPr>
                <w:rFonts w:ascii="Times New Roman" w:hAnsi="Times New Roman" w:cs="Times New Roman"/>
                <w:noProof/>
                <w:sz w:val="22"/>
                <w:szCs w:val="22"/>
                <w:lang w:val="sq-AL"/>
              </w:rPr>
              <w:t xml:space="preserve"> </w:t>
            </w:r>
          </w:p>
        </w:tc>
      </w:tr>
      <w:tr w:rsidR="004D135D" w:rsidRPr="00641640" w14:paraId="0A03D74E" w14:textId="77777777" w:rsidTr="000B3C88">
        <w:trPr>
          <w:trHeight w:val="719"/>
        </w:trPr>
        <w:tc>
          <w:tcPr>
            <w:tcW w:w="988" w:type="dxa"/>
            <w:shd w:val="clear" w:color="auto" w:fill="C5E0B3" w:themeFill="accent6" w:themeFillTint="66"/>
          </w:tcPr>
          <w:p w14:paraId="7CDE7426" w14:textId="7A405B17" w:rsidR="004D135D" w:rsidRPr="00641640" w:rsidRDefault="004D135D"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M</w:t>
            </w:r>
            <w:r w:rsidR="006012DF" w:rsidRPr="00641640">
              <w:rPr>
                <w:rFonts w:ascii="Times New Roman" w:hAnsi="Times New Roman" w:cs="Times New Roman"/>
                <w:b/>
                <w:noProof/>
                <w:sz w:val="22"/>
                <w:szCs w:val="22"/>
                <w:lang w:val="sq-AL"/>
              </w:rPr>
              <w:t xml:space="preserve">asa </w:t>
            </w:r>
            <w:r w:rsidR="00C523FF" w:rsidRPr="00641640">
              <w:rPr>
                <w:rFonts w:ascii="Times New Roman" w:hAnsi="Times New Roman" w:cs="Times New Roman"/>
                <w:b/>
                <w:noProof/>
                <w:sz w:val="22"/>
                <w:szCs w:val="22"/>
                <w:lang w:val="sq-AL"/>
              </w:rPr>
              <w:t>1</w:t>
            </w:r>
            <w:r w:rsidR="006012DF" w:rsidRPr="00641640">
              <w:rPr>
                <w:rFonts w:ascii="Times New Roman" w:hAnsi="Times New Roman" w:cs="Times New Roman"/>
                <w:b/>
                <w:noProof/>
                <w:sz w:val="22"/>
                <w:szCs w:val="22"/>
                <w:lang w:val="sq-AL"/>
              </w:rPr>
              <w:t>.3</w:t>
            </w:r>
            <w:r w:rsidR="006B4316" w:rsidRPr="00641640">
              <w:rPr>
                <w:rFonts w:ascii="Times New Roman" w:hAnsi="Times New Roman" w:cs="Times New Roman"/>
                <w:b/>
                <w:noProof/>
                <w:sz w:val="22"/>
                <w:szCs w:val="22"/>
                <w:lang w:val="sq-AL"/>
              </w:rPr>
              <w:t>.5</w:t>
            </w:r>
          </w:p>
        </w:tc>
        <w:tc>
          <w:tcPr>
            <w:tcW w:w="8362" w:type="dxa"/>
            <w:shd w:val="clear" w:color="auto" w:fill="auto"/>
          </w:tcPr>
          <w:p w14:paraId="7D1AD900" w14:textId="3B3207DE" w:rsidR="004D135D" w:rsidRPr="00641640" w:rsidRDefault="00155647"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Zgjerimi i procesit RIA tek aktet e legjislacionit dytësor me interes të lartë publik, përmes rishikimit dhe plotësimit të kuadrit normativ, si dhe zbatimit të tij në praktikë.</w:t>
            </w:r>
          </w:p>
        </w:tc>
      </w:tr>
      <w:tr w:rsidR="00A93040" w:rsidRPr="00641640" w14:paraId="72410FB1" w14:textId="77777777" w:rsidTr="000B3C88">
        <w:trPr>
          <w:trHeight w:val="701"/>
        </w:trPr>
        <w:tc>
          <w:tcPr>
            <w:tcW w:w="988" w:type="dxa"/>
            <w:shd w:val="clear" w:color="auto" w:fill="C5E0B3" w:themeFill="accent6" w:themeFillTint="66"/>
          </w:tcPr>
          <w:p w14:paraId="5EF0FD6A" w14:textId="47114D6F" w:rsidR="00A93040" w:rsidRPr="00641640" w:rsidRDefault="006B4316"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C523FF" w:rsidRPr="00641640">
              <w:rPr>
                <w:rFonts w:ascii="Times New Roman" w:hAnsi="Times New Roman" w:cs="Times New Roman"/>
                <w:b/>
                <w:noProof/>
                <w:sz w:val="22"/>
                <w:szCs w:val="22"/>
                <w:lang w:val="sq-AL"/>
              </w:rPr>
              <w:t>1</w:t>
            </w:r>
            <w:r w:rsidRPr="00641640">
              <w:rPr>
                <w:rFonts w:ascii="Times New Roman" w:hAnsi="Times New Roman" w:cs="Times New Roman"/>
                <w:b/>
                <w:noProof/>
                <w:sz w:val="22"/>
                <w:szCs w:val="22"/>
                <w:lang w:val="sq-AL"/>
              </w:rPr>
              <w:t>.3.6</w:t>
            </w:r>
          </w:p>
        </w:tc>
        <w:tc>
          <w:tcPr>
            <w:tcW w:w="8362" w:type="dxa"/>
            <w:shd w:val="clear" w:color="auto" w:fill="auto"/>
          </w:tcPr>
          <w:p w14:paraId="5E36AABD" w14:textId="62004682" w:rsidR="00A93040" w:rsidRPr="00641640" w:rsidRDefault="00155647"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Harmonizimi i procesit të Vlerësimit të Ndikimit Rregullator me procesin e konsultimit publik.</w:t>
            </w:r>
          </w:p>
        </w:tc>
      </w:tr>
      <w:tr w:rsidR="00A93040" w:rsidRPr="00641640" w14:paraId="46C8D0E4" w14:textId="77777777" w:rsidTr="000B3C88">
        <w:trPr>
          <w:trHeight w:val="701"/>
        </w:trPr>
        <w:tc>
          <w:tcPr>
            <w:tcW w:w="988" w:type="dxa"/>
            <w:shd w:val="clear" w:color="auto" w:fill="C5E0B3" w:themeFill="accent6" w:themeFillTint="66"/>
          </w:tcPr>
          <w:p w14:paraId="5BD61CAC" w14:textId="5D76DD35" w:rsidR="00A93040" w:rsidRPr="00641640" w:rsidRDefault="006B4316"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C523FF" w:rsidRPr="00641640">
              <w:rPr>
                <w:rFonts w:ascii="Times New Roman" w:hAnsi="Times New Roman" w:cs="Times New Roman"/>
                <w:b/>
                <w:noProof/>
                <w:sz w:val="22"/>
                <w:szCs w:val="22"/>
                <w:lang w:val="sq-AL"/>
              </w:rPr>
              <w:t>1</w:t>
            </w:r>
            <w:r w:rsidRPr="00641640">
              <w:rPr>
                <w:rFonts w:ascii="Times New Roman" w:hAnsi="Times New Roman" w:cs="Times New Roman"/>
                <w:b/>
                <w:noProof/>
                <w:sz w:val="22"/>
                <w:szCs w:val="22"/>
                <w:lang w:val="sq-AL"/>
              </w:rPr>
              <w:t>.3.7</w:t>
            </w:r>
          </w:p>
        </w:tc>
        <w:tc>
          <w:tcPr>
            <w:tcW w:w="8362" w:type="dxa"/>
            <w:shd w:val="clear" w:color="auto" w:fill="auto"/>
          </w:tcPr>
          <w:p w14:paraId="4016D3D1" w14:textId="4C6AE719" w:rsidR="00A93040" w:rsidRPr="00641640" w:rsidRDefault="009A0948"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Përmirësimi cilësor dhe sasior i procesit të konsultimit publik, përmes rritjes së numrit të akteve që konsultohen, si dhe rritjes së pjesëmarrjes qytetare në proces.</w:t>
            </w:r>
          </w:p>
        </w:tc>
      </w:tr>
      <w:tr w:rsidR="00E20A94" w:rsidRPr="00641640" w14:paraId="40BBED68" w14:textId="77777777" w:rsidTr="000B3C88">
        <w:trPr>
          <w:trHeight w:val="719"/>
        </w:trPr>
        <w:tc>
          <w:tcPr>
            <w:tcW w:w="988" w:type="dxa"/>
            <w:shd w:val="clear" w:color="auto" w:fill="C5E0B3" w:themeFill="accent6" w:themeFillTint="66"/>
          </w:tcPr>
          <w:p w14:paraId="46D50F51" w14:textId="12E87898" w:rsidR="00E20A94" w:rsidRPr="00641640" w:rsidRDefault="00E20A94"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C523FF" w:rsidRPr="00641640">
              <w:rPr>
                <w:rFonts w:ascii="Times New Roman" w:hAnsi="Times New Roman" w:cs="Times New Roman"/>
                <w:b/>
                <w:noProof/>
                <w:sz w:val="22"/>
                <w:szCs w:val="22"/>
                <w:lang w:val="sq-AL"/>
              </w:rPr>
              <w:t>1</w:t>
            </w:r>
            <w:r w:rsidRPr="00641640">
              <w:rPr>
                <w:rFonts w:ascii="Times New Roman" w:hAnsi="Times New Roman" w:cs="Times New Roman"/>
                <w:b/>
                <w:noProof/>
                <w:sz w:val="22"/>
                <w:szCs w:val="22"/>
                <w:lang w:val="sq-AL"/>
              </w:rPr>
              <w:t>.3.</w:t>
            </w:r>
            <w:r w:rsidR="006B4316" w:rsidRPr="00641640">
              <w:rPr>
                <w:rFonts w:ascii="Times New Roman" w:hAnsi="Times New Roman" w:cs="Times New Roman"/>
                <w:b/>
                <w:noProof/>
                <w:sz w:val="22"/>
                <w:szCs w:val="22"/>
                <w:lang w:val="sq-AL"/>
              </w:rPr>
              <w:t>8</w:t>
            </w:r>
          </w:p>
        </w:tc>
        <w:tc>
          <w:tcPr>
            <w:tcW w:w="8362" w:type="dxa"/>
            <w:shd w:val="clear" w:color="auto" w:fill="auto"/>
          </w:tcPr>
          <w:p w14:paraId="76B9609A" w14:textId="74D3224E" w:rsidR="00E20A94" w:rsidRPr="00641640" w:rsidRDefault="009A0948"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Zgjerimi i procesit të konsultimit publik tek aktet e legjislacionit dytësor me interes të lartë publik.</w:t>
            </w:r>
          </w:p>
        </w:tc>
      </w:tr>
      <w:tr w:rsidR="004D135D" w:rsidRPr="00641640" w14:paraId="2DED5A71" w14:textId="77777777" w:rsidTr="000B3C88">
        <w:tc>
          <w:tcPr>
            <w:tcW w:w="988" w:type="dxa"/>
            <w:shd w:val="clear" w:color="auto" w:fill="C5E0B3" w:themeFill="accent6" w:themeFillTint="66"/>
          </w:tcPr>
          <w:p w14:paraId="762019FF" w14:textId="3DFFB46C" w:rsidR="004D135D" w:rsidRPr="00641640" w:rsidRDefault="006012DF"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C523FF" w:rsidRPr="00641640">
              <w:rPr>
                <w:rFonts w:ascii="Times New Roman" w:hAnsi="Times New Roman" w:cs="Times New Roman"/>
                <w:b/>
                <w:noProof/>
                <w:sz w:val="22"/>
                <w:szCs w:val="22"/>
                <w:lang w:val="sq-AL"/>
              </w:rPr>
              <w:t>1</w:t>
            </w:r>
            <w:r w:rsidRPr="00641640">
              <w:rPr>
                <w:rFonts w:ascii="Times New Roman" w:hAnsi="Times New Roman" w:cs="Times New Roman"/>
                <w:b/>
                <w:noProof/>
                <w:sz w:val="22"/>
                <w:szCs w:val="22"/>
                <w:lang w:val="sq-AL"/>
              </w:rPr>
              <w:t>.3</w:t>
            </w:r>
            <w:r w:rsidR="004D135D" w:rsidRPr="00641640">
              <w:rPr>
                <w:rFonts w:ascii="Times New Roman" w:hAnsi="Times New Roman" w:cs="Times New Roman"/>
                <w:b/>
                <w:noProof/>
                <w:sz w:val="22"/>
                <w:szCs w:val="22"/>
                <w:lang w:val="sq-AL"/>
              </w:rPr>
              <w:t>.</w:t>
            </w:r>
            <w:r w:rsidR="006B4316" w:rsidRPr="00641640">
              <w:rPr>
                <w:rFonts w:ascii="Times New Roman" w:hAnsi="Times New Roman" w:cs="Times New Roman"/>
                <w:b/>
                <w:noProof/>
                <w:sz w:val="22"/>
                <w:szCs w:val="22"/>
                <w:lang w:val="sq-AL"/>
              </w:rPr>
              <w:t>9</w:t>
            </w:r>
          </w:p>
        </w:tc>
        <w:tc>
          <w:tcPr>
            <w:tcW w:w="8362" w:type="dxa"/>
            <w:shd w:val="clear" w:color="auto" w:fill="auto"/>
          </w:tcPr>
          <w:p w14:paraId="489241A6" w14:textId="7E9270B6" w:rsidR="004D135D" w:rsidRPr="00641640" w:rsidRDefault="006F152A"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Rritja e pjesëmarrjes qytetare në procesin e konsultimit publik.</w:t>
            </w:r>
          </w:p>
        </w:tc>
      </w:tr>
      <w:tr w:rsidR="00CE1BDF" w:rsidRPr="00641640" w14:paraId="7D3259F2" w14:textId="77777777" w:rsidTr="000B3C88">
        <w:trPr>
          <w:trHeight w:val="728"/>
        </w:trPr>
        <w:tc>
          <w:tcPr>
            <w:tcW w:w="988" w:type="dxa"/>
            <w:shd w:val="clear" w:color="auto" w:fill="C5E0B3" w:themeFill="accent6" w:themeFillTint="66"/>
          </w:tcPr>
          <w:p w14:paraId="27EDA016" w14:textId="0269E84F" w:rsidR="00CE1BDF" w:rsidRPr="00641640" w:rsidRDefault="00CE1BDF"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M</w:t>
            </w:r>
            <w:r w:rsidR="006012DF" w:rsidRPr="00641640">
              <w:rPr>
                <w:rFonts w:ascii="Times New Roman" w:hAnsi="Times New Roman" w:cs="Times New Roman"/>
                <w:b/>
                <w:noProof/>
                <w:sz w:val="22"/>
                <w:szCs w:val="22"/>
                <w:lang w:val="sq-AL"/>
              </w:rPr>
              <w:t xml:space="preserve">asa </w:t>
            </w:r>
            <w:r w:rsidR="00C523FF" w:rsidRPr="00641640">
              <w:rPr>
                <w:rFonts w:ascii="Times New Roman" w:hAnsi="Times New Roman" w:cs="Times New Roman"/>
                <w:b/>
                <w:noProof/>
                <w:sz w:val="22"/>
                <w:szCs w:val="22"/>
                <w:lang w:val="sq-AL"/>
              </w:rPr>
              <w:t>1</w:t>
            </w:r>
            <w:r w:rsidR="006012DF" w:rsidRPr="00641640">
              <w:rPr>
                <w:rFonts w:ascii="Times New Roman" w:hAnsi="Times New Roman" w:cs="Times New Roman"/>
                <w:b/>
                <w:noProof/>
                <w:sz w:val="22"/>
                <w:szCs w:val="22"/>
                <w:lang w:val="sq-AL"/>
              </w:rPr>
              <w:t>.3</w:t>
            </w:r>
            <w:r w:rsidRPr="00641640">
              <w:rPr>
                <w:rFonts w:ascii="Times New Roman" w:hAnsi="Times New Roman" w:cs="Times New Roman"/>
                <w:b/>
                <w:noProof/>
                <w:sz w:val="22"/>
                <w:szCs w:val="22"/>
                <w:lang w:val="sq-AL"/>
              </w:rPr>
              <w:t>.</w:t>
            </w:r>
            <w:r w:rsidR="006B4316" w:rsidRPr="00641640">
              <w:rPr>
                <w:rFonts w:ascii="Times New Roman" w:hAnsi="Times New Roman" w:cs="Times New Roman"/>
                <w:b/>
                <w:noProof/>
                <w:sz w:val="22"/>
                <w:szCs w:val="22"/>
                <w:lang w:val="sq-AL"/>
              </w:rPr>
              <w:t>10</w:t>
            </w:r>
          </w:p>
        </w:tc>
        <w:tc>
          <w:tcPr>
            <w:tcW w:w="8362" w:type="dxa"/>
            <w:shd w:val="clear" w:color="auto" w:fill="auto"/>
          </w:tcPr>
          <w:p w14:paraId="62233EF0" w14:textId="1C902E40" w:rsidR="00CE1BDF" w:rsidRPr="00641640" w:rsidRDefault="006F152A"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Plotësimi i procesit të vlerësimit të ndikimit rregullator përmes vlerësimit ex-post, për të siguruar monitorim dhe përmirësim të vazhdueshëm të kuadrit ligjor.</w:t>
            </w:r>
          </w:p>
        </w:tc>
      </w:tr>
      <w:tr w:rsidR="001910AA" w:rsidRPr="00641640" w14:paraId="6A7036E9" w14:textId="77777777" w:rsidTr="000B3C88">
        <w:trPr>
          <w:trHeight w:val="620"/>
        </w:trPr>
        <w:tc>
          <w:tcPr>
            <w:tcW w:w="988" w:type="dxa"/>
            <w:shd w:val="clear" w:color="auto" w:fill="C5E0B3" w:themeFill="accent6" w:themeFillTint="66"/>
          </w:tcPr>
          <w:p w14:paraId="65CB207D" w14:textId="42033B63" w:rsidR="001910AA" w:rsidRPr="00641640" w:rsidRDefault="006B4316"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C523FF" w:rsidRPr="00641640">
              <w:rPr>
                <w:rFonts w:ascii="Times New Roman" w:hAnsi="Times New Roman" w:cs="Times New Roman"/>
                <w:b/>
                <w:noProof/>
                <w:sz w:val="22"/>
                <w:szCs w:val="22"/>
                <w:lang w:val="sq-AL"/>
              </w:rPr>
              <w:t>1</w:t>
            </w:r>
            <w:r w:rsidRPr="00641640">
              <w:rPr>
                <w:rFonts w:ascii="Times New Roman" w:hAnsi="Times New Roman" w:cs="Times New Roman"/>
                <w:b/>
                <w:noProof/>
                <w:sz w:val="22"/>
                <w:szCs w:val="22"/>
                <w:lang w:val="sq-AL"/>
              </w:rPr>
              <w:t>.3.11</w:t>
            </w:r>
          </w:p>
        </w:tc>
        <w:tc>
          <w:tcPr>
            <w:tcW w:w="8362" w:type="dxa"/>
            <w:shd w:val="clear" w:color="auto" w:fill="auto"/>
          </w:tcPr>
          <w:p w14:paraId="3CAA4044" w14:textId="4065E717" w:rsidR="001910AA" w:rsidRPr="00641640" w:rsidRDefault="005B2030"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Rritja e transparencës së agjendës vendimmarrëse të qeverisjes qëndrore.</w:t>
            </w:r>
          </w:p>
        </w:tc>
      </w:tr>
    </w:tbl>
    <w:p w14:paraId="14106169" w14:textId="77777777" w:rsidR="00AC5804" w:rsidRPr="00641640" w:rsidRDefault="00AC5804" w:rsidP="003A395D">
      <w:pPr>
        <w:spacing w:line="276" w:lineRule="auto"/>
        <w:jc w:val="both"/>
        <w:rPr>
          <w:rFonts w:ascii="Times New Roman" w:hAnsi="Times New Roman" w:cs="Times New Roman"/>
          <w:b/>
          <w:bCs/>
          <w:noProof/>
          <w:sz w:val="24"/>
          <w:szCs w:val="24"/>
          <w:lang w:val="sq-AL"/>
        </w:rPr>
      </w:pPr>
    </w:p>
    <w:p w14:paraId="4F586332" w14:textId="38B58FBD" w:rsidR="007277CE" w:rsidRPr="00641640" w:rsidRDefault="007277CE"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Lidhja e treguesve kryesorë të performancës më Qëllimin e Politikës I, Objektivin Specifik 1.</w:t>
      </w:r>
      <w:r w:rsidR="0035040C" w:rsidRPr="00641640">
        <w:rPr>
          <w:rFonts w:ascii="Times New Roman" w:hAnsi="Times New Roman" w:cs="Times New Roman"/>
          <w:b/>
          <w:bCs/>
          <w:noProof/>
          <w:sz w:val="24"/>
          <w:szCs w:val="24"/>
          <w:lang w:val="sq-AL"/>
        </w:rPr>
        <w:t>3</w:t>
      </w:r>
      <w:r w:rsidRPr="00641640">
        <w:rPr>
          <w:rFonts w:ascii="Times New Roman" w:hAnsi="Times New Roman" w:cs="Times New Roman"/>
          <w:b/>
          <w:bCs/>
          <w:noProof/>
          <w:sz w:val="24"/>
          <w:szCs w:val="24"/>
          <w:lang w:val="sq-AL"/>
        </w:rPr>
        <w:t xml:space="preserve"> dhe institucionet përgjegjëse.</w:t>
      </w:r>
    </w:p>
    <w:tbl>
      <w:tblPr>
        <w:tblStyle w:val="TableGrid"/>
        <w:tblW w:w="93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2"/>
        <w:gridCol w:w="1980"/>
        <w:gridCol w:w="2160"/>
        <w:gridCol w:w="2340"/>
        <w:gridCol w:w="1890"/>
      </w:tblGrid>
      <w:tr w:rsidR="00247036" w:rsidRPr="00641640" w14:paraId="604A8E39" w14:textId="77777777" w:rsidTr="000B3C88">
        <w:trPr>
          <w:trHeight w:val="15"/>
        </w:trPr>
        <w:tc>
          <w:tcPr>
            <w:tcW w:w="982" w:type="dxa"/>
            <w:shd w:val="clear" w:color="auto" w:fill="C5E0B3" w:themeFill="accent6" w:themeFillTint="66"/>
            <w:tcMar>
              <w:top w:w="15" w:type="dxa"/>
              <w:left w:w="75" w:type="dxa"/>
              <w:bottom w:w="15" w:type="dxa"/>
              <w:right w:w="75" w:type="dxa"/>
            </w:tcMar>
          </w:tcPr>
          <w:p w14:paraId="2908FA55" w14:textId="77777777" w:rsidR="00247036" w:rsidRPr="00641640" w:rsidRDefault="00247036" w:rsidP="003A395D">
            <w:pPr>
              <w:spacing w:line="276" w:lineRule="auto"/>
              <w:jc w:val="center"/>
              <w:rPr>
                <w:rFonts w:ascii="Times New Roman" w:eastAsia="Arial" w:hAnsi="Times New Roman" w:cs="Times New Roman"/>
                <w:b/>
                <w:bCs/>
                <w:noProof/>
                <w:sz w:val="22"/>
                <w:szCs w:val="22"/>
                <w:lang w:val="sq-AL"/>
              </w:rPr>
            </w:pPr>
          </w:p>
          <w:p w14:paraId="58786951" w14:textId="77777777" w:rsidR="00247036" w:rsidRPr="00641640" w:rsidRDefault="00247036"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Lloji i treguesit</w:t>
            </w:r>
          </w:p>
        </w:tc>
        <w:tc>
          <w:tcPr>
            <w:tcW w:w="1980" w:type="dxa"/>
            <w:shd w:val="clear" w:color="auto" w:fill="C5E0B3" w:themeFill="accent6" w:themeFillTint="66"/>
            <w:tcMar>
              <w:top w:w="15" w:type="dxa"/>
              <w:left w:w="75" w:type="dxa"/>
              <w:bottom w:w="15" w:type="dxa"/>
              <w:right w:w="75" w:type="dxa"/>
            </w:tcMar>
          </w:tcPr>
          <w:p w14:paraId="1E6D2B7C" w14:textId="77777777" w:rsidR="00247036" w:rsidRPr="00641640" w:rsidRDefault="00247036" w:rsidP="003A395D">
            <w:pPr>
              <w:spacing w:line="276" w:lineRule="auto"/>
              <w:jc w:val="center"/>
              <w:rPr>
                <w:rFonts w:ascii="Times New Roman" w:eastAsia="Arial" w:hAnsi="Times New Roman" w:cs="Times New Roman"/>
                <w:b/>
                <w:bCs/>
                <w:noProof/>
                <w:sz w:val="22"/>
                <w:szCs w:val="22"/>
                <w:lang w:val="sq-AL"/>
              </w:rPr>
            </w:pPr>
          </w:p>
          <w:p w14:paraId="5D29EC77" w14:textId="77777777" w:rsidR="00247036" w:rsidRPr="00641640" w:rsidRDefault="00247036"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Emërtimi i treguesit të performancës</w:t>
            </w:r>
          </w:p>
          <w:p w14:paraId="2C6188D1" w14:textId="77777777" w:rsidR="00247036" w:rsidRPr="00641640" w:rsidRDefault="00247036" w:rsidP="003A395D">
            <w:pPr>
              <w:spacing w:line="276" w:lineRule="auto"/>
              <w:jc w:val="center"/>
              <w:rPr>
                <w:rFonts w:ascii="Times New Roman" w:eastAsia="Arial" w:hAnsi="Times New Roman" w:cs="Times New Roman"/>
                <w:noProof/>
                <w:sz w:val="22"/>
                <w:szCs w:val="22"/>
                <w:lang w:val="sq-AL"/>
              </w:rPr>
            </w:pPr>
          </w:p>
        </w:tc>
        <w:tc>
          <w:tcPr>
            <w:tcW w:w="2160" w:type="dxa"/>
            <w:shd w:val="clear" w:color="auto" w:fill="C5E0B3" w:themeFill="accent6" w:themeFillTint="66"/>
          </w:tcPr>
          <w:p w14:paraId="34CA8FDF" w14:textId="77777777" w:rsidR="00247036" w:rsidRPr="00641640" w:rsidRDefault="00247036" w:rsidP="003A395D">
            <w:pPr>
              <w:spacing w:line="276" w:lineRule="auto"/>
              <w:jc w:val="center"/>
              <w:rPr>
                <w:rFonts w:ascii="Times New Roman" w:eastAsia="Arial" w:hAnsi="Times New Roman" w:cs="Times New Roman"/>
                <w:b/>
                <w:bCs/>
                <w:noProof/>
                <w:sz w:val="22"/>
                <w:szCs w:val="22"/>
                <w:lang w:val="sq-AL"/>
              </w:rPr>
            </w:pPr>
          </w:p>
          <w:p w14:paraId="59FE1E99" w14:textId="77777777" w:rsidR="00247036" w:rsidRPr="00641640" w:rsidRDefault="00247036"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Qëllimin e Politikës</w:t>
            </w:r>
          </w:p>
        </w:tc>
        <w:tc>
          <w:tcPr>
            <w:tcW w:w="2340" w:type="dxa"/>
            <w:shd w:val="clear" w:color="auto" w:fill="C5E0B3" w:themeFill="accent6" w:themeFillTint="66"/>
          </w:tcPr>
          <w:p w14:paraId="04E8C374" w14:textId="77777777" w:rsidR="00247036" w:rsidRPr="00641640" w:rsidRDefault="00247036" w:rsidP="003A395D">
            <w:pPr>
              <w:spacing w:line="276" w:lineRule="auto"/>
              <w:jc w:val="center"/>
              <w:rPr>
                <w:rFonts w:ascii="Times New Roman" w:eastAsia="Arial" w:hAnsi="Times New Roman" w:cs="Times New Roman"/>
                <w:b/>
                <w:bCs/>
                <w:noProof/>
                <w:sz w:val="22"/>
                <w:szCs w:val="22"/>
                <w:lang w:val="sq-AL"/>
              </w:rPr>
            </w:pPr>
          </w:p>
          <w:p w14:paraId="709EF3E2" w14:textId="77777777" w:rsidR="00247036" w:rsidRPr="00641640" w:rsidRDefault="00247036"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Objektivin Specifik</w:t>
            </w:r>
          </w:p>
        </w:tc>
        <w:tc>
          <w:tcPr>
            <w:tcW w:w="1890" w:type="dxa"/>
            <w:shd w:val="clear" w:color="auto" w:fill="C5E0B3" w:themeFill="accent6" w:themeFillTint="66"/>
            <w:tcMar>
              <w:top w:w="15" w:type="dxa"/>
              <w:left w:w="75" w:type="dxa"/>
              <w:bottom w:w="15" w:type="dxa"/>
              <w:right w:w="75" w:type="dxa"/>
            </w:tcMar>
          </w:tcPr>
          <w:p w14:paraId="1CFF0E87" w14:textId="77777777" w:rsidR="00247036" w:rsidRPr="00641640" w:rsidRDefault="00247036" w:rsidP="003A395D">
            <w:pPr>
              <w:spacing w:line="276" w:lineRule="auto"/>
              <w:jc w:val="center"/>
              <w:rPr>
                <w:rFonts w:ascii="Times New Roman" w:eastAsia="Arial" w:hAnsi="Times New Roman" w:cs="Times New Roman"/>
                <w:noProof/>
                <w:sz w:val="22"/>
                <w:szCs w:val="22"/>
                <w:lang w:val="sq-AL"/>
              </w:rPr>
            </w:pPr>
          </w:p>
          <w:p w14:paraId="7FDD1A65" w14:textId="77777777" w:rsidR="00247036" w:rsidRPr="00641640" w:rsidRDefault="00247036"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Institucioni përgjegjës</w:t>
            </w:r>
          </w:p>
        </w:tc>
      </w:tr>
      <w:tr w:rsidR="008A2574" w:rsidRPr="00641640" w14:paraId="68B8E57B" w14:textId="77777777" w:rsidTr="008A2574">
        <w:trPr>
          <w:trHeight w:val="965"/>
        </w:trPr>
        <w:tc>
          <w:tcPr>
            <w:tcW w:w="982" w:type="dxa"/>
            <w:shd w:val="clear" w:color="auto" w:fill="auto"/>
            <w:tcMar>
              <w:top w:w="15" w:type="dxa"/>
              <w:left w:w="75" w:type="dxa"/>
              <w:bottom w:w="15" w:type="dxa"/>
              <w:right w:w="75" w:type="dxa"/>
            </w:tcMar>
          </w:tcPr>
          <w:p w14:paraId="6C44515B" w14:textId="77777777" w:rsidR="00192A44" w:rsidRPr="00641640" w:rsidRDefault="00192A44" w:rsidP="003A395D">
            <w:pPr>
              <w:spacing w:line="276" w:lineRule="auto"/>
              <w:jc w:val="center"/>
              <w:rPr>
                <w:rFonts w:ascii="Times New Roman" w:hAnsi="Times New Roman" w:cs="Times New Roman"/>
                <w:noProof/>
                <w:color w:val="000000" w:themeColor="text1"/>
                <w:sz w:val="22"/>
                <w:szCs w:val="22"/>
                <w:lang w:val="sq-AL"/>
              </w:rPr>
            </w:pPr>
          </w:p>
          <w:p w14:paraId="4653C91E" w14:textId="320105B2" w:rsidR="008A2574" w:rsidRPr="00641640" w:rsidRDefault="008A2574" w:rsidP="003A395D">
            <w:pPr>
              <w:spacing w:line="276" w:lineRule="auto"/>
              <w:jc w:val="center"/>
              <w:rPr>
                <w:rFonts w:ascii="Times New Roman" w:hAnsi="Times New Roman" w:cs="Times New Roman"/>
                <w:noProof/>
                <w:sz w:val="22"/>
                <w:szCs w:val="22"/>
                <w:lang w:val="sq-AL"/>
              </w:rPr>
            </w:pPr>
            <w:r w:rsidRPr="00641640">
              <w:rPr>
                <w:rFonts w:ascii="Times New Roman" w:hAnsi="Times New Roman" w:cs="Times New Roman"/>
                <w:noProof/>
                <w:color w:val="000000" w:themeColor="text1"/>
                <w:sz w:val="22"/>
                <w:szCs w:val="22"/>
                <w:lang w:val="sq-AL"/>
              </w:rPr>
              <w:t>Rezultati</w:t>
            </w:r>
          </w:p>
        </w:tc>
        <w:tc>
          <w:tcPr>
            <w:tcW w:w="1980" w:type="dxa"/>
            <w:shd w:val="clear" w:color="auto" w:fill="auto"/>
            <w:tcMar>
              <w:top w:w="15" w:type="dxa"/>
              <w:left w:w="75" w:type="dxa"/>
              <w:bottom w:w="15" w:type="dxa"/>
              <w:right w:w="75" w:type="dxa"/>
            </w:tcMar>
          </w:tcPr>
          <w:p w14:paraId="037170CC" w14:textId="77777777" w:rsidR="00192A44" w:rsidRPr="00641640" w:rsidRDefault="00192A44" w:rsidP="003A395D">
            <w:pPr>
              <w:spacing w:line="276" w:lineRule="auto"/>
              <w:rPr>
                <w:rFonts w:ascii="Times New Roman" w:hAnsi="Times New Roman" w:cs="Times New Roman"/>
                <w:noProof/>
                <w:sz w:val="22"/>
                <w:szCs w:val="22"/>
                <w:lang w:val="sq-AL"/>
              </w:rPr>
            </w:pPr>
          </w:p>
          <w:p w14:paraId="175765C2" w14:textId="14D19DE4" w:rsidR="008A2574" w:rsidRPr="00641640" w:rsidRDefault="007212A9"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1.3.1 Përmirësimi cilësor i procesit të programimit rregullator</w:t>
            </w:r>
            <w:r w:rsidR="006E41DE">
              <w:rPr>
                <w:rFonts w:ascii="Times New Roman" w:hAnsi="Times New Roman" w:cs="Times New Roman"/>
                <w:noProof/>
                <w:sz w:val="22"/>
                <w:szCs w:val="22"/>
                <w:lang w:val="sq-AL"/>
              </w:rPr>
              <w:t>.</w:t>
            </w:r>
          </w:p>
        </w:tc>
        <w:tc>
          <w:tcPr>
            <w:tcW w:w="2160" w:type="dxa"/>
            <w:shd w:val="clear" w:color="auto" w:fill="auto"/>
          </w:tcPr>
          <w:p w14:paraId="7DB0F117" w14:textId="77777777" w:rsidR="00192A44" w:rsidRPr="00641640" w:rsidRDefault="00192A44" w:rsidP="003A395D">
            <w:pPr>
              <w:spacing w:line="276" w:lineRule="auto"/>
              <w:rPr>
                <w:rFonts w:ascii="Times New Roman" w:eastAsia="Arial" w:hAnsi="Times New Roman" w:cs="Times New Roman"/>
                <w:noProof/>
                <w:sz w:val="22"/>
                <w:szCs w:val="22"/>
                <w:lang w:val="sq-AL"/>
              </w:rPr>
            </w:pPr>
          </w:p>
          <w:p w14:paraId="0EE77F7F" w14:textId="22DFC5B8" w:rsidR="008A2574" w:rsidRPr="00641640" w:rsidRDefault="008A2574"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Zhvillimi dhe koordinimi i politikave</w:t>
            </w:r>
          </w:p>
        </w:tc>
        <w:tc>
          <w:tcPr>
            <w:tcW w:w="2340" w:type="dxa"/>
            <w:shd w:val="clear" w:color="auto" w:fill="auto"/>
          </w:tcPr>
          <w:p w14:paraId="3B937441" w14:textId="77777777" w:rsidR="00192A44" w:rsidRPr="00641640" w:rsidRDefault="00192A44" w:rsidP="003A395D">
            <w:pPr>
              <w:spacing w:line="276" w:lineRule="auto"/>
              <w:rPr>
                <w:rFonts w:ascii="Times New Roman" w:hAnsi="Times New Roman" w:cs="Times New Roman"/>
                <w:bCs/>
                <w:iCs/>
                <w:noProof/>
                <w:sz w:val="22"/>
                <w:szCs w:val="22"/>
                <w:lang w:val="sq-AL"/>
              </w:rPr>
            </w:pPr>
          </w:p>
          <w:p w14:paraId="7B9D3CA7" w14:textId="6B91EDD1" w:rsidR="008A2574" w:rsidRPr="00641640" w:rsidRDefault="008A2574" w:rsidP="003A395D">
            <w:pPr>
              <w:spacing w:line="276" w:lineRule="auto"/>
              <w:rPr>
                <w:rFonts w:ascii="Times New Roman" w:hAnsi="Times New Roman" w:cs="Times New Roman"/>
                <w:bCs/>
                <w:iCs/>
                <w:noProof/>
                <w:sz w:val="22"/>
                <w:szCs w:val="22"/>
                <w:lang w:val="sq-AL"/>
              </w:rPr>
            </w:pPr>
            <w:r w:rsidRPr="00641640">
              <w:rPr>
                <w:rFonts w:ascii="Times New Roman" w:hAnsi="Times New Roman" w:cs="Times New Roman"/>
                <w:bCs/>
                <w:iCs/>
                <w:noProof/>
                <w:sz w:val="22"/>
                <w:szCs w:val="22"/>
                <w:lang w:val="sq-AL"/>
              </w:rPr>
              <w:t xml:space="preserve">1.3 Hartimi i politikave mbështetur në të dhëna dhe vlerësim cilësor të ndikimit rregullator, përgjatë një procesi mirëplanifikimi ligjor dhe konsultimi gjithëpërfshirës publik, që garanton përputhje </w:t>
            </w:r>
            <w:r w:rsidRPr="00641640">
              <w:rPr>
                <w:rFonts w:ascii="Times New Roman" w:hAnsi="Times New Roman" w:cs="Times New Roman"/>
                <w:bCs/>
                <w:iCs/>
                <w:noProof/>
                <w:sz w:val="22"/>
                <w:szCs w:val="22"/>
                <w:lang w:val="sq-AL"/>
              </w:rPr>
              <w:lastRenderedPageBreak/>
              <w:t>me acquis-në dhe praktikat e mira ndërkombëtare</w:t>
            </w:r>
            <w:r w:rsidR="00207619">
              <w:rPr>
                <w:rFonts w:ascii="Times New Roman" w:hAnsi="Times New Roman" w:cs="Times New Roman"/>
                <w:bCs/>
                <w:iCs/>
                <w:noProof/>
                <w:sz w:val="22"/>
                <w:szCs w:val="22"/>
                <w:lang w:val="sq-AL"/>
              </w:rPr>
              <w:t>.</w:t>
            </w:r>
          </w:p>
          <w:p w14:paraId="6212F191" w14:textId="77777777" w:rsidR="008A2574" w:rsidRPr="00641640" w:rsidRDefault="008A2574" w:rsidP="003A395D">
            <w:pPr>
              <w:spacing w:line="276" w:lineRule="auto"/>
              <w:rPr>
                <w:rFonts w:ascii="Times New Roman" w:eastAsia="Arial" w:hAnsi="Times New Roman" w:cs="Times New Roman"/>
                <w:noProof/>
                <w:sz w:val="22"/>
                <w:szCs w:val="22"/>
                <w:lang w:val="sq-AL"/>
              </w:rPr>
            </w:pPr>
          </w:p>
        </w:tc>
        <w:tc>
          <w:tcPr>
            <w:tcW w:w="1890" w:type="dxa"/>
            <w:shd w:val="clear" w:color="auto" w:fill="auto"/>
            <w:tcMar>
              <w:top w:w="15" w:type="dxa"/>
              <w:left w:w="75" w:type="dxa"/>
              <w:bottom w:w="15" w:type="dxa"/>
              <w:right w:w="75" w:type="dxa"/>
            </w:tcMar>
          </w:tcPr>
          <w:p w14:paraId="4CF023B6" w14:textId="77777777" w:rsidR="00192A44" w:rsidRPr="00641640" w:rsidRDefault="00192A44" w:rsidP="003A395D">
            <w:pPr>
              <w:spacing w:line="276" w:lineRule="auto"/>
              <w:jc w:val="center"/>
              <w:rPr>
                <w:rFonts w:ascii="Times New Roman" w:eastAsia="Times New Roman" w:hAnsi="Times New Roman" w:cs="Times New Roman"/>
                <w:noProof/>
                <w:sz w:val="22"/>
                <w:szCs w:val="22"/>
                <w:lang w:val="sq-AL"/>
              </w:rPr>
            </w:pPr>
          </w:p>
          <w:p w14:paraId="0BCA3DFE" w14:textId="3BF1F927" w:rsidR="008A2574" w:rsidRPr="00641640" w:rsidRDefault="008A2574" w:rsidP="003A395D">
            <w:pPr>
              <w:spacing w:line="276" w:lineRule="auto"/>
              <w:jc w:val="center"/>
              <w:rPr>
                <w:rFonts w:ascii="Times New Roman" w:eastAsia="Arial" w:hAnsi="Times New Roman" w:cs="Times New Roman"/>
                <w:noProof/>
                <w:sz w:val="22"/>
                <w:szCs w:val="22"/>
                <w:lang w:val="sq-AL"/>
              </w:rPr>
            </w:pPr>
            <w:r w:rsidRPr="00641640">
              <w:rPr>
                <w:rFonts w:ascii="Times New Roman" w:eastAsia="Times New Roman" w:hAnsi="Times New Roman" w:cs="Times New Roman"/>
                <w:noProof/>
                <w:sz w:val="22"/>
                <w:szCs w:val="22"/>
                <w:lang w:val="sq-AL"/>
              </w:rPr>
              <w:t>Kryeministria</w:t>
            </w:r>
          </w:p>
        </w:tc>
      </w:tr>
      <w:tr w:rsidR="007277CE" w:rsidRPr="00641640" w14:paraId="202ADCD3" w14:textId="77777777" w:rsidTr="00D137D4">
        <w:trPr>
          <w:trHeight w:val="965"/>
        </w:trPr>
        <w:tc>
          <w:tcPr>
            <w:tcW w:w="982" w:type="dxa"/>
            <w:shd w:val="clear" w:color="auto" w:fill="auto"/>
            <w:tcMar>
              <w:top w:w="15" w:type="dxa"/>
              <w:left w:w="75" w:type="dxa"/>
              <w:bottom w:w="15" w:type="dxa"/>
              <w:right w:w="75" w:type="dxa"/>
            </w:tcMar>
          </w:tcPr>
          <w:p w14:paraId="51BAF146" w14:textId="77777777" w:rsidR="00F75453" w:rsidRPr="00641640" w:rsidRDefault="00F75453" w:rsidP="00D137D4">
            <w:pPr>
              <w:spacing w:line="276" w:lineRule="auto"/>
              <w:jc w:val="center"/>
              <w:rPr>
                <w:rFonts w:ascii="Times New Roman" w:hAnsi="Times New Roman" w:cs="Times New Roman"/>
                <w:noProof/>
                <w:sz w:val="22"/>
                <w:szCs w:val="22"/>
                <w:lang w:val="sq-AL"/>
              </w:rPr>
            </w:pPr>
          </w:p>
          <w:p w14:paraId="3E3E3533" w14:textId="4803B81C" w:rsidR="007277CE" w:rsidRPr="00641640" w:rsidRDefault="007277CE" w:rsidP="00D137D4">
            <w:pPr>
              <w:spacing w:line="276" w:lineRule="auto"/>
              <w:jc w:val="center"/>
              <w:rPr>
                <w:rFonts w:ascii="Times New Roman" w:hAnsi="Times New Roman" w:cs="Times New Roman"/>
                <w:noProof/>
                <w:color w:val="ED7D31" w:themeColor="accent2"/>
                <w:sz w:val="22"/>
                <w:szCs w:val="22"/>
                <w:lang w:val="sq-AL"/>
              </w:rPr>
            </w:pPr>
            <w:r w:rsidRPr="00641640">
              <w:rPr>
                <w:rFonts w:ascii="Times New Roman" w:hAnsi="Times New Roman" w:cs="Times New Roman"/>
                <w:noProof/>
                <w:sz w:val="22"/>
                <w:szCs w:val="22"/>
                <w:lang w:val="sq-AL"/>
              </w:rPr>
              <w:t>Rezultati</w:t>
            </w:r>
          </w:p>
        </w:tc>
        <w:tc>
          <w:tcPr>
            <w:tcW w:w="1980" w:type="dxa"/>
            <w:shd w:val="clear" w:color="auto" w:fill="auto"/>
            <w:tcMar>
              <w:top w:w="15" w:type="dxa"/>
              <w:left w:w="75" w:type="dxa"/>
              <w:bottom w:w="15" w:type="dxa"/>
              <w:right w:w="75" w:type="dxa"/>
            </w:tcMar>
          </w:tcPr>
          <w:p w14:paraId="28A47405" w14:textId="77777777" w:rsidR="00F75453" w:rsidRPr="00641640" w:rsidRDefault="00F75453" w:rsidP="00D137D4">
            <w:pPr>
              <w:spacing w:line="276" w:lineRule="auto"/>
              <w:rPr>
                <w:rFonts w:ascii="Times New Roman" w:hAnsi="Times New Roman" w:cs="Times New Roman"/>
                <w:noProof/>
                <w:sz w:val="22"/>
                <w:szCs w:val="22"/>
                <w:lang w:val="sq-AL"/>
              </w:rPr>
            </w:pPr>
          </w:p>
          <w:p w14:paraId="508769DC" w14:textId="48A2E0DC" w:rsidR="007277CE" w:rsidRPr="00641640" w:rsidRDefault="008569EF" w:rsidP="00D137D4">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1.3.2</w:t>
            </w:r>
            <w:r w:rsidR="009B1CEF" w:rsidRPr="00641640">
              <w:rPr>
                <w:rFonts w:ascii="Times New Roman" w:hAnsi="Times New Roman" w:cs="Times New Roman"/>
                <w:noProof/>
                <w:sz w:val="22"/>
                <w:szCs w:val="22"/>
                <w:lang w:val="sq-AL"/>
              </w:rPr>
              <w:t xml:space="preserve"> Përqindja e projekt-ligjeve që i plotësojnë kriteret, të planifikuara në PPAP, që shoqërohen me Raportin e thjeshtuar RIA</w:t>
            </w:r>
            <w:r w:rsidR="006E41DE">
              <w:rPr>
                <w:rFonts w:ascii="Times New Roman" w:hAnsi="Times New Roman" w:cs="Times New Roman"/>
                <w:noProof/>
                <w:sz w:val="22"/>
                <w:szCs w:val="22"/>
                <w:lang w:val="sq-AL"/>
              </w:rPr>
              <w:t>.</w:t>
            </w:r>
          </w:p>
          <w:p w14:paraId="75F4EE11" w14:textId="77777777" w:rsidR="007277CE" w:rsidRPr="00641640" w:rsidRDefault="007277CE" w:rsidP="00D137D4">
            <w:pPr>
              <w:pStyle w:val="T-number"/>
              <w:spacing w:line="276" w:lineRule="auto"/>
              <w:ind w:left="0"/>
              <w:jc w:val="both"/>
              <w:rPr>
                <w:rFonts w:ascii="Times New Roman" w:eastAsiaTheme="minorHAnsi" w:hAnsi="Times New Roman" w:cs="Times New Roman"/>
                <w:b/>
                <w:bCs/>
                <w:noProof/>
                <w:sz w:val="22"/>
                <w:szCs w:val="22"/>
                <w:lang w:val="sq-AL"/>
              </w:rPr>
            </w:pPr>
            <w:r w:rsidRPr="00641640">
              <w:rPr>
                <w:rFonts w:ascii="Times New Roman" w:eastAsiaTheme="minorHAnsi" w:hAnsi="Times New Roman" w:cs="Times New Roman"/>
                <w:noProof/>
                <w:sz w:val="22"/>
                <w:szCs w:val="22"/>
                <w:lang w:val="sq-AL"/>
              </w:rPr>
              <w:t>të</w:t>
            </w:r>
            <w:r w:rsidRPr="00641640">
              <w:rPr>
                <w:rFonts w:ascii="Times New Roman" w:eastAsiaTheme="minorHAnsi" w:hAnsi="Times New Roman" w:cs="Times New Roman"/>
                <w:b/>
                <w:noProof/>
                <w:sz w:val="22"/>
                <w:szCs w:val="22"/>
                <w:lang w:val="sq-AL"/>
              </w:rPr>
              <w:t xml:space="preserve">   </w:t>
            </w:r>
          </w:p>
        </w:tc>
        <w:tc>
          <w:tcPr>
            <w:tcW w:w="2160" w:type="dxa"/>
            <w:shd w:val="clear" w:color="auto" w:fill="auto"/>
          </w:tcPr>
          <w:p w14:paraId="29389170" w14:textId="77777777" w:rsidR="00F75453" w:rsidRPr="00641640" w:rsidRDefault="00F75453" w:rsidP="00D137D4">
            <w:pPr>
              <w:spacing w:line="276" w:lineRule="auto"/>
              <w:rPr>
                <w:rFonts w:ascii="Times New Roman" w:eastAsia="Arial" w:hAnsi="Times New Roman" w:cs="Times New Roman"/>
                <w:noProof/>
                <w:sz w:val="22"/>
                <w:szCs w:val="22"/>
                <w:lang w:val="sq-AL"/>
              </w:rPr>
            </w:pPr>
          </w:p>
          <w:p w14:paraId="505DF783" w14:textId="2DF19D9E" w:rsidR="007277CE" w:rsidRPr="00641640" w:rsidRDefault="00936C6A" w:rsidP="00D137D4">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Zhvillimi dhe koordinimi i politikave</w:t>
            </w:r>
          </w:p>
          <w:p w14:paraId="3FED47D0" w14:textId="60BFACD2" w:rsidR="007277CE" w:rsidRPr="00641640" w:rsidRDefault="007277CE" w:rsidP="00D137D4">
            <w:pPr>
              <w:spacing w:line="276" w:lineRule="auto"/>
              <w:rPr>
                <w:rFonts w:ascii="Times New Roman" w:eastAsia="Arial" w:hAnsi="Times New Roman" w:cs="Times New Roman"/>
                <w:b/>
                <w:bCs/>
                <w:noProof/>
                <w:sz w:val="22"/>
                <w:szCs w:val="22"/>
                <w:lang w:val="sq-AL"/>
              </w:rPr>
            </w:pPr>
          </w:p>
        </w:tc>
        <w:tc>
          <w:tcPr>
            <w:tcW w:w="2340" w:type="dxa"/>
            <w:shd w:val="clear" w:color="auto" w:fill="auto"/>
          </w:tcPr>
          <w:p w14:paraId="0CE8CDA2" w14:textId="77777777" w:rsidR="007277CE" w:rsidRPr="00641640" w:rsidRDefault="007277CE" w:rsidP="00D137D4">
            <w:pPr>
              <w:spacing w:line="276" w:lineRule="auto"/>
              <w:rPr>
                <w:rFonts w:ascii="Times New Roman" w:eastAsia="Arial" w:hAnsi="Times New Roman" w:cs="Times New Roman"/>
                <w:noProof/>
                <w:sz w:val="22"/>
                <w:szCs w:val="22"/>
                <w:lang w:val="sq-AL"/>
              </w:rPr>
            </w:pPr>
          </w:p>
          <w:p w14:paraId="2ED68235" w14:textId="585D5459" w:rsidR="00E76276" w:rsidRPr="00641640" w:rsidRDefault="00E76276" w:rsidP="00D137D4">
            <w:pPr>
              <w:spacing w:line="276" w:lineRule="auto"/>
              <w:rPr>
                <w:rFonts w:ascii="Times New Roman" w:hAnsi="Times New Roman" w:cs="Times New Roman"/>
                <w:bCs/>
                <w:iCs/>
                <w:noProof/>
                <w:sz w:val="22"/>
                <w:szCs w:val="22"/>
                <w:lang w:val="sq-AL"/>
              </w:rPr>
            </w:pPr>
            <w:r w:rsidRPr="00641640">
              <w:rPr>
                <w:rFonts w:ascii="Times New Roman" w:hAnsi="Times New Roman" w:cs="Times New Roman"/>
                <w:bCs/>
                <w:iCs/>
                <w:noProof/>
                <w:sz w:val="22"/>
                <w:szCs w:val="22"/>
                <w:lang w:val="sq-AL"/>
              </w:rPr>
              <w:t>1.3 Hartimi i politikave mbështetur në të dhëna dhe vlerësim cilësor të ndikimit rregullator, përgjatë një procesi mirëplanifikimi ligjor dhe konsultimi gjithëpërfshirës publik, që garanton përputhje me acquis-në dhe praktikat e mira ndërkombëtare</w:t>
            </w:r>
            <w:r w:rsidR="00207619">
              <w:rPr>
                <w:rFonts w:ascii="Times New Roman" w:hAnsi="Times New Roman" w:cs="Times New Roman"/>
                <w:bCs/>
                <w:iCs/>
                <w:noProof/>
                <w:sz w:val="22"/>
                <w:szCs w:val="22"/>
                <w:lang w:val="sq-AL"/>
              </w:rPr>
              <w:t>.</w:t>
            </w:r>
          </w:p>
          <w:p w14:paraId="5A2575E0" w14:textId="1E1F38E6" w:rsidR="007277CE" w:rsidRPr="00641640" w:rsidRDefault="007277CE" w:rsidP="00D137D4">
            <w:pPr>
              <w:spacing w:line="276" w:lineRule="auto"/>
              <w:rPr>
                <w:rFonts w:ascii="Times New Roman" w:eastAsia="Arial" w:hAnsi="Times New Roman" w:cs="Times New Roman"/>
                <w:noProof/>
                <w:sz w:val="22"/>
                <w:szCs w:val="22"/>
                <w:lang w:val="sq-AL"/>
              </w:rPr>
            </w:pPr>
          </w:p>
        </w:tc>
        <w:tc>
          <w:tcPr>
            <w:tcW w:w="1890" w:type="dxa"/>
            <w:shd w:val="clear" w:color="auto" w:fill="auto"/>
            <w:tcMar>
              <w:top w:w="15" w:type="dxa"/>
              <w:left w:w="75" w:type="dxa"/>
              <w:bottom w:w="15" w:type="dxa"/>
              <w:right w:w="75" w:type="dxa"/>
            </w:tcMar>
          </w:tcPr>
          <w:p w14:paraId="6A27EACA" w14:textId="77777777" w:rsidR="007277CE" w:rsidRPr="00641640" w:rsidRDefault="007277CE" w:rsidP="00D137D4">
            <w:pPr>
              <w:spacing w:line="276" w:lineRule="auto"/>
              <w:jc w:val="center"/>
              <w:rPr>
                <w:rFonts w:ascii="Times New Roman" w:eastAsia="Arial" w:hAnsi="Times New Roman" w:cs="Times New Roman"/>
                <w:noProof/>
                <w:sz w:val="22"/>
                <w:szCs w:val="22"/>
                <w:lang w:val="sq-AL"/>
              </w:rPr>
            </w:pPr>
          </w:p>
          <w:p w14:paraId="18672E1D" w14:textId="77777777" w:rsidR="007277CE" w:rsidRPr="00641640" w:rsidRDefault="007277CE" w:rsidP="00D137D4">
            <w:pPr>
              <w:spacing w:line="276" w:lineRule="auto"/>
              <w:jc w:val="center"/>
              <w:rPr>
                <w:rFonts w:ascii="Times New Roman" w:eastAsia="Arial" w:hAnsi="Times New Roman" w:cs="Times New Roman"/>
                <w:noProof/>
                <w:sz w:val="22"/>
                <w:szCs w:val="22"/>
                <w:lang w:val="sq-AL"/>
              </w:rPr>
            </w:pPr>
            <w:r w:rsidRPr="00641640">
              <w:rPr>
                <w:rFonts w:ascii="Times New Roman" w:eastAsia="Times New Roman" w:hAnsi="Times New Roman" w:cs="Times New Roman"/>
                <w:noProof/>
                <w:sz w:val="22"/>
                <w:szCs w:val="22"/>
                <w:lang w:val="sq-AL"/>
              </w:rPr>
              <w:t>Kryeministria</w:t>
            </w:r>
          </w:p>
          <w:p w14:paraId="4960C322" w14:textId="77777777" w:rsidR="007277CE" w:rsidRPr="00641640" w:rsidRDefault="007277CE" w:rsidP="00D137D4">
            <w:pPr>
              <w:spacing w:line="276" w:lineRule="auto"/>
              <w:jc w:val="center"/>
              <w:rPr>
                <w:rFonts w:ascii="Times New Roman" w:eastAsia="Arial" w:hAnsi="Times New Roman" w:cs="Times New Roman"/>
                <w:noProof/>
                <w:sz w:val="22"/>
                <w:szCs w:val="22"/>
                <w:lang w:val="sq-AL"/>
              </w:rPr>
            </w:pPr>
          </w:p>
        </w:tc>
      </w:tr>
      <w:tr w:rsidR="007277CE" w:rsidRPr="00641640" w14:paraId="1D2A2680" w14:textId="77777777" w:rsidTr="00064DD7">
        <w:trPr>
          <w:trHeight w:val="473"/>
        </w:trPr>
        <w:tc>
          <w:tcPr>
            <w:tcW w:w="982" w:type="dxa"/>
            <w:shd w:val="clear" w:color="auto" w:fill="auto"/>
            <w:tcMar>
              <w:top w:w="15" w:type="dxa"/>
              <w:left w:w="75" w:type="dxa"/>
              <w:bottom w:w="15" w:type="dxa"/>
              <w:right w:w="75" w:type="dxa"/>
            </w:tcMar>
          </w:tcPr>
          <w:p w14:paraId="00F36485" w14:textId="77777777" w:rsidR="009C3E23" w:rsidRPr="00641640" w:rsidRDefault="009C3E23" w:rsidP="00D137D4">
            <w:pPr>
              <w:spacing w:line="276" w:lineRule="auto"/>
              <w:jc w:val="center"/>
              <w:rPr>
                <w:rFonts w:ascii="Times New Roman" w:hAnsi="Times New Roman" w:cs="Times New Roman"/>
                <w:noProof/>
                <w:sz w:val="22"/>
                <w:szCs w:val="22"/>
                <w:lang w:val="sq-AL"/>
              </w:rPr>
            </w:pPr>
          </w:p>
          <w:p w14:paraId="27664C97" w14:textId="0495C6AC" w:rsidR="007277CE" w:rsidRPr="00641640" w:rsidRDefault="00936C6A" w:rsidP="00D137D4">
            <w:pPr>
              <w:spacing w:line="276" w:lineRule="auto"/>
              <w:jc w:val="center"/>
              <w:rPr>
                <w:rFonts w:ascii="Times New Roman" w:eastAsiaTheme="minorHAnsi" w:hAnsi="Times New Roman" w:cs="Times New Roman"/>
                <w:noProof/>
                <w:color w:val="ED7D31" w:themeColor="accent2"/>
                <w:sz w:val="22"/>
                <w:szCs w:val="22"/>
                <w:lang w:val="sq-AL"/>
              </w:rPr>
            </w:pPr>
            <w:r w:rsidRPr="00641640">
              <w:rPr>
                <w:rFonts w:ascii="Times New Roman" w:hAnsi="Times New Roman" w:cs="Times New Roman"/>
                <w:noProof/>
                <w:sz w:val="22"/>
                <w:szCs w:val="22"/>
                <w:lang w:val="sq-AL"/>
              </w:rPr>
              <w:t>Rezultati</w:t>
            </w:r>
          </w:p>
        </w:tc>
        <w:tc>
          <w:tcPr>
            <w:tcW w:w="1980" w:type="dxa"/>
            <w:shd w:val="clear" w:color="auto" w:fill="auto"/>
            <w:tcMar>
              <w:top w:w="15" w:type="dxa"/>
              <w:left w:w="75" w:type="dxa"/>
              <w:bottom w:w="15" w:type="dxa"/>
              <w:right w:w="75" w:type="dxa"/>
            </w:tcMar>
          </w:tcPr>
          <w:p w14:paraId="5694C40D" w14:textId="77777777" w:rsidR="009C3E23" w:rsidRPr="00641640" w:rsidRDefault="009C3E23" w:rsidP="00D137D4">
            <w:pPr>
              <w:spacing w:line="276" w:lineRule="auto"/>
              <w:rPr>
                <w:rFonts w:ascii="Times New Roman" w:hAnsi="Times New Roman" w:cs="Times New Roman"/>
                <w:noProof/>
                <w:sz w:val="22"/>
                <w:szCs w:val="22"/>
                <w:lang w:val="sq-AL"/>
              </w:rPr>
            </w:pPr>
          </w:p>
          <w:p w14:paraId="1A9510B4" w14:textId="2B993822" w:rsidR="007277CE" w:rsidRPr="00641640" w:rsidRDefault="008569EF" w:rsidP="00D137D4">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1.3.3</w:t>
            </w:r>
            <w:r w:rsidR="004C180D" w:rsidRPr="00641640">
              <w:rPr>
                <w:rFonts w:ascii="Times New Roman" w:hAnsi="Times New Roman" w:cs="Times New Roman"/>
                <w:noProof/>
                <w:sz w:val="22"/>
                <w:szCs w:val="22"/>
                <w:lang w:val="sq-AL"/>
              </w:rPr>
              <w:t xml:space="preserve"> </w:t>
            </w:r>
            <w:r w:rsidR="00D1103B" w:rsidRPr="00641640">
              <w:rPr>
                <w:rFonts w:ascii="Times New Roman" w:hAnsi="Times New Roman" w:cs="Times New Roman"/>
                <w:noProof/>
                <w:sz w:val="22"/>
                <w:szCs w:val="22"/>
                <w:lang w:val="sq-AL"/>
              </w:rPr>
              <w:t>Përmirësimi i cilësisë së raporteve të vlerësimit të ndikimit rregullator (RIA)</w:t>
            </w:r>
            <w:r w:rsidR="006E41DE">
              <w:rPr>
                <w:rFonts w:ascii="Times New Roman" w:hAnsi="Times New Roman" w:cs="Times New Roman"/>
                <w:noProof/>
                <w:sz w:val="22"/>
                <w:szCs w:val="22"/>
                <w:lang w:val="sq-AL"/>
              </w:rPr>
              <w:t>.</w:t>
            </w:r>
          </w:p>
        </w:tc>
        <w:tc>
          <w:tcPr>
            <w:tcW w:w="2160" w:type="dxa"/>
            <w:shd w:val="clear" w:color="auto" w:fill="auto"/>
          </w:tcPr>
          <w:p w14:paraId="3072B1AC" w14:textId="77777777" w:rsidR="009C3E23" w:rsidRPr="00641640" w:rsidRDefault="009C3E23" w:rsidP="00D137D4">
            <w:pPr>
              <w:spacing w:line="276" w:lineRule="auto"/>
              <w:rPr>
                <w:rFonts w:ascii="Times New Roman" w:eastAsia="Arial" w:hAnsi="Times New Roman" w:cs="Times New Roman"/>
                <w:noProof/>
                <w:sz w:val="22"/>
                <w:szCs w:val="22"/>
                <w:lang w:val="sq-AL"/>
              </w:rPr>
            </w:pPr>
          </w:p>
          <w:p w14:paraId="63AE86AE" w14:textId="24321595" w:rsidR="007277CE" w:rsidRPr="00641640" w:rsidRDefault="00936C6A" w:rsidP="00D137D4">
            <w:pPr>
              <w:spacing w:line="276" w:lineRule="auto"/>
              <w:rPr>
                <w:rFonts w:ascii="Times New Roman" w:eastAsia="Arial" w:hAnsi="Times New Roman" w:cs="Times New Roman"/>
                <w:b/>
                <w:bCs/>
                <w:noProof/>
                <w:sz w:val="22"/>
                <w:szCs w:val="22"/>
                <w:lang w:val="sq-AL"/>
              </w:rPr>
            </w:pPr>
            <w:r w:rsidRPr="00641640">
              <w:rPr>
                <w:rFonts w:ascii="Times New Roman" w:eastAsia="Arial" w:hAnsi="Times New Roman" w:cs="Times New Roman"/>
                <w:noProof/>
                <w:sz w:val="22"/>
                <w:szCs w:val="22"/>
                <w:lang w:val="sq-AL"/>
              </w:rPr>
              <w:t>Zhvillimi dhe koordinimi i politikave</w:t>
            </w:r>
          </w:p>
        </w:tc>
        <w:tc>
          <w:tcPr>
            <w:tcW w:w="2340" w:type="dxa"/>
            <w:shd w:val="clear" w:color="auto" w:fill="auto"/>
          </w:tcPr>
          <w:p w14:paraId="78426A57" w14:textId="77777777" w:rsidR="009C3E23" w:rsidRPr="00641640" w:rsidRDefault="009C3E23" w:rsidP="00D137D4">
            <w:pPr>
              <w:spacing w:line="276" w:lineRule="auto"/>
              <w:rPr>
                <w:rFonts w:ascii="Times New Roman" w:hAnsi="Times New Roman" w:cs="Times New Roman"/>
                <w:bCs/>
                <w:iCs/>
                <w:noProof/>
                <w:sz w:val="22"/>
                <w:szCs w:val="22"/>
                <w:lang w:val="sq-AL"/>
              </w:rPr>
            </w:pPr>
          </w:p>
          <w:p w14:paraId="28EFC95C" w14:textId="0F79CA0E" w:rsidR="00E76276" w:rsidRPr="00641640" w:rsidRDefault="00E76276" w:rsidP="00D137D4">
            <w:pPr>
              <w:spacing w:line="276" w:lineRule="auto"/>
              <w:rPr>
                <w:rFonts w:ascii="Times New Roman" w:hAnsi="Times New Roman" w:cs="Times New Roman"/>
                <w:bCs/>
                <w:iCs/>
                <w:noProof/>
                <w:sz w:val="22"/>
                <w:szCs w:val="22"/>
                <w:lang w:val="sq-AL"/>
              </w:rPr>
            </w:pPr>
            <w:r w:rsidRPr="00641640">
              <w:rPr>
                <w:rFonts w:ascii="Times New Roman" w:hAnsi="Times New Roman" w:cs="Times New Roman"/>
                <w:bCs/>
                <w:iCs/>
                <w:noProof/>
                <w:sz w:val="22"/>
                <w:szCs w:val="22"/>
                <w:lang w:val="sq-AL"/>
              </w:rPr>
              <w:t>1.3 Hartimi i politikave mbështetur në të dhëna dhe vlerësim cilësor të ndikimit rregullator, përgjatë një procesi mirëplanifikimi ligjor dhe konsultimi gjithëpërfshirës publik, që garanton përputhje me acquis-në dhe praktikat e mira ndërkombëtare</w:t>
            </w:r>
            <w:r w:rsidR="00207619">
              <w:rPr>
                <w:rFonts w:ascii="Times New Roman" w:hAnsi="Times New Roman" w:cs="Times New Roman"/>
                <w:bCs/>
                <w:iCs/>
                <w:noProof/>
                <w:sz w:val="22"/>
                <w:szCs w:val="22"/>
                <w:lang w:val="sq-AL"/>
              </w:rPr>
              <w:t>.</w:t>
            </w:r>
          </w:p>
          <w:p w14:paraId="3971B161" w14:textId="77777777" w:rsidR="007277CE" w:rsidRPr="00641640" w:rsidRDefault="007277CE" w:rsidP="00D137D4">
            <w:pPr>
              <w:spacing w:line="276" w:lineRule="auto"/>
              <w:rPr>
                <w:rFonts w:ascii="Times New Roman" w:eastAsia="Arial" w:hAnsi="Times New Roman" w:cs="Times New Roman"/>
                <w:b/>
                <w:bCs/>
                <w:noProof/>
                <w:sz w:val="22"/>
                <w:szCs w:val="22"/>
                <w:lang w:val="sq-AL"/>
              </w:rPr>
            </w:pPr>
          </w:p>
        </w:tc>
        <w:tc>
          <w:tcPr>
            <w:tcW w:w="1890" w:type="dxa"/>
            <w:tcMar>
              <w:top w:w="15" w:type="dxa"/>
              <w:left w:w="75" w:type="dxa"/>
              <w:bottom w:w="15" w:type="dxa"/>
              <w:right w:w="75" w:type="dxa"/>
            </w:tcMar>
          </w:tcPr>
          <w:p w14:paraId="56B986A1" w14:textId="77777777" w:rsidR="008A2574" w:rsidRPr="00641640" w:rsidRDefault="008A2574" w:rsidP="00D137D4">
            <w:pPr>
              <w:spacing w:line="276" w:lineRule="auto"/>
              <w:jc w:val="center"/>
              <w:rPr>
                <w:rFonts w:ascii="Times New Roman" w:eastAsia="Times New Roman" w:hAnsi="Times New Roman" w:cs="Times New Roman"/>
                <w:noProof/>
                <w:sz w:val="22"/>
                <w:szCs w:val="22"/>
                <w:lang w:val="sq-AL"/>
              </w:rPr>
            </w:pPr>
          </w:p>
          <w:p w14:paraId="02360EC7" w14:textId="5FEB08B2" w:rsidR="008A2574" w:rsidRPr="00641640" w:rsidRDefault="008A2574" w:rsidP="00D137D4">
            <w:pPr>
              <w:spacing w:line="276" w:lineRule="auto"/>
              <w:jc w:val="center"/>
              <w:rPr>
                <w:rFonts w:ascii="Times New Roman" w:eastAsia="Arial" w:hAnsi="Times New Roman" w:cs="Times New Roman"/>
                <w:noProof/>
                <w:sz w:val="22"/>
                <w:szCs w:val="22"/>
                <w:lang w:val="sq-AL"/>
              </w:rPr>
            </w:pPr>
            <w:r w:rsidRPr="00641640">
              <w:rPr>
                <w:rFonts w:ascii="Times New Roman" w:eastAsia="Times New Roman" w:hAnsi="Times New Roman" w:cs="Times New Roman"/>
                <w:noProof/>
                <w:sz w:val="22"/>
                <w:szCs w:val="22"/>
                <w:lang w:val="sq-AL"/>
              </w:rPr>
              <w:t>Kryeministria</w:t>
            </w:r>
          </w:p>
          <w:p w14:paraId="59AEACDB" w14:textId="77777777" w:rsidR="007277CE" w:rsidRPr="00641640" w:rsidRDefault="007277CE" w:rsidP="00D137D4">
            <w:pPr>
              <w:spacing w:line="276" w:lineRule="auto"/>
              <w:jc w:val="center"/>
              <w:rPr>
                <w:rFonts w:ascii="Times New Roman" w:eastAsia="Arial" w:hAnsi="Times New Roman" w:cs="Times New Roman"/>
                <w:b/>
                <w:bCs/>
                <w:noProof/>
                <w:sz w:val="22"/>
                <w:szCs w:val="22"/>
                <w:lang w:val="sq-AL"/>
              </w:rPr>
            </w:pPr>
          </w:p>
        </w:tc>
      </w:tr>
      <w:tr w:rsidR="007277CE" w:rsidRPr="00641640" w14:paraId="43450F8E" w14:textId="77777777" w:rsidTr="00D137D4">
        <w:trPr>
          <w:trHeight w:val="659"/>
        </w:trPr>
        <w:tc>
          <w:tcPr>
            <w:tcW w:w="982" w:type="dxa"/>
            <w:shd w:val="clear" w:color="auto" w:fill="auto"/>
            <w:tcMar>
              <w:top w:w="15" w:type="dxa"/>
              <w:left w:w="75" w:type="dxa"/>
              <w:bottom w:w="15" w:type="dxa"/>
              <w:right w:w="75" w:type="dxa"/>
            </w:tcMar>
          </w:tcPr>
          <w:p w14:paraId="5AAC1DF6" w14:textId="77777777" w:rsidR="009C3E23" w:rsidRPr="00641640" w:rsidRDefault="009C3E23" w:rsidP="00D137D4">
            <w:pPr>
              <w:spacing w:line="276" w:lineRule="auto"/>
              <w:jc w:val="center"/>
              <w:rPr>
                <w:rFonts w:ascii="Times New Roman" w:hAnsi="Times New Roman" w:cs="Times New Roman"/>
                <w:noProof/>
                <w:sz w:val="22"/>
                <w:szCs w:val="22"/>
                <w:lang w:val="sq-AL"/>
              </w:rPr>
            </w:pPr>
          </w:p>
          <w:p w14:paraId="7513C747" w14:textId="26F6872A" w:rsidR="007277CE" w:rsidRPr="00641640" w:rsidRDefault="00936C6A" w:rsidP="00D137D4">
            <w:pPr>
              <w:spacing w:line="276" w:lineRule="auto"/>
              <w:jc w:val="center"/>
              <w:rPr>
                <w:rFonts w:ascii="Times New Roman" w:hAnsi="Times New Roman" w:cs="Times New Roman"/>
                <w:b/>
                <w:bCs/>
                <w:noProof/>
                <w:color w:val="ED7D31" w:themeColor="accent2"/>
                <w:sz w:val="22"/>
                <w:szCs w:val="22"/>
                <w:lang w:val="sq-AL"/>
              </w:rPr>
            </w:pPr>
            <w:r w:rsidRPr="00641640">
              <w:rPr>
                <w:rFonts w:ascii="Times New Roman" w:hAnsi="Times New Roman" w:cs="Times New Roman"/>
                <w:noProof/>
                <w:sz w:val="22"/>
                <w:szCs w:val="22"/>
                <w:lang w:val="sq-AL"/>
              </w:rPr>
              <w:t>Rezultati</w:t>
            </w:r>
          </w:p>
        </w:tc>
        <w:tc>
          <w:tcPr>
            <w:tcW w:w="1980" w:type="dxa"/>
            <w:shd w:val="clear" w:color="auto" w:fill="auto"/>
            <w:tcMar>
              <w:top w:w="15" w:type="dxa"/>
              <w:left w:w="75" w:type="dxa"/>
              <w:bottom w:w="15" w:type="dxa"/>
              <w:right w:w="75" w:type="dxa"/>
            </w:tcMar>
          </w:tcPr>
          <w:p w14:paraId="479FABF6" w14:textId="77777777" w:rsidR="009C3E23" w:rsidRPr="00641640" w:rsidRDefault="009C3E23" w:rsidP="00D137D4">
            <w:pPr>
              <w:spacing w:line="276" w:lineRule="auto"/>
              <w:rPr>
                <w:rFonts w:ascii="Times New Roman" w:hAnsi="Times New Roman" w:cs="Times New Roman"/>
                <w:noProof/>
                <w:sz w:val="22"/>
                <w:szCs w:val="22"/>
                <w:lang w:val="sq-AL"/>
              </w:rPr>
            </w:pPr>
          </w:p>
          <w:p w14:paraId="12D0D346" w14:textId="300B2C85" w:rsidR="007277CE" w:rsidRPr="00641640" w:rsidRDefault="008569EF" w:rsidP="00D137D4">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1.3.4</w:t>
            </w:r>
            <w:r w:rsidR="00D1103B" w:rsidRPr="00641640">
              <w:rPr>
                <w:rFonts w:ascii="Times New Roman" w:hAnsi="Times New Roman" w:cs="Times New Roman"/>
                <w:noProof/>
                <w:sz w:val="22"/>
                <w:szCs w:val="22"/>
                <w:lang w:val="sq-AL"/>
              </w:rPr>
              <w:t xml:space="preserve"> Përqindja e ligjeve që i plotësojnë kriteret, të shoqëruara nga raporte RIA</w:t>
            </w:r>
            <w:r w:rsidR="006E41DE">
              <w:rPr>
                <w:rFonts w:ascii="Times New Roman" w:hAnsi="Times New Roman" w:cs="Times New Roman"/>
                <w:noProof/>
                <w:sz w:val="22"/>
                <w:szCs w:val="22"/>
                <w:lang w:val="sq-AL"/>
              </w:rPr>
              <w:t>.</w:t>
            </w:r>
          </w:p>
        </w:tc>
        <w:tc>
          <w:tcPr>
            <w:tcW w:w="2160" w:type="dxa"/>
            <w:shd w:val="clear" w:color="auto" w:fill="auto"/>
          </w:tcPr>
          <w:p w14:paraId="11D60AD0" w14:textId="77777777" w:rsidR="009C3E23" w:rsidRPr="00641640" w:rsidRDefault="009C3E23" w:rsidP="00D137D4">
            <w:pPr>
              <w:spacing w:line="276" w:lineRule="auto"/>
              <w:rPr>
                <w:rFonts w:ascii="Times New Roman" w:eastAsia="Arial" w:hAnsi="Times New Roman" w:cs="Times New Roman"/>
                <w:noProof/>
                <w:sz w:val="22"/>
                <w:szCs w:val="22"/>
                <w:lang w:val="sq-AL"/>
              </w:rPr>
            </w:pPr>
          </w:p>
          <w:p w14:paraId="7045EE3B" w14:textId="5394E305" w:rsidR="007277CE" w:rsidRPr="00641640" w:rsidRDefault="00936C6A" w:rsidP="00D137D4">
            <w:pPr>
              <w:spacing w:line="276" w:lineRule="auto"/>
              <w:rPr>
                <w:rFonts w:ascii="Times New Roman" w:eastAsia="Arial" w:hAnsi="Times New Roman" w:cs="Times New Roman"/>
                <w:b/>
                <w:bCs/>
                <w:noProof/>
                <w:sz w:val="22"/>
                <w:szCs w:val="22"/>
                <w:lang w:val="sq-AL"/>
              </w:rPr>
            </w:pPr>
            <w:r w:rsidRPr="00641640">
              <w:rPr>
                <w:rFonts w:ascii="Times New Roman" w:eastAsia="Arial" w:hAnsi="Times New Roman" w:cs="Times New Roman"/>
                <w:noProof/>
                <w:sz w:val="22"/>
                <w:szCs w:val="22"/>
                <w:lang w:val="sq-AL"/>
              </w:rPr>
              <w:t>Zhvillimi dhe koordinimi i politikave</w:t>
            </w:r>
          </w:p>
        </w:tc>
        <w:tc>
          <w:tcPr>
            <w:tcW w:w="2340" w:type="dxa"/>
            <w:shd w:val="clear" w:color="auto" w:fill="auto"/>
          </w:tcPr>
          <w:p w14:paraId="7D17654E" w14:textId="77777777" w:rsidR="009C3E23" w:rsidRPr="00641640" w:rsidRDefault="009C3E23" w:rsidP="00D137D4">
            <w:pPr>
              <w:spacing w:line="276" w:lineRule="auto"/>
              <w:rPr>
                <w:rFonts w:ascii="Times New Roman" w:hAnsi="Times New Roman" w:cs="Times New Roman"/>
                <w:bCs/>
                <w:iCs/>
                <w:noProof/>
                <w:sz w:val="22"/>
                <w:szCs w:val="22"/>
                <w:lang w:val="sq-AL"/>
              </w:rPr>
            </w:pPr>
          </w:p>
          <w:p w14:paraId="0849FEEA" w14:textId="4E4927E4" w:rsidR="00E76276" w:rsidRPr="00641640" w:rsidRDefault="00E76276" w:rsidP="00D137D4">
            <w:pPr>
              <w:spacing w:line="276" w:lineRule="auto"/>
              <w:rPr>
                <w:rFonts w:ascii="Times New Roman" w:hAnsi="Times New Roman" w:cs="Times New Roman"/>
                <w:bCs/>
                <w:iCs/>
                <w:noProof/>
                <w:sz w:val="22"/>
                <w:szCs w:val="22"/>
                <w:lang w:val="sq-AL"/>
              </w:rPr>
            </w:pPr>
            <w:r w:rsidRPr="00641640">
              <w:rPr>
                <w:rFonts w:ascii="Times New Roman" w:hAnsi="Times New Roman" w:cs="Times New Roman"/>
                <w:bCs/>
                <w:iCs/>
                <w:noProof/>
                <w:sz w:val="22"/>
                <w:szCs w:val="22"/>
                <w:lang w:val="sq-AL"/>
              </w:rPr>
              <w:t xml:space="preserve">1.3 Hartimi i politikave mbështetur në të dhëna dhe vlerësim cilësor të ndikimit rregullator, përgjatë një procesi mirëplanifikimi ligjor dhe konsultimi gjithëpërfshirës publik, që garanton përputhje me acquis-në dhe </w:t>
            </w:r>
            <w:r w:rsidRPr="00641640">
              <w:rPr>
                <w:rFonts w:ascii="Times New Roman" w:hAnsi="Times New Roman" w:cs="Times New Roman"/>
                <w:bCs/>
                <w:iCs/>
                <w:noProof/>
                <w:sz w:val="22"/>
                <w:szCs w:val="22"/>
                <w:lang w:val="sq-AL"/>
              </w:rPr>
              <w:lastRenderedPageBreak/>
              <w:t>praktikat e mira ndërkombëtare</w:t>
            </w:r>
            <w:r w:rsidR="00207619">
              <w:rPr>
                <w:rFonts w:ascii="Times New Roman" w:hAnsi="Times New Roman" w:cs="Times New Roman"/>
                <w:bCs/>
                <w:iCs/>
                <w:noProof/>
                <w:sz w:val="22"/>
                <w:szCs w:val="22"/>
                <w:lang w:val="sq-AL"/>
              </w:rPr>
              <w:t>.</w:t>
            </w:r>
          </w:p>
          <w:p w14:paraId="45D14A6A" w14:textId="77777777" w:rsidR="007277CE" w:rsidRPr="00641640" w:rsidRDefault="007277CE" w:rsidP="00D137D4">
            <w:pPr>
              <w:spacing w:line="276" w:lineRule="auto"/>
              <w:jc w:val="center"/>
              <w:rPr>
                <w:rFonts w:ascii="Times New Roman" w:eastAsia="Arial" w:hAnsi="Times New Roman" w:cs="Times New Roman"/>
                <w:b/>
                <w:bCs/>
                <w:noProof/>
                <w:sz w:val="22"/>
                <w:szCs w:val="22"/>
                <w:lang w:val="sq-AL"/>
              </w:rPr>
            </w:pPr>
          </w:p>
        </w:tc>
        <w:tc>
          <w:tcPr>
            <w:tcW w:w="1890" w:type="dxa"/>
            <w:shd w:val="clear" w:color="auto" w:fill="auto"/>
            <w:tcMar>
              <w:top w:w="15" w:type="dxa"/>
              <w:left w:w="75" w:type="dxa"/>
              <w:bottom w:w="15" w:type="dxa"/>
              <w:right w:w="75" w:type="dxa"/>
            </w:tcMar>
          </w:tcPr>
          <w:p w14:paraId="74C9E138" w14:textId="77777777" w:rsidR="009C3E23" w:rsidRPr="00641640" w:rsidRDefault="009C3E23" w:rsidP="00D137D4">
            <w:pPr>
              <w:spacing w:line="276" w:lineRule="auto"/>
              <w:jc w:val="center"/>
              <w:rPr>
                <w:rFonts w:ascii="Times New Roman" w:eastAsia="Times New Roman" w:hAnsi="Times New Roman" w:cs="Times New Roman"/>
                <w:noProof/>
                <w:sz w:val="22"/>
                <w:szCs w:val="22"/>
                <w:lang w:val="sq-AL"/>
              </w:rPr>
            </w:pPr>
          </w:p>
          <w:p w14:paraId="266EB2E5" w14:textId="05965F12" w:rsidR="008A2574" w:rsidRPr="00641640" w:rsidRDefault="008A2574" w:rsidP="00D137D4">
            <w:pPr>
              <w:spacing w:line="276" w:lineRule="auto"/>
              <w:jc w:val="center"/>
              <w:rPr>
                <w:rFonts w:ascii="Times New Roman" w:eastAsia="Arial" w:hAnsi="Times New Roman" w:cs="Times New Roman"/>
                <w:noProof/>
                <w:sz w:val="22"/>
                <w:szCs w:val="22"/>
                <w:lang w:val="sq-AL"/>
              </w:rPr>
            </w:pPr>
            <w:r w:rsidRPr="00641640">
              <w:rPr>
                <w:rFonts w:ascii="Times New Roman" w:eastAsia="Times New Roman" w:hAnsi="Times New Roman" w:cs="Times New Roman"/>
                <w:noProof/>
                <w:sz w:val="22"/>
                <w:szCs w:val="22"/>
                <w:lang w:val="sq-AL"/>
              </w:rPr>
              <w:t>Kryeministria</w:t>
            </w:r>
          </w:p>
          <w:p w14:paraId="09209D74" w14:textId="77777777" w:rsidR="007277CE" w:rsidRPr="00641640" w:rsidRDefault="007277CE" w:rsidP="00D137D4">
            <w:pPr>
              <w:spacing w:line="276" w:lineRule="auto"/>
              <w:jc w:val="center"/>
              <w:rPr>
                <w:rFonts w:ascii="Times New Roman" w:eastAsia="Arial" w:hAnsi="Times New Roman" w:cs="Times New Roman"/>
                <w:b/>
                <w:bCs/>
                <w:noProof/>
                <w:sz w:val="22"/>
                <w:szCs w:val="22"/>
                <w:lang w:val="sq-AL"/>
              </w:rPr>
            </w:pPr>
          </w:p>
        </w:tc>
      </w:tr>
      <w:tr w:rsidR="008569EF" w:rsidRPr="00641640" w14:paraId="247FD116" w14:textId="77777777" w:rsidTr="005B4535">
        <w:trPr>
          <w:trHeight w:val="659"/>
        </w:trPr>
        <w:tc>
          <w:tcPr>
            <w:tcW w:w="982" w:type="dxa"/>
            <w:shd w:val="clear" w:color="auto" w:fill="auto"/>
            <w:tcMar>
              <w:top w:w="15" w:type="dxa"/>
              <w:left w:w="75" w:type="dxa"/>
              <w:bottom w:w="15" w:type="dxa"/>
              <w:right w:w="75" w:type="dxa"/>
            </w:tcMar>
          </w:tcPr>
          <w:p w14:paraId="3AC57089" w14:textId="77777777" w:rsidR="009C3E23" w:rsidRPr="00641640" w:rsidRDefault="009C3E23" w:rsidP="00D137D4">
            <w:pPr>
              <w:spacing w:line="276" w:lineRule="auto"/>
              <w:jc w:val="center"/>
              <w:rPr>
                <w:rFonts w:ascii="Times New Roman" w:hAnsi="Times New Roman" w:cs="Times New Roman"/>
                <w:noProof/>
                <w:sz w:val="22"/>
                <w:szCs w:val="22"/>
                <w:lang w:val="sq-AL"/>
              </w:rPr>
            </w:pPr>
          </w:p>
          <w:p w14:paraId="35367A0B" w14:textId="4109A62E" w:rsidR="008569EF" w:rsidRPr="00641640" w:rsidRDefault="00DC2B21" w:rsidP="00D137D4">
            <w:pPr>
              <w:spacing w:line="276" w:lineRule="auto"/>
              <w:jc w:val="center"/>
              <w:rPr>
                <w:rFonts w:ascii="Times New Roman" w:hAnsi="Times New Roman" w:cs="Times New Roman"/>
                <w:b/>
                <w:bCs/>
                <w:noProof/>
                <w:color w:val="ED7D31" w:themeColor="accent2"/>
                <w:sz w:val="22"/>
                <w:szCs w:val="22"/>
                <w:lang w:val="sq-AL"/>
              </w:rPr>
            </w:pPr>
            <w:r>
              <w:rPr>
                <w:rFonts w:ascii="Times New Roman" w:hAnsi="Times New Roman" w:cs="Times New Roman"/>
                <w:noProof/>
                <w:sz w:val="22"/>
                <w:szCs w:val="22"/>
                <w:lang w:val="sq-AL"/>
              </w:rPr>
              <w:t>Produk</w:t>
            </w:r>
            <w:r w:rsidR="00936C6A" w:rsidRPr="00641640">
              <w:rPr>
                <w:rFonts w:ascii="Times New Roman" w:hAnsi="Times New Roman" w:cs="Times New Roman"/>
                <w:noProof/>
                <w:sz w:val="22"/>
                <w:szCs w:val="22"/>
                <w:lang w:val="sq-AL"/>
              </w:rPr>
              <w:t>ti</w:t>
            </w:r>
          </w:p>
        </w:tc>
        <w:tc>
          <w:tcPr>
            <w:tcW w:w="1980" w:type="dxa"/>
            <w:shd w:val="clear" w:color="auto" w:fill="auto"/>
            <w:tcMar>
              <w:top w:w="15" w:type="dxa"/>
              <w:left w:w="75" w:type="dxa"/>
              <w:bottom w:w="15" w:type="dxa"/>
              <w:right w:w="75" w:type="dxa"/>
            </w:tcMar>
          </w:tcPr>
          <w:p w14:paraId="63A45C3D" w14:textId="77777777" w:rsidR="009C3E23" w:rsidRPr="00641640" w:rsidRDefault="009C3E23" w:rsidP="00D137D4">
            <w:pPr>
              <w:spacing w:line="276" w:lineRule="auto"/>
              <w:rPr>
                <w:rFonts w:ascii="Times New Roman" w:hAnsi="Times New Roman" w:cs="Times New Roman"/>
                <w:noProof/>
                <w:sz w:val="22"/>
                <w:szCs w:val="22"/>
                <w:lang w:val="sq-AL"/>
              </w:rPr>
            </w:pPr>
          </w:p>
          <w:p w14:paraId="05F4D775" w14:textId="37B7BEB0" w:rsidR="008569EF" w:rsidRPr="00641640" w:rsidRDefault="008569EF" w:rsidP="00D137D4">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1.3.5</w:t>
            </w:r>
            <w:r w:rsidR="00D1103B" w:rsidRPr="00641640">
              <w:rPr>
                <w:rFonts w:ascii="Times New Roman" w:hAnsi="Times New Roman" w:cs="Times New Roman"/>
                <w:noProof/>
                <w:sz w:val="22"/>
                <w:szCs w:val="22"/>
                <w:lang w:val="sq-AL"/>
              </w:rPr>
              <w:t xml:space="preserve"> Numri i raporteve RIA për akte dytësore me interes të lartë publik të konfirmuara</w:t>
            </w:r>
            <w:r w:rsidR="006E41DE">
              <w:rPr>
                <w:rFonts w:ascii="Times New Roman" w:hAnsi="Times New Roman" w:cs="Times New Roman"/>
                <w:noProof/>
                <w:sz w:val="22"/>
                <w:szCs w:val="22"/>
                <w:lang w:val="sq-AL"/>
              </w:rPr>
              <w:t>.</w:t>
            </w:r>
          </w:p>
        </w:tc>
        <w:tc>
          <w:tcPr>
            <w:tcW w:w="2160" w:type="dxa"/>
            <w:shd w:val="clear" w:color="auto" w:fill="auto"/>
          </w:tcPr>
          <w:p w14:paraId="7011F883" w14:textId="77777777" w:rsidR="009C3E23" w:rsidRPr="00641640" w:rsidRDefault="009C3E23" w:rsidP="00D137D4">
            <w:pPr>
              <w:spacing w:line="276" w:lineRule="auto"/>
              <w:rPr>
                <w:rFonts w:ascii="Times New Roman" w:eastAsia="Arial" w:hAnsi="Times New Roman" w:cs="Times New Roman"/>
                <w:noProof/>
                <w:sz w:val="22"/>
                <w:szCs w:val="22"/>
                <w:lang w:val="sq-AL"/>
              </w:rPr>
            </w:pPr>
          </w:p>
          <w:p w14:paraId="1CFA66B8" w14:textId="337379BC" w:rsidR="008569EF" w:rsidRPr="00641640" w:rsidRDefault="00936C6A" w:rsidP="00D137D4">
            <w:pPr>
              <w:spacing w:line="276" w:lineRule="auto"/>
              <w:rPr>
                <w:rFonts w:ascii="Times New Roman" w:eastAsia="Arial" w:hAnsi="Times New Roman" w:cs="Times New Roman"/>
                <w:b/>
                <w:bCs/>
                <w:noProof/>
                <w:sz w:val="22"/>
                <w:szCs w:val="22"/>
                <w:lang w:val="sq-AL"/>
              </w:rPr>
            </w:pPr>
            <w:r w:rsidRPr="00641640">
              <w:rPr>
                <w:rFonts w:ascii="Times New Roman" w:eastAsia="Arial" w:hAnsi="Times New Roman" w:cs="Times New Roman"/>
                <w:noProof/>
                <w:sz w:val="22"/>
                <w:szCs w:val="22"/>
                <w:lang w:val="sq-AL"/>
              </w:rPr>
              <w:t>Zhvillimi dhe koordinimi i politikave</w:t>
            </w:r>
          </w:p>
        </w:tc>
        <w:tc>
          <w:tcPr>
            <w:tcW w:w="2340" w:type="dxa"/>
            <w:shd w:val="clear" w:color="auto" w:fill="auto"/>
          </w:tcPr>
          <w:p w14:paraId="14D81842" w14:textId="77777777" w:rsidR="009C3E23" w:rsidRPr="00641640" w:rsidRDefault="009C3E23" w:rsidP="00D137D4">
            <w:pPr>
              <w:spacing w:line="276" w:lineRule="auto"/>
              <w:rPr>
                <w:rFonts w:ascii="Times New Roman" w:hAnsi="Times New Roman" w:cs="Times New Roman"/>
                <w:bCs/>
                <w:iCs/>
                <w:noProof/>
                <w:sz w:val="22"/>
                <w:szCs w:val="22"/>
                <w:lang w:val="sq-AL"/>
              </w:rPr>
            </w:pPr>
          </w:p>
          <w:p w14:paraId="3918B2BC" w14:textId="678C477E" w:rsidR="00E76276" w:rsidRPr="00641640" w:rsidRDefault="00E76276" w:rsidP="00D137D4">
            <w:pPr>
              <w:spacing w:line="276" w:lineRule="auto"/>
              <w:rPr>
                <w:rFonts w:ascii="Times New Roman" w:hAnsi="Times New Roman" w:cs="Times New Roman"/>
                <w:bCs/>
                <w:iCs/>
                <w:noProof/>
                <w:sz w:val="22"/>
                <w:szCs w:val="22"/>
                <w:lang w:val="sq-AL"/>
              </w:rPr>
            </w:pPr>
            <w:r w:rsidRPr="00641640">
              <w:rPr>
                <w:rFonts w:ascii="Times New Roman" w:hAnsi="Times New Roman" w:cs="Times New Roman"/>
                <w:bCs/>
                <w:iCs/>
                <w:noProof/>
                <w:sz w:val="22"/>
                <w:szCs w:val="22"/>
                <w:lang w:val="sq-AL"/>
              </w:rPr>
              <w:t>1.3 Hartimi i politikave mbështetur në të dhëna dhe vlerësim cilësor të ndikimit rregullator, përgjatë një procesi mirëplanifikimi ligjor dhe konsultimi gjithëpërfshirës publik, që garanton përputhje me acquis-në dhe praktikat e mira ndërkombëtare</w:t>
            </w:r>
            <w:r w:rsidR="00207619">
              <w:rPr>
                <w:rFonts w:ascii="Times New Roman" w:hAnsi="Times New Roman" w:cs="Times New Roman"/>
                <w:bCs/>
                <w:iCs/>
                <w:noProof/>
                <w:sz w:val="22"/>
                <w:szCs w:val="22"/>
                <w:lang w:val="sq-AL"/>
              </w:rPr>
              <w:t>.</w:t>
            </w:r>
          </w:p>
          <w:p w14:paraId="4D4351B2" w14:textId="77777777" w:rsidR="008569EF" w:rsidRPr="00641640" w:rsidRDefault="008569EF" w:rsidP="00D137D4">
            <w:pPr>
              <w:spacing w:line="276" w:lineRule="auto"/>
              <w:jc w:val="center"/>
              <w:rPr>
                <w:rFonts w:ascii="Times New Roman" w:eastAsia="Arial" w:hAnsi="Times New Roman" w:cs="Times New Roman"/>
                <w:b/>
                <w:bCs/>
                <w:noProof/>
                <w:sz w:val="22"/>
                <w:szCs w:val="22"/>
                <w:lang w:val="sq-AL"/>
              </w:rPr>
            </w:pPr>
          </w:p>
        </w:tc>
        <w:tc>
          <w:tcPr>
            <w:tcW w:w="1890" w:type="dxa"/>
            <w:shd w:val="clear" w:color="auto" w:fill="auto"/>
            <w:tcMar>
              <w:top w:w="15" w:type="dxa"/>
              <w:left w:w="75" w:type="dxa"/>
              <w:bottom w:w="15" w:type="dxa"/>
              <w:right w:w="75" w:type="dxa"/>
            </w:tcMar>
          </w:tcPr>
          <w:p w14:paraId="1F39431F" w14:textId="77777777" w:rsidR="009C3E23" w:rsidRPr="00641640" w:rsidRDefault="009C3E23" w:rsidP="00D137D4">
            <w:pPr>
              <w:spacing w:line="276" w:lineRule="auto"/>
              <w:jc w:val="center"/>
              <w:rPr>
                <w:rFonts w:ascii="Times New Roman" w:eastAsia="Times New Roman" w:hAnsi="Times New Roman" w:cs="Times New Roman"/>
                <w:noProof/>
                <w:sz w:val="22"/>
                <w:szCs w:val="22"/>
                <w:lang w:val="sq-AL"/>
              </w:rPr>
            </w:pPr>
          </w:p>
          <w:p w14:paraId="2C710D69" w14:textId="41276422" w:rsidR="008A2574" w:rsidRPr="00641640" w:rsidRDefault="008A2574" w:rsidP="00D137D4">
            <w:pPr>
              <w:spacing w:line="276" w:lineRule="auto"/>
              <w:jc w:val="center"/>
              <w:rPr>
                <w:rFonts w:ascii="Times New Roman" w:eastAsia="Arial" w:hAnsi="Times New Roman" w:cs="Times New Roman"/>
                <w:noProof/>
                <w:sz w:val="22"/>
                <w:szCs w:val="22"/>
                <w:lang w:val="sq-AL"/>
              </w:rPr>
            </w:pPr>
            <w:r w:rsidRPr="00641640">
              <w:rPr>
                <w:rFonts w:ascii="Times New Roman" w:eastAsia="Times New Roman" w:hAnsi="Times New Roman" w:cs="Times New Roman"/>
                <w:noProof/>
                <w:sz w:val="22"/>
                <w:szCs w:val="22"/>
                <w:lang w:val="sq-AL"/>
              </w:rPr>
              <w:t>Kryeministria</w:t>
            </w:r>
          </w:p>
          <w:p w14:paraId="2AA203FD" w14:textId="77777777" w:rsidR="008569EF" w:rsidRPr="00641640" w:rsidRDefault="008569EF" w:rsidP="00D137D4">
            <w:pPr>
              <w:spacing w:line="276" w:lineRule="auto"/>
              <w:jc w:val="center"/>
              <w:rPr>
                <w:rFonts w:ascii="Times New Roman" w:eastAsia="Arial" w:hAnsi="Times New Roman" w:cs="Times New Roman"/>
                <w:b/>
                <w:bCs/>
                <w:noProof/>
                <w:sz w:val="22"/>
                <w:szCs w:val="22"/>
                <w:lang w:val="sq-AL"/>
              </w:rPr>
            </w:pPr>
          </w:p>
        </w:tc>
      </w:tr>
      <w:tr w:rsidR="008569EF" w:rsidRPr="00641640" w14:paraId="3E569112" w14:textId="77777777" w:rsidTr="00D137D4">
        <w:trPr>
          <w:trHeight w:val="659"/>
        </w:trPr>
        <w:tc>
          <w:tcPr>
            <w:tcW w:w="982" w:type="dxa"/>
            <w:shd w:val="clear" w:color="auto" w:fill="auto"/>
            <w:tcMar>
              <w:top w:w="15" w:type="dxa"/>
              <w:left w:w="75" w:type="dxa"/>
              <w:bottom w:w="15" w:type="dxa"/>
              <w:right w:w="75" w:type="dxa"/>
            </w:tcMar>
          </w:tcPr>
          <w:p w14:paraId="4CE6E0D4" w14:textId="77777777" w:rsidR="009C3E23" w:rsidRPr="00641640" w:rsidRDefault="009C3E23" w:rsidP="00D137D4">
            <w:pPr>
              <w:spacing w:line="276" w:lineRule="auto"/>
              <w:jc w:val="center"/>
              <w:rPr>
                <w:rFonts w:ascii="Times New Roman" w:hAnsi="Times New Roman" w:cs="Times New Roman"/>
                <w:noProof/>
                <w:sz w:val="22"/>
                <w:szCs w:val="22"/>
                <w:lang w:val="sq-AL"/>
              </w:rPr>
            </w:pPr>
          </w:p>
          <w:p w14:paraId="5684FA1B" w14:textId="72D0BCC6" w:rsidR="008569EF" w:rsidRPr="00641640" w:rsidRDefault="00936C6A" w:rsidP="00D137D4">
            <w:pPr>
              <w:spacing w:line="276" w:lineRule="auto"/>
              <w:jc w:val="center"/>
              <w:rPr>
                <w:rFonts w:ascii="Times New Roman" w:hAnsi="Times New Roman" w:cs="Times New Roman"/>
                <w:b/>
                <w:bCs/>
                <w:noProof/>
                <w:color w:val="ED7D31" w:themeColor="accent2"/>
                <w:sz w:val="22"/>
                <w:szCs w:val="22"/>
                <w:lang w:val="sq-AL"/>
              </w:rPr>
            </w:pPr>
            <w:r w:rsidRPr="00641640">
              <w:rPr>
                <w:rFonts w:ascii="Times New Roman" w:hAnsi="Times New Roman" w:cs="Times New Roman"/>
                <w:noProof/>
                <w:sz w:val="22"/>
                <w:szCs w:val="22"/>
                <w:lang w:val="sq-AL"/>
              </w:rPr>
              <w:t>Rezultati</w:t>
            </w:r>
          </w:p>
        </w:tc>
        <w:tc>
          <w:tcPr>
            <w:tcW w:w="1980" w:type="dxa"/>
            <w:shd w:val="clear" w:color="auto" w:fill="auto"/>
            <w:tcMar>
              <w:top w:w="15" w:type="dxa"/>
              <w:left w:w="75" w:type="dxa"/>
              <w:bottom w:w="15" w:type="dxa"/>
              <w:right w:w="75" w:type="dxa"/>
            </w:tcMar>
          </w:tcPr>
          <w:p w14:paraId="1031D593" w14:textId="77777777" w:rsidR="009C3E23" w:rsidRPr="00641640" w:rsidRDefault="009C3E23" w:rsidP="00D137D4">
            <w:pPr>
              <w:spacing w:line="276" w:lineRule="auto"/>
              <w:rPr>
                <w:rFonts w:ascii="Times New Roman" w:hAnsi="Times New Roman" w:cs="Times New Roman"/>
                <w:noProof/>
                <w:sz w:val="22"/>
                <w:szCs w:val="22"/>
                <w:lang w:val="sq-AL"/>
              </w:rPr>
            </w:pPr>
          </w:p>
          <w:p w14:paraId="467BB1BA" w14:textId="0C573C00" w:rsidR="008569EF" w:rsidRPr="00641640" w:rsidRDefault="008569EF" w:rsidP="00D137D4">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1.3.6</w:t>
            </w:r>
            <w:r w:rsidR="001A6696" w:rsidRPr="00641640">
              <w:rPr>
                <w:rFonts w:ascii="Times New Roman" w:hAnsi="Times New Roman" w:cs="Times New Roman"/>
                <w:noProof/>
                <w:sz w:val="22"/>
                <w:szCs w:val="22"/>
                <w:lang w:val="sq-AL"/>
              </w:rPr>
              <w:t xml:space="preserve"> Përqindja e draft-raporteve RIA të publikuara në RENJKP përpara finalizimit</w:t>
            </w:r>
            <w:r w:rsidR="00044ABD">
              <w:rPr>
                <w:rFonts w:ascii="Times New Roman" w:hAnsi="Times New Roman" w:cs="Times New Roman"/>
                <w:noProof/>
                <w:sz w:val="22"/>
                <w:szCs w:val="22"/>
                <w:lang w:val="sq-AL"/>
              </w:rPr>
              <w:t>.</w:t>
            </w:r>
          </w:p>
        </w:tc>
        <w:tc>
          <w:tcPr>
            <w:tcW w:w="2160" w:type="dxa"/>
            <w:shd w:val="clear" w:color="auto" w:fill="auto"/>
          </w:tcPr>
          <w:p w14:paraId="0E94ECB4" w14:textId="77777777" w:rsidR="009C3E23" w:rsidRPr="00641640" w:rsidRDefault="009C3E23" w:rsidP="00D137D4">
            <w:pPr>
              <w:spacing w:line="276" w:lineRule="auto"/>
              <w:rPr>
                <w:rFonts w:ascii="Times New Roman" w:eastAsia="Arial" w:hAnsi="Times New Roman" w:cs="Times New Roman"/>
                <w:noProof/>
                <w:sz w:val="22"/>
                <w:szCs w:val="22"/>
                <w:lang w:val="sq-AL"/>
              </w:rPr>
            </w:pPr>
          </w:p>
          <w:p w14:paraId="125E1732" w14:textId="62DB3534" w:rsidR="008569EF" w:rsidRPr="00641640" w:rsidRDefault="00936C6A" w:rsidP="00D137D4">
            <w:pPr>
              <w:spacing w:line="276" w:lineRule="auto"/>
              <w:rPr>
                <w:rFonts w:ascii="Times New Roman" w:eastAsia="Arial" w:hAnsi="Times New Roman" w:cs="Times New Roman"/>
                <w:b/>
                <w:bCs/>
                <w:noProof/>
                <w:sz w:val="22"/>
                <w:szCs w:val="22"/>
                <w:lang w:val="sq-AL"/>
              </w:rPr>
            </w:pPr>
            <w:r w:rsidRPr="00641640">
              <w:rPr>
                <w:rFonts w:ascii="Times New Roman" w:eastAsia="Arial" w:hAnsi="Times New Roman" w:cs="Times New Roman"/>
                <w:noProof/>
                <w:sz w:val="22"/>
                <w:szCs w:val="22"/>
                <w:lang w:val="sq-AL"/>
              </w:rPr>
              <w:t>Zhvillimi dhe koordinimi i politikave</w:t>
            </w:r>
          </w:p>
        </w:tc>
        <w:tc>
          <w:tcPr>
            <w:tcW w:w="2340" w:type="dxa"/>
            <w:shd w:val="clear" w:color="auto" w:fill="auto"/>
          </w:tcPr>
          <w:p w14:paraId="53717387" w14:textId="77777777" w:rsidR="009C3E23" w:rsidRPr="00641640" w:rsidRDefault="009C3E23" w:rsidP="00D137D4">
            <w:pPr>
              <w:spacing w:line="276" w:lineRule="auto"/>
              <w:rPr>
                <w:rFonts w:ascii="Times New Roman" w:hAnsi="Times New Roman" w:cs="Times New Roman"/>
                <w:bCs/>
                <w:iCs/>
                <w:noProof/>
                <w:sz w:val="22"/>
                <w:szCs w:val="22"/>
                <w:lang w:val="sq-AL"/>
              </w:rPr>
            </w:pPr>
          </w:p>
          <w:p w14:paraId="6C18927D" w14:textId="0B9F9BAC" w:rsidR="00E76276" w:rsidRPr="00641640" w:rsidRDefault="00E76276" w:rsidP="00D137D4">
            <w:pPr>
              <w:spacing w:line="276" w:lineRule="auto"/>
              <w:rPr>
                <w:rFonts w:ascii="Times New Roman" w:hAnsi="Times New Roman" w:cs="Times New Roman"/>
                <w:bCs/>
                <w:iCs/>
                <w:noProof/>
                <w:sz w:val="22"/>
                <w:szCs w:val="22"/>
                <w:lang w:val="sq-AL"/>
              </w:rPr>
            </w:pPr>
            <w:r w:rsidRPr="00641640">
              <w:rPr>
                <w:rFonts w:ascii="Times New Roman" w:hAnsi="Times New Roman" w:cs="Times New Roman"/>
                <w:bCs/>
                <w:iCs/>
                <w:noProof/>
                <w:sz w:val="22"/>
                <w:szCs w:val="22"/>
                <w:lang w:val="sq-AL"/>
              </w:rPr>
              <w:t>1.3 Hartimi i politikave mbështetur në të dhëna dhe vlerësim cilësor të ndikimit rregullator, përgjatë një procesi mirëplanifikimi ligjor dhe konsultimi gjithëpërfshirës publik, që garanton përputhje me acquis-në dhe praktikat e mira ndërkombëtare</w:t>
            </w:r>
            <w:r w:rsidR="00207619">
              <w:rPr>
                <w:rFonts w:ascii="Times New Roman" w:hAnsi="Times New Roman" w:cs="Times New Roman"/>
                <w:bCs/>
                <w:iCs/>
                <w:noProof/>
                <w:sz w:val="22"/>
                <w:szCs w:val="22"/>
                <w:lang w:val="sq-AL"/>
              </w:rPr>
              <w:t>.</w:t>
            </w:r>
          </w:p>
          <w:p w14:paraId="3EAC9ED9" w14:textId="77777777" w:rsidR="008569EF" w:rsidRPr="00641640" w:rsidRDefault="008569EF" w:rsidP="00D137D4">
            <w:pPr>
              <w:spacing w:line="276" w:lineRule="auto"/>
              <w:jc w:val="center"/>
              <w:rPr>
                <w:rFonts w:ascii="Times New Roman" w:eastAsia="Arial" w:hAnsi="Times New Roman" w:cs="Times New Roman"/>
                <w:b/>
                <w:bCs/>
                <w:noProof/>
                <w:sz w:val="22"/>
                <w:szCs w:val="22"/>
                <w:lang w:val="sq-AL"/>
              </w:rPr>
            </w:pPr>
          </w:p>
        </w:tc>
        <w:tc>
          <w:tcPr>
            <w:tcW w:w="1890" w:type="dxa"/>
            <w:shd w:val="clear" w:color="auto" w:fill="auto"/>
            <w:tcMar>
              <w:top w:w="15" w:type="dxa"/>
              <w:left w:w="75" w:type="dxa"/>
              <w:bottom w:w="15" w:type="dxa"/>
              <w:right w:w="75" w:type="dxa"/>
            </w:tcMar>
          </w:tcPr>
          <w:p w14:paraId="75A06DAF" w14:textId="77777777" w:rsidR="009C3E23" w:rsidRPr="00641640" w:rsidRDefault="009C3E23" w:rsidP="00D137D4">
            <w:pPr>
              <w:spacing w:line="276" w:lineRule="auto"/>
              <w:jc w:val="center"/>
              <w:rPr>
                <w:rFonts w:ascii="Times New Roman" w:eastAsia="Times New Roman" w:hAnsi="Times New Roman" w:cs="Times New Roman"/>
                <w:noProof/>
                <w:sz w:val="22"/>
                <w:szCs w:val="22"/>
                <w:lang w:val="sq-AL"/>
              </w:rPr>
            </w:pPr>
          </w:p>
          <w:p w14:paraId="4181E60C" w14:textId="4269F31D" w:rsidR="008A2574" w:rsidRPr="00641640" w:rsidRDefault="008A2574" w:rsidP="00D137D4">
            <w:pPr>
              <w:spacing w:line="276" w:lineRule="auto"/>
              <w:jc w:val="center"/>
              <w:rPr>
                <w:rFonts w:ascii="Times New Roman" w:eastAsia="Arial" w:hAnsi="Times New Roman" w:cs="Times New Roman"/>
                <w:noProof/>
                <w:sz w:val="22"/>
                <w:szCs w:val="22"/>
                <w:lang w:val="sq-AL"/>
              </w:rPr>
            </w:pPr>
            <w:r w:rsidRPr="00641640">
              <w:rPr>
                <w:rFonts w:ascii="Times New Roman" w:eastAsia="Times New Roman" w:hAnsi="Times New Roman" w:cs="Times New Roman"/>
                <w:noProof/>
                <w:sz w:val="22"/>
                <w:szCs w:val="22"/>
                <w:lang w:val="sq-AL"/>
              </w:rPr>
              <w:t>Kryeministria</w:t>
            </w:r>
          </w:p>
          <w:p w14:paraId="7F56C1D2" w14:textId="77777777" w:rsidR="008569EF" w:rsidRPr="00641640" w:rsidRDefault="008569EF" w:rsidP="00D137D4">
            <w:pPr>
              <w:spacing w:line="276" w:lineRule="auto"/>
              <w:jc w:val="center"/>
              <w:rPr>
                <w:rFonts w:ascii="Times New Roman" w:eastAsia="Arial" w:hAnsi="Times New Roman" w:cs="Times New Roman"/>
                <w:b/>
                <w:bCs/>
                <w:noProof/>
                <w:sz w:val="22"/>
                <w:szCs w:val="22"/>
                <w:lang w:val="sq-AL"/>
              </w:rPr>
            </w:pPr>
          </w:p>
        </w:tc>
      </w:tr>
      <w:tr w:rsidR="008569EF" w:rsidRPr="00641640" w14:paraId="506BB870" w14:textId="77777777" w:rsidTr="005B4535">
        <w:trPr>
          <w:trHeight w:val="659"/>
        </w:trPr>
        <w:tc>
          <w:tcPr>
            <w:tcW w:w="982" w:type="dxa"/>
            <w:shd w:val="clear" w:color="auto" w:fill="auto"/>
            <w:tcMar>
              <w:top w:w="15" w:type="dxa"/>
              <w:left w:w="75" w:type="dxa"/>
              <w:bottom w:w="15" w:type="dxa"/>
              <w:right w:w="75" w:type="dxa"/>
            </w:tcMar>
          </w:tcPr>
          <w:p w14:paraId="66273274" w14:textId="77777777" w:rsidR="009C3E23" w:rsidRPr="00641640" w:rsidRDefault="009C3E23" w:rsidP="00D137D4">
            <w:pPr>
              <w:spacing w:line="276" w:lineRule="auto"/>
              <w:jc w:val="center"/>
              <w:rPr>
                <w:rFonts w:ascii="Times New Roman" w:hAnsi="Times New Roman" w:cs="Times New Roman"/>
                <w:noProof/>
                <w:sz w:val="22"/>
                <w:szCs w:val="22"/>
                <w:lang w:val="sq-AL"/>
              </w:rPr>
            </w:pPr>
          </w:p>
          <w:p w14:paraId="1A083C14" w14:textId="269CBDB9" w:rsidR="008569EF" w:rsidRPr="00641640" w:rsidRDefault="00936C6A" w:rsidP="00D137D4">
            <w:pPr>
              <w:spacing w:line="276" w:lineRule="auto"/>
              <w:jc w:val="center"/>
              <w:rPr>
                <w:rFonts w:ascii="Times New Roman" w:hAnsi="Times New Roman" w:cs="Times New Roman"/>
                <w:b/>
                <w:bCs/>
                <w:noProof/>
                <w:color w:val="ED7D31" w:themeColor="accent2"/>
                <w:sz w:val="22"/>
                <w:szCs w:val="22"/>
                <w:lang w:val="sq-AL"/>
              </w:rPr>
            </w:pPr>
            <w:r w:rsidRPr="00641640">
              <w:rPr>
                <w:rFonts w:ascii="Times New Roman" w:hAnsi="Times New Roman" w:cs="Times New Roman"/>
                <w:noProof/>
                <w:sz w:val="22"/>
                <w:szCs w:val="22"/>
                <w:lang w:val="sq-AL"/>
              </w:rPr>
              <w:t>Rezultati</w:t>
            </w:r>
          </w:p>
        </w:tc>
        <w:tc>
          <w:tcPr>
            <w:tcW w:w="1980" w:type="dxa"/>
            <w:shd w:val="clear" w:color="auto" w:fill="auto"/>
            <w:tcMar>
              <w:top w:w="15" w:type="dxa"/>
              <w:left w:w="75" w:type="dxa"/>
              <w:bottom w:w="15" w:type="dxa"/>
              <w:right w:w="75" w:type="dxa"/>
            </w:tcMar>
          </w:tcPr>
          <w:p w14:paraId="67B69C4A" w14:textId="77777777" w:rsidR="009C3E23" w:rsidRPr="00641640" w:rsidRDefault="009C3E23" w:rsidP="00D137D4">
            <w:pPr>
              <w:spacing w:line="276" w:lineRule="auto"/>
              <w:rPr>
                <w:rFonts w:ascii="Times New Roman" w:hAnsi="Times New Roman" w:cs="Times New Roman"/>
                <w:noProof/>
                <w:sz w:val="22"/>
                <w:szCs w:val="22"/>
                <w:lang w:val="sq-AL"/>
              </w:rPr>
            </w:pPr>
          </w:p>
          <w:p w14:paraId="48F58B41" w14:textId="09A588FF" w:rsidR="008569EF" w:rsidRPr="00641640" w:rsidRDefault="008569EF" w:rsidP="00D137D4">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1.3.7</w:t>
            </w:r>
            <w:r w:rsidR="001A6696" w:rsidRPr="00641640">
              <w:rPr>
                <w:rFonts w:ascii="Times New Roman" w:hAnsi="Times New Roman" w:cs="Times New Roman"/>
                <w:noProof/>
                <w:sz w:val="22"/>
                <w:szCs w:val="22"/>
                <w:lang w:val="sq-AL"/>
              </w:rPr>
              <w:t xml:space="preserve"> Përmirësimi i cilësisë së procesit të konsultimit publik</w:t>
            </w:r>
            <w:r w:rsidR="00044ABD">
              <w:rPr>
                <w:rFonts w:ascii="Times New Roman" w:hAnsi="Times New Roman" w:cs="Times New Roman"/>
                <w:noProof/>
                <w:sz w:val="22"/>
                <w:szCs w:val="22"/>
                <w:lang w:val="sq-AL"/>
              </w:rPr>
              <w:t>.</w:t>
            </w:r>
          </w:p>
        </w:tc>
        <w:tc>
          <w:tcPr>
            <w:tcW w:w="2160" w:type="dxa"/>
            <w:shd w:val="clear" w:color="auto" w:fill="auto"/>
          </w:tcPr>
          <w:p w14:paraId="26997944" w14:textId="77777777" w:rsidR="009C3E23" w:rsidRPr="00641640" w:rsidRDefault="009C3E23" w:rsidP="00D137D4">
            <w:pPr>
              <w:spacing w:line="276" w:lineRule="auto"/>
              <w:rPr>
                <w:rFonts w:ascii="Times New Roman" w:eastAsia="Arial" w:hAnsi="Times New Roman" w:cs="Times New Roman"/>
                <w:noProof/>
                <w:sz w:val="22"/>
                <w:szCs w:val="22"/>
                <w:lang w:val="sq-AL"/>
              </w:rPr>
            </w:pPr>
          </w:p>
          <w:p w14:paraId="0EEC1B1A" w14:textId="6396ADE1" w:rsidR="008569EF" w:rsidRPr="00641640" w:rsidRDefault="00936C6A" w:rsidP="00D137D4">
            <w:pPr>
              <w:spacing w:line="276" w:lineRule="auto"/>
              <w:rPr>
                <w:rFonts w:ascii="Times New Roman" w:eastAsia="Arial" w:hAnsi="Times New Roman" w:cs="Times New Roman"/>
                <w:b/>
                <w:bCs/>
                <w:noProof/>
                <w:sz w:val="22"/>
                <w:szCs w:val="22"/>
                <w:lang w:val="sq-AL"/>
              </w:rPr>
            </w:pPr>
            <w:r w:rsidRPr="00641640">
              <w:rPr>
                <w:rFonts w:ascii="Times New Roman" w:eastAsia="Arial" w:hAnsi="Times New Roman" w:cs="Times New Roman"/>
                <w:noProof/>
                <w:sz w:val="22"/>
                <w:szCs w:val="22"/>
                <w:lang w:val="sq-AL"/>
              </w:rPr>
              <w:t>Zhvillimi dhe koordinimi i politikave</w:t>
            </w:r>
          </w:p>
        </w:tc>
        <w:tc>
          <w:tcPr>
            <w:tcW w:w="2340" w:type="dxa"/>
            <w:shd w:val="clear" w:color="auto" w:fill="auto"/>
          </w:tcPr>
          <w:p w14:paraId="3E4D91A6" w14:textId="77777777" w:rsidR="009C3E23" w:rsidRPr="00641640" w:rsidRDefault="009C3E23" w:rsidP="00D137D4">
            <w:pPr>
              <w:spacing w:line="276" w:lineRule="auto"/>
              <w:rPr>
                <w:rFonts w:ascii="Times New Roman" w:hAnsi="Times New Roman" w:cs="Times New Roman"/>
                <w:bCs/>
                <w:iCs/>
                <w:noProof/>
                <w:sz w:val="22"/>
                <w:szCs w:val="22"/>
                <w:lang w:val="sq-AL"/>
              </w:rPr>
            </w:pPr>
          </w:p>
          <w:p w14:paraId="1CAA27F9" w14:textId="0523C25F" w:rsidR="00E76276" w:rsidRPr="00641640" w:rsidRDefault="00E76276" w:rsidP="00D137D4">
            <w:pPr>
              <w:spacing w:line="276" w:lineRule="auto"/>
              <w:rPr>
                <w:rFonts w:ascii="Times New Roman" w:hAnsi="Times New Roman" w:cs="Times New Roman"/>
                <w:bCs/>
                <w:iCs/>
                <w:noProof/>
                <w:sz w:val="22"/>
                <w:szCs w:val="22"/>
                <w:lang w:val="sq-AL"/>
              </w:rPr>
            </w:pPr>
            <w:r w:rsidRPr="00641640">
              <w:rPr>
                <w:rFonts w:ascii="Times New Roman" w:hAnsi="Times New Roman" w:cs="Times New Roman"/>
                <w:bCs/>
                <w:iCs/>
                <w:noProof/>
                <w:sz w:val="22"/>
                <w:szCs w:val="22"/>
                <w:lang w:val="sq-AL"/>
              </w:rPr>
              <w:t xml:space="preserve">1.3 Hartimi i politikave mbështetur në të dhëna dhe vlerësim cilësor të ndikimit rregullator, përgjatë një procesi mirëplanifikimi ligjor dhe konsultimi gjithëpërfshirës publik, që garanton përputhje me acquis-në dhe </w:t>
            </w:r>
            <w:r w:rsidRPr="00641640">
              <w:rPr>
                <w:rFonts w:ascii="Times New Roman" w:hAnsi="Times New Roman" w:cs="Times New Roman"/>
                <w:bCs/>
                <w:iCs/>
                <w:noProof/>
                <w:sz w:val="22"/>
                <w:szCs w:val="22"/>
                <w:lang w:val="sq-AL"/>
              </w:rPr>
              <w:lastRenderedPageBreak/>
              <w:t>praktikat e mira ndërkombëtare</w:t>
            </w:r>
            <w:r w:rsidR="00207619">
              <w:rPr>
                <w:rFonts w:ascii="Times New Roman" w:hAnsi="Times New Roman" w:cs="Times New Roman"/>
                <w:bCs/>
                <w:iCs/>
                <w:noProof/>
                <w:sz w:val="22"/>
                <w:szCs w:val="22"/>
                <w:lang w:val="sq-AL"/>
              </w:rPr>
              <w:t>.</w:t>
            </w:r>
          </w:p>
          <w:p w14:paraId="12D869CC" w14:textId="77777777" w:rsidR="008569EF" w:rsidRPr="00641640" w:rsidRDefault="008569EF" w:rsidP="00D137D4">
            <w:pPr>
              <w:spacing w:line="276" w:lineRule="auto"/>
              <w:jc w:val="center"/>
              <w:rPr>
                <w:rFonts w:ascii="Times New Roman" w:eastAsia="Arial" w:hAnsi="Times New Roman" w:cs="Times New Roman"/>
                <w:b/>
                <w:bCs/>
                <w:noProof/>
                <w:sz w:val="22"/>
                <w:szCs w:val="22"/>
                <w:lang w:val="sq-AL"/>
              </w:rPr>
            </w:pPr>
          </w:p>
        </w:tc>
        <w:tc>
          <w:tcPr>
            <w:tcW w:w="1890" w:type="dxa"/>
            <w:shd w:val="clear" w:color="auto" w:fill="auto"/>
            <w:tcMar>
              <w:top w:w="15" w:type="dxa"/>
              <w:left w:w="75" w:type="dxa"/>
              <w:bottom w:w="15" w:type="dxa"/>
              <w:right w:w="75" w:type="dxa"/>
            </w:tcMar>
          </w:tcPr>
          <w:p w14:paraId="6D1AC1D9" w14:textId="77777777" w:rsidR="009C3E23" w:rsidRPr="00641640" w:rsidRDefault="009C3E23" w:rsidP="00D137D4">
            <w:pPr>
              <w:spacing w:line="276" w:lineRule="auto"/>
              <w:jc w:val="center"/>
              <w:rPr>
                <w:rFonts w:ascii="Times New Roman" w:eastAsia="Times New Roman" w:hAnsi="Times New Roman" w:cs="Times New Roman"/>
                <w:noProof/>
                <w:sz w:val="22"/>
                <w:szCs w:val="22"/>
                <w:lang w:val="sq-AL"/>
              </w:rPr>
            </w:pPr>
          </w:p>
          <w:p w14:paraId="0A102EA3" w14:textId="40D9583C" w:rsidR="008A2574" w:rsidRPr="00641640" w:rsidRDefault="008A2574" w:rsidP="00D137D4">
            <w:pPr>
              <w:spacing w:line="276" w:lineRule="auto"/>
              <w:jc w:val="center"/>
              <w:rPr>
                <w:rFonts w:ascii="Times New Roman" w:eastAsia="Arial" w:hAnsi="Times New Roman" w:cs="Times New Roman"/>
                <w:noProof/>
                <w:sz w:val="22"/>
                <w:szCs w:val="22"/>
                <w:lang w:val="sq-AL"/>
              </w:rPr>
            </w:pPr>
            <w:r w:rsidRPr="00641640">
              <w:rPr>
                <w:rFonts w:ascii="Times New Roman" w:eastAsia="Times New Roman" w:hAnsi="Times New Roman" w:cs="Times New Roman"/>
                <w:noProof/>
                <w:sz w:val="22"/>
                <w:szCs w:val="22"/>
                <w:lang w:val="sq-AL"/>
              </w:rPr>
              <w:t>Kryeministria</w:t>
            </w:r>
          </w:p>
          <w:p w14:paraId="135F772D" w14:textId="77777777" w:rsidR="008569EF" w:rsidRPr="00641640" w:rsidRDefault="008569EF" w:rsidP="00D137D4">
            <w:pPr>
              <w:spacing w:line="276" w:lineRule="auto"/>
              <w:jc w:val="center"/>
              <w:rPr>
                <w:rFonts w:ascii="Times New Roman" w:eastAsia="Arial" w:hAnsi="Times New Roman" w:cs="Times New Roman"/>
                <w:b/>
                <w:bCs/>
                <w:noProof/>
                <w:sz w:val="22"/>
                <w:szCs w:val="22"/>
                <w:lang w:val="sq-AL"/>
              </w:rPr>
            </w:pPr>
          </w:p>
        </w:tc>
      </w:tr>
      <w:tr w:rsidR="00927A9E" w:rsidRPr="00641640" w14:paraId="172A45AC" w14:textId="77777777" w:rsidTr="00D137D4">
        <w:trPr>
          <w:trHeight w:val="659"/>
        </w:trPr>
        <w:tc>
          <w:tcPr>
            <w:tcW w:w="982" w:type="dxa"/>
            <w:shd w:val="clear" w:color="auto" w:fill="auto"/>
            <w:tcMar>
              <w:top w:w="15" w:type="dxa"/>
              <w:left w:w="75" w:type="dxa"/>
              <w:bottom w:w="15" w:type="dxa"/>
              <w:right w:w="75" w:type="dxa"/>
            </w:tcMar>
          </w:tcPr>
          <w:p w14:paraId="222DCF20" w14:textId="77777777" w:rsidR="009C3E23" w:rsidRPr="00641640" w:rsidRDefault="009C3E23" w:rsidP="00D137D4">
            <w:pPr>
              <w:spacing w:line="276" w:lineRule="auto"/>
              <w:jc w:val="center"/>
              <w:rPr>
                <w:rFonts w:ascii="Times New Roman" w:hAnsi="Times New Roman" w:cs="Times New Roman"/>
                <w:noProof/>
                <w:sz w:val="22"/>
                <w:szCs w:val="22"/>
                <w:lang w:val="sq-AL"/>
              </w:rPr>
            </w:pPr>
          </w:p>
          <w:p w14:paraId="3C4CEC8A" w14:textId="6E69087F" w:rsidR="00927A9E" w:rsidRPr="00641640" w:rsidRDefault="00DC2B21" w:rsidP="00D137D4">
            <w:pPr>
              <w:spacing w:line="276" w:lineRule="auto"/>
              <w:jc w:val="center"/>
              <w:rPr>
                <w:rFonts w:ascii="Times New Roman" w:hAnsi="Times New Roman" w:cs="Times New Roman"/>
                <w:b/>
                <w:bCs/>
                <w:noProof/>
                <w:color w:val="ED7D31" w:themeColor="accent2"/>
                <w:sz w:val="22"/>
                <w:szCs w:val="22"/>
                <w:lang w:val="sq-AL"/>
              </w:rPr>
            </w:pPr>
            <w:r>
              <w:rPr>
                <w:rFonts w:ascii="Times New Roman" w:hAnsi="Times New Roman" w:cs="Times New Roman"/>
                <w:noProof/>
                <w:sz w:val="22"/>
                <w:szCs w:val="22"/>
                <w:lang w:val="sq-AL"/>
              </w:rPr>
              <w:t>Produkt</w:t>
            </w:r>
            <w:r w:rsidR="00936C6A" w:rsidRPr="00641640">
              <w:rPr>
                <w:rFonts w:ascii="Times New Roman" w:hAnsi="Times New Roman" w:cs="Times New Roman"/>
                <w:noProof/>
                <w:sz w:val="22"/>
                <w:szCs w:val="22"/>
                <w:lang w:val="sq-AL"/>
              </w:rPr>
              <w:t>i</w:t>
            </w:r>
          </w:p>
        </w:tc>
        <w:tc>
          <w:tcPr>
            <w:tcW w:w="1980" w:type="dxa"/>
            <w:shd w:val="clear" w:color="auto" w:fill="auto"/>
            <w:tcMar>
              <w:top w:w="15" w:type="dxa"/>
              <w:left w:w="75" w:type="dxa"/>
              <w:bottom w:w="15" w:type="dxa"/>
              <w:right w:w="75" w:type="dxa"/>
            </w:tcMar>
          </w:tcPr>
          <w:p w14:paraId="23946FA9" w14:textId="77777777" w:rsidR="009C3E23" w:rsidRPr="00641640" w:rsidRDefault="009C3E23" w:rsidP="00D137D4">
            <w:pPr>
              <w:spacing w:line="276" w:lineRule="auto"/>
              <w:rPr>
                <w:rFonts w:ascii="Times New Roman" w:hAnsi="Times New Roman" w:cs="Times New Roman"/>
                <w:noProof/>
                <w:sz w:val="22"/>
                <w:szCs w:val="22"/>
                <w:lang w:val="sq-AL"/>
              </w:rPr>
            </w:pPr>
          </w:p>
          <w:p w14:paraId="6E1B452B" w14:textId="2E854C92" w:rsidR="00927A9E" w:rsidRPr="00641640" w:rsidRDefault="00927A9E" w:rsidP="00D137D4">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1.3.8</w:t>
            </w:r>
            <w:r w:rsidR="00936C6A" w:rsidRPr="00641640">
              <w:rPr>
                <w:rFonts w:ascii="Times New Roman" w:hAnsi="Times New Roman" w:cs="Times New Roman"/>
                <w:noProof/>
                <w:sz w:val="22"/>
                <w:szCs w:val="22"/>
                <w:lang w:val="sq-AL"/>
              </w:rPr>
              <w:t xml:space="preserve"> Numri i akteve të legjislacionit dytësor, me interes të lartë publik, të konsultuara</w:t>
            </w:r>
            <w:r w:rsidR="00044ABD">
              <w:rPr>
                <w:rFonts w:ascii="Times New Roman" w:hAnsi="Times New Roman" w:cs="Times New Roman"/>
                <w:noProof/>
                <w:sz w:val="22"/>
                <w:szCs w:val="22"/>
                <w:lang w:val="sq-AL"/>
              </w:rPr>
              <w:t>.</w:t>
            </w:r>
          </w:p>
        </w:tc>
        <w:tc>
          <w:tcPr>
            <w:tcW w:w="2160" w:type="dxa"/>
            <w:shd w:val="clear" w:color="auto" w:fill="auto"/>
          </w:tcPr>
          <w:p w14:paraId="762C517A" w14:textId="77777777" w:rsidR="009C3E23" w:rsidRPr="00641640" w:rsidRDefault="009C3E23" w:rsidP="00D137D4">
            <w:pPr>
              <w:spacing w:line="276" w:lineRule="auto"/>
              <w:rPr>
                <w:rFonts w:ascii="Times New Roman" w:eastAsia="Arial" w:hAnsi="Times New Roman" w:cs="Times New Roman"/>
                <w:noProof/>
                <w:sz w:val="22"/>
                <w:szCs w:val="22"/>
                <w:lang w:val="sq-AL"/>
              </w:rPr>
            </w:pPr>
          </w:p>
          <w:p w14:paraId="27397710" w14:textId="0463FE23" w:rsidR="00927A9E" w:rsidRPr="00641640" w:rsidRDefault="00936C6A" w:rsidP="00D137D4">
            <w:pPr>
              <w:spacing w:line="276" w:lineRule="auto"/>
              <w:rPr>
                <w:rFonts w:ascii="Times New Roman" w:eastAsia="Arial" w:hAnsi="Times New Roman" w:cs="Times New Roman"/>
                <w:b/>
                <w:bCs/>
                <w:noProof/>
                <w:sz w:val="22"/>
                <w:szCs w:val="22"/>
                <w:lang w:val="sq-AL"/>
              </w:rPr>
            </w:pPr>
            <w:r w:rsidRPr="00641640">
              <w:rPr>
                <w:rFonts w:ascii="Times New Roman" w:eastAsia="Arial" w:hAnsi="Times New Roman" w:cs="Times New Roman"/>
                <w:noProof/>
                <w:sz w:val="22"/>
                <w:szCs w:val="22"/>
                <w:lang w:val="sq-AL"/>
              </w:rPr>
              <w:t>Zhvillimi dhe koordinimi i politikave</w:t>
            </w:r>
            <w:r w:rsidR="00380D42" w:rsidRPr="00641640">
              <w:rPr>
                <w:rFonts w:ascii="Times New Roman" w:eastAsia="Arial" w:hAnsi="Times New Roman" w:cs="Times New Roman"/>
                <w:noProof/>
                <w:sz w:val="22"/>
                <w:szCs w:val="22"/>
                <w:lang w:val="sq-AL"/>
              </w:rPr>
              <w:t xml:space="preserve"> </w:t>
            </w:r>
          </w:p>
        </w:tc>
        <w:tc>
          <w:tcPr>
            <w:tcW w:w="2340" w:type="dxa"/>
            <w:shd w:val="clear" w:color="auto" w:fill="auto"/>
          </w:tcPr>
          <w:p w14:paraId="0B283799" w14:textId="77777777" w:rsidR="009C3E23" w:rsidRPr="00641640" w:rsidRDefault="009C3E23" w:rsidP="00D137D4">
            <w:pPr>
              <w:spacing w:line="276" w:lineRule="auto"/>
              <w:rPr>
                <w:rFonts w:ascii="Times New Roman" w:hAnsi="Times New Roman" w:cs="Times New Roman"/>
                <w:bCs/>
                <w:iCs/>
                <w:noProof/>
                <w:sz w:val="22"/>
                <w:szCs w:val="22"/>
                <w:lang w:val="sq-AL"/>
              </w:rPr>
            </w:pPr>
          </w:p>
          <w:p w14:paraId="26058C66" w14:textId="47E4626B" w:rsidR="00E76276" w:rsidRPr="00641640" w:rsidRDefault="00E76276" w:rsidP="00D137D4">
            <w:pPr>
              <w:spacing w:line="276" w:lineRule="auto"/>
              <w:rPr>
                <w:rFonts w:ascii="Times New Roman" w:hAnsi="Times New Roman" w:cs="Times New Roman"/>
                <w:bCs/>
                <w:iCs/>
                <w:noProof/>
                <w:sz w:val="22"/>
                <w:szCs w:val="22"/>
                <w:lang w:val="sq-AL"/>
              </w:rPr>
            </w:pPr>
            <w:r w:rsidRPr="00641640">
              <w:rPr>
                <w:rFonts w:ascii="Times New Roman" w:hAnsi="Times New Roman" w:cs="Times New Roman"/>
                <w:bCs/>
                <w:iCs/>
                <w:noProof/>
                <w:sz w:val="22"/>
                <w:szCs w:val="22"/>
                <w:lang w:val="sq-AL"/>
              </w:rPr>
              <w:t>1.3 Hartimi i politikave mbështetur në të dhëna dhe vlerësim cilësor të ndikimit rregullator, përgjatë një procesi mirëplanifikimi ligjor dhe konsultimi gjithëpërfshirës publik, që garanton përputhje me acquis-në dhe praktikat e mira ndërkombëtare</w:t>
            </w:r>
            <w:r w:rsidR="00207619">
              <w:rPr>
                <w:rFonts w:ascii="Times New Roman" w:hAnsi="Times New Roman" w:cs="Times New Roman"/>
                <w:bCs/>
                <w:iCs/>
                <w:noProof/>
                <w:sz w:val="22"/>
                <w:szCs w:val="22"/>
                <w:lang w:val="sq-AL"/>
              </w:rPr>
              <w:t>.</w:t>
            </w:r>
          </w:p>
          <w:p w14:paraId="62995EC7" w14:textId="77777777" w:rsidR="00927A9E" w:rsidRPr="00641640" w:rsidRDefault="00927A9E" w:rsidP="00D137D4">
            <w:pPr>
              <w:spacing w:line="276" w:lineRule="auto"/>
              <w:jc w:val="center"/>
              <w:rPr>
                <w:rFonts w:ascii="Times New Roman" w:eastAsia="Arial" w:hAnsi="Times New Roman" w:cs="Times New Roman"/>
                <w:b/>
                <w:bCs/>
                <w:noProof/>
                <w:sz w:val="22"/>
                <w:szCs w:val="22"/>
                <w:lang w:val="sq-AL"/>
              </w:rPr>
            </w:pPr>
          </w:p>
        </w:tc>
        <w:tc>
          <w:tcPr>
            <w:tcW w:w="1890" w:type="dxa"/>
            <w:shd w:val="clear" w:color="auto" w:fill="auto"/>
            <w:tcMar>
              <w:top w:w="15" w:type="dxa"/>
              <w:left w:w="75" w:type="dxa"/>
              <w:bottom w:w="15" w:type="dxa"/>
              <w:right w:w="75" w:type="dxa"/>
            </w:tcMar>
          </w:tcPr>
          <w:p w14:paraId="3DE0D3F0" w14:textId="77777777" w:rsidR="009C3E23" w:rsidRPr="00641640" w:rsidRDefault="009C3E23" w:rsidP="00D137D4">
            <w:pPr>
              <w:spacing w:line="276" w:lineRule="auto"/>
              <w:jc w:val="center"/>
              <w:rPr>
                <w:rFonts w:ascii="Times New Roman" w:eastAsia="Times New Roman" w:hAnsi="Times New Roman" w:cs="Times New Roman"/>
                <w:noProof/>
                <w:sz w:val="22"/>
                <w:szCs w:val="22"/>
                <w:lang w:val="sq-AL"/>
              </w:rPr>
            </w:pPr>
          </w:p>
          <w:p w14:paraId="24D49890" w14:textId="20E9A161" w:rsidR="008A2574" w:rsidRPr="00641640" w:rsidRDefault="008A2574" w:rsidP="00D137D4">
            <w:pPr>
              <w:spacing w:line="276" w:lineRule="auto"/>
              <w:jc w:val="center"/>
              <w:rPr>
                <w:rFonts w:ascii="Times New Roman" w:eastAsia="Arial" w:hAnsi="Times New Roman" w:cs="Times New Roman"/>
                <w:noProof/>
                <w:sz w:val="22"/>
                <w:szCs w:val="22"/>
                <w:lang w:val="sq-AL"/>
              </w:rPr>
            </w:pPr>
            <w:r w:rsidRPr="00641640">
              <w:rPr>
                <w:rFonts w:ascii="Times New Roman" w:eastAsia="Times New Roman" w:hAnsi="Times New Roman" w:cs="Times New Roman"/>
                <w:noProof/>
                <w:sz w:val="22"/>
                <w:szCs w:val="22"/>
                <w:lang w:val="sq-AL"/>
              </w:rPr>
              <w:t>Kryeministria</w:t>
            </w:r>
          </w:p>
          <w:p w14:paraId="30D5DA73" w14:textId="77777777" w:rsidR="00927A9E" w:rsidRPr="00641640" w:rsidRDefault="00927A9E" w:rsidP="00D137D4">
            <w:pPr>
              <w:spacing w:line="276" w:lineRule="auto"/>
              <w:jc w:val="center"/>
              <w:rPr>
                <w:rFonts w:ascii="Times New Roman" w:eastAsia="Arial" w:hAnsi="Times New Roman" w:cs="Times New Roman"/>
                <w:b/>
                <w:bCs/>
                <w:noProof/>
                <w:sz w:val="22"/>
                <w:szCs w:val="22"/>
                <w:lang w:val="sq-AL"/>
              </w:rPr>
            </w:pPr>
          </w:p>
        </w:tc>
      </w:tr>
      <w:tr w:rsidR="00927A9E" w:rsidRPr="00641640" w14:paraId="6C444812" w14:textId="77777777" w:rsidTr="005B4535">
        <w:trPr>
          <w:trHeight w:val="659"/>
        </w:trPr>
        <w:tc>
          <w:tcPr>
            <w:tcW w:w="982" w:type="dxa"/>
            <w:shd w:val="clear" w:color="auto" w:fill="auto"/>
            <w:tcMar>
              <w:top w:w="15" w:type="dxa"/>
              <w:left w:w="75" w:type="dxa"/>
              <w:bottom w:w="15" w:type="dxa"/>
              <w:right w:w="75" w:type="dxa"/>
            </w:tcMar>
          </w:tcPr>
          <w:p w14:paraId="3B303E4A" w14:textId="77777777" w:rsidR="009C3E23" w:rsidRPr="00641640" w:rsidRDefault="009C3E23" w:rsidP="00D137D4">
            <w:pPr>
              <w:spacing w:line="276" w:lineRule="auto"/>
              <w:jc w:val="center"/>
              <w:rPr>
                <w:rFonts w:ascii="Times New Roman" w:hAnsi="Times New Roman" w:cs="Times New Roman"/>
                <w:noProof/>
                <w:sz w:val="22"/>
                <w:szCs w:val="22"/>
                <w:lang w:val="sq-AL"/>
              </w:rPr>
            </w:pPr>
          </w:p>
          <w:p w14:paraId="6621C29A" w14:textId="752F85E3" w:rsidR="00927A9E" w:rsidRPr="00641640" w:rsidRDefault="00936C6A" w:rsidP="00D137D4">
            <w:pPr>
              <w:spacing w:line="276" w:lineRule="auto"/>
              <w:jc w:val="center"/>
              <w:rPr>
                <w:rFonts w:ascii="Times New Roman" w:hAnsi="Times New Roman" w:cs="Times New Roman"/>
                <w:b/>
                <w:bCs/>
                <w:noProof/>
                <w:color w:val="ED7D31" w:themeColor="accent2"/>
                <w:sz w:val="22"/>
                <w:szCs w:val="22"/>
                <w:lang w:val="sq-AL"/>
              </w:rPr>
            </w:pPr>
            <w:r w:rsidRPr="00641640">
              <w:rPr>
                <w:rFonts w:ascii="Times New Roman" w:hAnsi="Times New Roman" w:cs="Times New Roman"/>
                <w:noProof/>
                <w:sz w:val="22"/>
                <w:szCs w:val="22"/>
                <w:lang w:val="sq-AL"/>
              </w:rPr>
              <w:t>Rezultati</w:t>
            </w:r>
          </w:p>
        </w:tc>
        <w:tc>
          <w:tcPr>
            <w:tcW w:w="1980" w:type="dxa"/>
            <w:shd w:val="clear" w:color="auto" w:fill="auto"/>
            <w:tcMar>
              <w:top w:w="15" w:type="dxa"/>
              <w:left w:w="75" w:type="dxa"/>
              <w:bottom w:w="15" w:type="dxa"/>
              <w:right w:w="75" w:type="dxa"/>
            </w:tcMar>
          </w:tcPr>
          <w:p w14:paraId="59CDE11E" w14:textId="77777777" w:rsidR="009C3E23" w:rsidRPr="00641640" w:rsidRDefault="009C3E23" w:rsidP="00D137D4">
            <w:pPr>
              <w:spacing w:line="276" w:lineRule="auto"/>
              <w:rPr>
                <w:rFonts w:ascii="Times New Roman" w:hAnsi="Times New Roman" w:cs="Times New Roman"/>
                <w:noProof/>
                <w:sz w:val="22"/>
                <w:szCs w:val="22"/>
                <w:lang w:val="sq-AL"/>
              </w:rPr>
            </w:pPr>
          </w:p>
          <w:p w14:paraId="38338921" w14:textId="44D27B38" w:rsidR="00927A9E" w:rsidRPr="00641640" w:rsidRDefault="00927A9E" w:rsidP="00D137D4">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1.3.9</w:t>
            </w:r>
            <w:r w:rsidR="00936C6A" w:rsidRPr="00641640">
              <w:rPr>
                <w:rFonts w:ascii="Times New Roman" w:hAnsi="Times New Roman" w:cs="Times New Roman"/>
                <w:noProof/>
                <w:sz w:val="22"/>
                <w:szCs w:val="22"/>
                <w:lang w:val="sq-AL"/>
              </w:rPr>
              <w:t xml:space="preserve"> Rritja e kapaciteteve analitike në institucionet qendrore lidhur me proceset RIA dhe të konsultimit publik.</w:t>
            </w:r>
          </w:p>
        </w:tc>
        <w:tc>
          <w:tcPr>
            <w:tcW w:w="2160" w:type="dxa"/>
            <w:shd w:val="clear" w:color="auto" w:fill="auto"/>
          </w:tcPr>
          <w:p w14:paraId="6767E161" w14:textId="77777777" w:rsidR="009C3E23" w:rsidRPr="00641640" w:rsidRDefault="009C3E23" w:rsidP="00D137D4">
            <w:pPr>
              <w:spacing w:line="276" w:lineRule="auto"/>
              <w:rPr>
                <w:rFonts w:ascii="Times New Roman" w:eastAsia="Arial" w:hAnsi="Times New Roman" w:cs="Times New Roman"/>
                <w:noProof/>
                <w:sz w:val="22"/>
                <w:szCs w:val="22"/>
                <w:lang w:val="sq-AL"/>
              </w:rPr>
            </w:pPr>
          </w:p>
          <w:p w14:paraId="2C208225" w14:textId="2C4F0F29" w:rsidR="00927A9E" w:rsidRPr="00641640" w:rsidRDefault="00936C6A" w:rsidP="00D137D4">
            <w:pPr>
              <w:spacing w:line="276" w:lineRule="auto"/>
              <w:rPr>
                <w:rFonts w:ascii="Times New Roman" w:eastAsia="Arial" w:hAnsi="Times New Roman" w:cs="Times New Roman"/>
                <w:b/>
                <w:bCs/>
                <w:noProof/>
                <w:sz w:val="22"/>
                <w:szCs w:val="22"/>
                <w:lang w:val="sq-AL"/>
              </w:rPr>
            </w:pPr>
            <w:r w:rsidRPr="00641640">
              <w:rPr>
                <w:rFonts w:ascii="Times New Roman" w:eastAsia="Arial" w:hAnsi="Times New Roman" w:cs="Times New Roman"/>
                <w:noProof/>
                <w:sz w:val="22"/>
                <w:szCs w:val="22"/>
                <w:lang w:val="sq-AL"/>
              </w:rPr>
              <w:t>Zhvillimi dhe koordinimi i politikave</w:t>
            </w:r>
          </w:p>
        </w:tc>
        <w:tc>
          <w:tcPr>
            <w:tcW w:w="2340" w:type="dxa"/>
            <w:shd w:val="clear" w:color="auto" w:fill="auto"/>
          </w:tcPr>
          <w:p w14:paraId="461968A9" w14:textId="77777777" w:rsidR="009C3E23" w:rsidRPr="00641640" w:rsidRDefault="009C3E23" w:rsidP="00D137D4">
            <w:pPr>
              <w:spacing w:line="276" w:lineRule="auto"/>
              <w:rPr>
                <w:rFonts w:ascii="Times New Roman" w:hAnsi="Times New Roman" w:cs="Times New Roman"/>
                <w:bCs/>
                <w:iCs/>
                <w:noProof/>
                <w:sz w:val="22"/>
                <w:szCs w:val="22"/>
                <w:lang w:val="sq-AL"/>
              </w:rPr>
            </w:pPr>
          </w:p>
          <w:p w14:paraId="0478B36A" w14:textId="1FA08DA5" w:rsidR="00E76276" w:rsidRPr="00641640" w:rsidRDefault="00E76276" w:rsidP="00D137D4">
            <w:pPr>
              <w:spacing w:line="276" w:lineRule="auto"/>
              <w:rPr>
                <w:rFonts w:ascii="Times New Roman" w:hAnsi="Times New Roman" w:cs="Times New Roman"/>
                <w:bCs/>
                <w:iCs/>
                <w:noProof/>
                <w:sz w:val="22"/>
                <w:szCs w:val="22"/>
                <w:lang w:val="sq-AL"/>
              </w:rPr>
            </w:pPr>
            <w:r w:rsidRPr="00641640">
              <w:rPr>
                <w:rFonts w:ascii="Times New Roman" w:hAnsi="Times New Roman" w:cs="Times New Roman"/>
                <w:bCs/>
                <w:iCs/>
                <w:noProof/>
                <w:sz w:val="22"/>
                <w:szCs w:val="22"/>
                <w:lang w:val="sq-AL"/>
              </w:rPr>
              <w:t>1.3 Hartimi i politikave mbështetur në të dhëna dhe vlerësim cilësor të ndikimit rregullator, përgjatë një procesi mirëplanifikimi ligjor dhe konsultimi gjithëpërfshirës publik, që garanton përputhje me acquis-në dhe praktikat e mira ndërkombëtare</w:t>
            </w:r>
            <w:r w:rsidR="00207619">
              <w:rPr>
                <w:rFonts w:ascii="Times New Roman" w:hAnsi="Times New Roman" w:cs="Times New Roman"/>
                <w:bCs/>
                <w:iCs/>
                <w:noProof/>
                <w:sz w:val="22"/>
                <w:szCs w:val="22"/>
                <w:lang w:val="sq-AL"/>
              </w:rPr>
              <w:t>.</w:t>
            </w:r>
          </w:p>
          <w:p w14:paraId="762D8008" w14:textId="77777777" w:rsidR="00927A9E" w:rsidRPr="00641640" w:rsidRDefault="00927A9E" w:rsidP="00D137D4">
            <w:pPr>
              <w:spacing w:line="276" w:lineRule="auto"/>
              <w:jc w:val="center"/>
              <w:rPr>
                <w:rFonts w:ascii="Times New Roman" w:eastAsia="Arial" w:hAnsi="Times New Roman" w:cs="Times New Roman"/>
                <w:b/>
                <w:bCs/>
                <w:noProof/>
                <w:sz w:val="22"/>
                <w:szCs w:val="22"/>
                <w:lang w:val="sq-AL"/>
              </w:rPr>
            </w:pPr>
          </w:p>
        </w:tc>
        <w:tc>
          <w:tcPr>
            <w:tcW w:w="1890" w:type="dxa"/>
            <w:shd w:val="clear" w:color="auto" w:fill="auto"/>
            <w:tcMar>
              <w:top w:w="15" w:type="dxa"/>
              <w:left w:w="75" w:type="dxa"/>
              <w:bottom w:w="15" w:type="dxa"/>
              <w:right w:w="75" w:type="dxa"/>
            </w:tcMar>
          </w:tcPr>
          <w:p w14:paraId="070388F9" w14:textId="77777777" w:rsidR="009C3E23" w:rsidRPr="00641640" w:rsidRDefault="009C3E23" w:rsidP="00D137D4">
            <w:pPr>
              <w:spacing w:line="276" w:lineRule="auto"/>
              <w:jc w:val="center"/>
              <w:rPr>
                <w:rFonts w:ascii="Times New Roman" w:eastAsia="Times New Roman" w:hAnsi="Times New Roman" w:cs="Times New Roman"/>
                <w:noProof/>
                <w:sz w:val="22"/>
                <w:szCs w:val="22"/>
                <w:lang w:val="sq-AL"/>
              </w:rPr>
            </w:pPr>
          </w:p>
          <w:p w14:paraId="55157100" w14:textId="57D0F994" w:rsidR="008A2574" w:rsidRPr="00641640" w:rsidRDefault="008A2574" w:rsidP="00D137D4">
            <w:pPr>
              <w:spacing w:line="276" w:lineRule="auto"/>
              <w:jc w:val="center"/>
              <w:rPr>
                <w:rFonts w:ascii="Times New Roman" w:eastAsia="Arial" w:hAnsi="Times New Roman" w:cs="Times New Roman"/>
                <w:noProof/>
                <w:sz w:val="22"/>
                <w:szCs w:val="22"/>
                <w:lang w:val="sq-AL"/>
              </w:rPr>
            </w:pPr>
            <w:r w:rsidRPr="00641640">
              <w:rPr>
                <w:rFonts w:ascii="Times New Roman" w:eastAsia="Times New Roman" w:hAnsi="Times New Roman" w:cs="Times New Roman"/>
                <w:noProof/>
                <w:sz w:val="22"/>
                <w:szCs w:val="22"/>
                <w:lang w:val="sq-AL"/>
              </w:rPr>
              <w:t>Kryeministria</w:t>
            </w:r>
            <w:r w:rsidR="00936C6A" w:rsidRPr="00641640">
              <w:rPr>
                <w:rFonts w:ascii="Times New Roman" w:eastAsia="Times New Roman" w:hAnsi="Times New Roman" w:cs="Times New Roman"/>
                <w:noProof/>
                <w:sz w:val="22"/>
                <w:szCs w:val="22"/>
                <w:lang w:val="sq-AL"/>
              </w:rPr>
              <w:t>, ASPA</w:t>
            </w:r>
          </w:p>
          <w:p w14:paraId="4A95B4C2" w14:textId="77777777" w:rsidR="00927A9E" w:rsidRPr="00641640" w:rsidRDefault="00927A9E" w:rsidP="00D137D4">
            <w:pPr>
              <w:spacing w:line="276" w:lineRule="auto"/>
              <w:jc w:val="center"/>
              <w:rPr>
                <w:rFonts w:ascii="Times New Roman" w:eastAsia="Arial" w:hAnsi="Times New Roman" w:cs="Times New Roman"/>
                <w:b/>
                <w:bCs/>
                <w:noProof/>
                <w:sz w:val="22"/>
                <w:szCs w:val="22"/>
                <w:lang w:val="sq-AL"/>
              </w:rPr>
            </w:pPr>
          </w:p>
        </w:tc>
      </w:tr>
    </w:tbl>
    <w:p w14:paraId="322728C2" w14:textId="033BF83C" w:rsidR="00224442" w:rsidRPr="00641640" w:rsidRDefault="00224442" w:rsidP="00D137D4">
      <w:pPr>
        <w:spacing w:after="0" w:line="276" w:lineRule="auto"/>
        <w:jc w:val="both"/>
        <w:rPr>
          <w:rFonts w:ascii="Times New Roman" w:hAnsi="Times New Roman" w:cs="Times New Roman"/>
          <w:noProof/>
          <w:color w:val="4472C4" w:themeColor="accent1"/>
          <w:lang w:val="sq-AL"/>
        </w:rPr>
      </w:pPr>
    </w:p>
    <w:p w14:paraId="70CBC687" w14:textId="5B5DD6F7" w:rsidR="000664F2" w:rsidRPr="00641640" w:rsidRDefault="00804AEE" w:rsidP="00D137D4">
      <w:pPr>
        <w:pStyle w:val="Heading3"/>
        <w:spacing w:line="276" w:lineRule="auto"/>
        <w:jc w:val="both"/>
        <w:rPr>
          <w:rFonts w:ascii="Times New Roman" w:hAnsi="Times New Roman" w:cs="Times New Roman"/>
          <w:b/>
          <w:bCs/>
          <w:noProof/>
          <w:lang w:val="sq-AL"/>
        </w:rPr>
      </w:pPr>
      <w:r w:rsidRPr="00641640">
        <w:rPr>
          <w:rFonts w:ascii="Times New Roman" w:hAnsi="Times New Roman" w:cs="Times New Roman"/>
          <w:b/>
          <w:bCs/>
          <w:noProof/>
          <w:sz w:val="22"/>
          <w:szCs w:val="22"/>
          <w:lang w:val="sq-AL"/>
        </w:rPr>
        <w:t xml:space="preserve"> </w:t>
      </w:r>
    </w:p>
    <w:p w14:paraId="1925108D" w14:textId="77777777" w:rsidR="001161DE" w:rsidRPr="00641640" w:rsidRDefault="001161DE" w:rsidP="003A395D">
      <w:pPr>
        <w:keepNext/>
        <w:keepLines/>
        <w:spacing w:before="40" w:after="0" w:line="276" w:lineRule="auto"/>
        <w:jc w:val="both"/>
        <w:outlineLvl w:val="2"/>
        <w:rPr>
          <w:rFonts w:ascii="Times New Roman" w:eastAsiaTheme="majorEastAsia" w:hAnsi="Times New Roman" w:cs="Times New Roman"/>
          <w:b/>
          <w:bCs/>
          <w:noProof/>
          <w:color w:val="1F3763" w:themeColor="accent1" w:themeShade="7F"/>
          <w:sz w:val="24"/>
          <w:szCs w:val="24"/>
          <w:lang w:val="sq-AL"/>
        </w:rPr>
      </w:pPr>
    </w:p>
    <w:p w14:paraId="75A8EBA6" w14:textId="77777777" w:rsidR="002807AE" w:rsidRPr="00641640" w:rsidRDefault="002807AE" w:rsidP="003A395D">
      <w:pPr>
        <w:keepNext/>
        <w:keepLines/>
        <w:spacing w:before="40" w:after="0" w:line="276" w:lineRule="auto"/>
        <w:jc w:val="both"/>
        <w:outlineLvl w:val="2"/>
        <w:rPr>
          <w:rFonts w:ascii="Times New Roman" w:eastAsiaTheme="majorEastAsia" w:hAnsi="Times New Roman" w:cs="Times New Roman"/>
          <w:b/>
          <w:bCs/>
          <w:noProof/>
          <w:color w:val="1F3763" w:themeColor="accent1" w:themeShade="7F"/>
          <w:sz w:val="24"/>
          <w:szCs w:val="24"/>
          <w:lang w:val="sq-AL"/>
        </w:rPr>
      </w:pPr>
    </w:p>
    <w:p w14:paraId="1F863ADF" w14:textId="03E5CF4A" w:rsidR="00A305EE" w:rsidRPr="00641640" w:rsidRDefault="00A305EE" w:rsidP="003A395D">
      <w:pPr>
        <w:keepNext/>
        <w:keepLines/>
        <w:spacing w:before="40" w:after="0" w:line="276" w:lineRule="auto"/>
        <w:jc w:val="both"/>
        <w:outlineLvl w:val="2"/>
        <w:rPr>
          <w:rFonts w:ascii="Times New Roman" w:eastAsiaTheme="majorEastAsia" w:hAnsi="Times New Roman" w:cs="Times New Roman"/>
          <w:b/>
          <w:bCs/>
          <w:noProof/>
          <w:color w:val="385623" w:themeColor="accent6" w:themeShade="80"/>
          <w:sz w:val="24"/>
          <w:szCs w:val="24"/>
          <w:lang w:val="sq-AL"/>
        </w:rPr>
      </w:pPr>
      <w:bookmarkStart w:id="33" w:name="_Toc189510626"/>
    </w:p>
    <w:p w14:paraId="4A679C59" w14:textId="4991FE48" w:rsidR="00A305EE" w:rsidRPr="00641640" w:rsidRDefault="00A305EE" w:rsidP="003A395D">
      <w:pPr>
        <w:spacing w:line="276" w:lineRule="auto"/>
        <w:rPr>
          <w:rFonts w:ascii="Times New Roman" w:eastAsiaTheme="majorEastAsia" w:hAnsi="Times New Roman" w:cs="Times New Roman"/>
          <w:b/>
          <w:bCs/>
          <w:noProof/>
          <w:color w:val="385623" w:themeColor="accent6" w:themeShade="80"/>
          <w:sz w:val="24"/>
          <w:szCs w:val="24"/>
          <w:lang w:val="sq-AL"/>
        </w:rPr>
      </w:pPr>
    </w:p>
    <w:p w14:paraId="740C25D4" w14:textId="77777777" w:rsidR="00A305EE" w:rsidRPr="00641640" w:rsidRDefault="00A305EE" w:rsidP="003A395D">
      <w:pPr>
        <w:spacing w:line="276" w:lineRule="auto"/>
        <w:rPr>
          <w:rFonts w:ascii="Times New Roman" w:eastAsiaTheme="majorEastAsia" w:hAnsi="Times New Roman" w:cs="Times New Roman"/>
          <w:b/>
          <w:bCs/>
          <w:noProof/>
          <w:color w:val="385623" w:themeColor="accent6" w:themeShade="80"/>
          <w:sz w:val="24"/>
          <w:szCs w:val="24"/>
          <w:lang w:val="sq-AL"/>
        </w:rPr>
      </w:pPr>
      <w:r w:rsidRPr="00641640">
        <w:rPr>
          <w:rFonts w:ascii="Times New Roman" w:eastAsiaTheme="majorEastAsia" w:hAnsi="Times New Roman" w:cs="Times New Roman"/>
          <w:b/>
          <w:bCs/>
          <w:noProof/>
          <w:color w:val="385623" w:themeColor="accent6" w:themeShade="80"/>
          <w:sz w:val="24"/>
          <w:szCs w:val="24"/>
          <w:lang w:val="sq-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934"/>
      </w:tblGrid>
      <w:tr w:rsidR="00E63B71" w:rsidRPr="00641640" w14:paraId="1E9D9404" w14:textId="77777777" w:rsidTr="00D5296D">
        <w:tc>
          <w:tcPr>
            <w:tcW w:w="265" w:type="dxa"/>
          </w:tcPr>
          <w:p w14:paraId="5A17F95C" w14:textId="08008CF6" w:rsidR="00E63B71" w:rsidRPr="00641640" w:rsidRDefault="00E63B71" w:rsidP="003A395D">
            <w:pPr>
              <w:keepNext/>
              <w:keepLines/>
              <w:spacing w:before="40" w:line="276" w:lineRule="auto"/>
              <w:jc w:val="both"/>
              <w:outlineLvl w:val="2"/>
              <w:rPr>
                <w:rFonts w:ascii="Times New Roman" w:eastAsiaTheme="majorEastAsia" w:hAnsi="Times New Roman" w:cs="Times New Roman"/>
                <w:b/>
                <w:bCs/>
                <w:noProof/>
                <w:sz w:val="28"/>
                <w:szCs w:val="28"/>
                <w:lang w:val="sq-AL"/>
              </w:rPr>
            </w:pPr>
            <w:r w:rsidRPr="00641640">
              <w:rPr>
                <w:rFonts w:ascii="Times New Roman" w:eastAsiaTheme="majorEastAsia" w:hAnsi="Times New Roman" w:cs="Times New Roman"/>
                <w:b/>
                <w:bCs/>
                <w:noProof/>
                <w:sz w:val="28"/>
                <w:szCs w:val="28"/>
                <w:lang w:val="sq-AL"/>
              </w:rPr>
              <w:lastRenderedPageBreak/>
              <w:t>2.</w:t>
            </w:r>
          </w:p>
        </w:tc>
        <w:tc>
          <w:tcPr>
            <w:tcW w:w="9085" w:type="dxa"/>
          </w:tcPr>
          <w:p w14:paraId="64C61842" w14:textId="54E6B886" w:rsidR="00E63B71" w:rsidRPr="00641640" w:rsidRDefault="00E63B71" w:rsidP="003A395D">
            <w:pPr>
              <w:keepNext/>
              <w:keepLines/>
              <w:spacing w:before="40" w:line="276" w:lineRule="auto"/>
              <w:jc w:val="both"/>
              <w:outlineLvl w:val="2"/>
              <w:rPr>
                <w:rFonts w:ascii="Times New Roman" w:eastAsiaTheme="majorEastAsia" w:hAnsi="Times New Roman" w:cs="Times New Roman"/>
                <w:b/>
                <w:bCs/>
                <w:noProof/>
                <w:sz w:val="28"/>
                <w:szCs w:val="28"/>
                <w:lang w:val="sq-AL"/>
              </w:rPr>
            </w:pPr>
            <w:r w:rsidRPr="00641640">
              <w:rPr>
                <w:rFonts w:ascii="Times New Roman" w:eastAsiaTheme="majorEastAsia" w:hAnsi="Times New Roman" w:cs="Times New Roman"/>
                <w:b/>
                <w:bCs/>
                <w:noProof/>
                <w:sz w:val="28"/>
                <w:szCs w:val="28"/>
                <w:lang w:val="sq-AL"/>
              </w:rPr>
              <w:t xml:space="preserve">QËLLIMI I POLITIKËS </w:t>
            </w:r>
            <w:r w:rsidR="00D5296D" w:rsidRPr="00641640">
              <w:rPr>
                <w:rFonts w:ascii="Times New Roman" w:eastAsiaTheme="majorEastAsia" w:hAnsi="Times New Roman" w:cs="Times New Roman"/>
                <w:b/>
                <w:bCs/>
                <w:noProof/>
                <w:sz w:val="28"/>
                <w:szCs w:val="28"/>
                <w:lang w:val="sq-AL"/>
              </w:rPr>
              <w:t>II</w:t>
            </w:r>
            <w:r w:rsidRPr="00641640">
              <w:rPr>
                <w:rFonts w:ascii="Times New Roman" w:eastAsiaTheme="majorEastAsia" w:hAnsi="Times New Roman" w:cs="Times New Roman"/>
                <w:b/>
                <w:bCs/>
                <w:noProof/>
                <w:sz w:val="28"/>
                <w:szCs w:val="28"/>
                <w:lang w:val="sq-AL"/>
              </w:rPr>
              <w:t>: SHËRBIMI CIVIL DHE MENAXHIMI I BURIMEVE NJERËZORE</w:t>
            </w:r>
          </w:p>
        </w:tc>
      </w:tr>
    </w:tbl>
    <w:p w14:paraId="4EAB0595" w14:textId="77777777" w:rsidR="00A305EE" w:rsidRPr="00641640" w:rsidRDefault="00A305EE" w:rsidP="003A395D">
      <w:pPr>
        <w:keepNext/>
        <w:keepLines/>
        <w:spacing w:before="40" w:after="0" w:line="276" w:lineRule="auto"/>
        <w:jc w:val="both"/>
        <w:outlineLvl w:val="2"/>
        <w:rPr>
          <w:rFonts w:ascii="Times New Roman" w:eastAsiaTheme="majorEastAsia" w:hAnsi="Times New Roman" w:cs="Times New Roman"/>
          <w:b/>
          <w:bCs/>
          <w:noProof/>
          <w:color w:val="385623" w:themeColor="accent6" w:themeShade="80"/>
          <w:sz w:val="24"/>
          <w:szCs w:val="24"/>
          <w:lang w:val="sq-AL"/>
        </w:rPr>
      </w:pPr>
    </w:p>
    <w:bookmarkEnd w:id="33"/>
    <w:p w14:paraId="4282B53D" w14:textId="16C7A884" w:rsidR="001161DE" w:rsidRPr="00641640" w:rsidRDefault="001161D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Përmes Qëllimit të Politikës 2</w:t>
      </w:r>
      <w:r w:rsidR="00E63B71"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synohet konsolidimi i një administrate profesionale, të përzgjedhur me meritë, të painfluencuar nga aktorë dhe faktorë të jashtëm, që punon me efikasitet, motivim dhe llogaridhënie të lartë.</w:t>
      </w:r>
    </w:p>
    <w:p w14:paraId="2B6FB616" w14:textId="77777777" w:rsidR="001161DE" w:rsidRPr="00641640" w:rsidRDefault="001161D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Shërbimi civil dhe menaxhimi i burimeve njerëzore janë një fushë e veçantë ku Qeveria Shqiptare ka treguar angazhim të vazhdueshëm dhe vëmendje të shtuar. Në vijim të arritjeve të evidentuara nga partnerët ndërkombëtare dhe të reflektuara përmbledhtaz në pjesën e parë të këtij dokumenti, Qëllimi i Politikës 2 do të adresojë sfidat e identifikuara në këtë fushë, me qëllim përmirësimin e vazhdueshëm të administratës publike dhe performancës së saj përgjatë procesit të integrimit evropian.</w:t>
      </w:r>
    </w:p>
    <w:p w14:paraId="77A9240F" w14:textId="77777777" w:rsidR="001161DE" w:rsidRPr="00641640" w:rsidRDefault="001161D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Kjo shtyllë detajon një sërë masash lidhur me komponentët e pranimit në shërbimin civil, në zbatim të plotë të parimit të meritës, motivimit dhe trajnimit të punonjësve, si dhe menaxhimin e përmirësuar dhe efikas të burimeve njerëzore, mes të tjerash edhe përmes përdorimit të sistemeve lehtësuese elektronike.</w:t>
      </w:r>
    </w:p>
    <w:p w14:paraId="265E3788" w14:textId="16942963" w:rsidR="00A86140" w:rsidRPr="00641640" w:rsidRDefault="001161DE" w:rsidP="003A395D">
      <w:pPr>
        <w:spacing w:line="276" w:lineRule="auto"/>
        <w:jc w:val="both"/>
        <w:rPr>
          <w:rFonts w:ascii="Times New Roman" w:hAnsi="Times New Roman" w:cs="Times New Roman"/>
          <w:bCs/>
          <w:noProof/>
          <w:sz w:val="24"/>
          <w:szCs w:val="24"/>
          <w:lang w:val="sq-AL"/>
        </w:rPr>
      </w:pPr>
      <w:r w:rsidRPr="00641640">
        <w:rPr>
          <w:rFonts w:ascii="Times New Roman" w:hAnsi="Times New Roman" w:cs="Times New Roman"/>
          <w:bCs/>
          <w:noProof/>
          <w:sz w:val="24"/>
          <w:szCs w:val="24"/>
          <w:lang w:val="sq-AL"/>
        </w:rPr>
        <w:t xml:space="preserve">Ky Qëllim i Politikës do të arrihet përmes Objektivave të mëposhtëm Specifikë dhe masave të renditura për secilin </w:t>
      </w:r>
      <w:r w:rsidR="006E4DFD" w:rsidRPr="00641640">
        <w:rPr>
          <w:rFonts w:ascii="Times New Roman" w:hAnsi="Times New Roman" w:cs="Times New Roman"/>
          <w:bCs/>
          <w:noProof/>
          <w:sz w:val="24"/>
          <w:szCs w:val="24"/>
          <w:lang w:val="sq-AL"/>
        </w:rPr>
        <w:t>o</w:t>
      </w:r>
      <w:r w:rsidRPr="00641640">
        <w:rPr>
          <w:rFonts w:ascii="Times New Roman" w:hAnsi="Times New Roman" w:cs="Times New Roman"/>
          <w:bCs/>
          <w:noProof/>
          <w:sz w:val="24"/>
          <w:szCs w:val="24"/>
          <w:lang w:val="sq-AL"/>
        </w:rPr>
        <w:t xml:space="preserve">bjektiv.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165"/>
        <w:gridCol w:w="276"/>
        <w:gridCol w:w="534"/>
        <w:gridCol w:w="7375"/>
      </w:tblGrid>
      <w:tr w:rsidR="00A86140" w:rsidRPr="00641640" w14:paraId="380488CC" w14:textId="77777777" w:rsidTr="005001B7">
        <w:tc>
          <w:tcPr>
            <w:tcW w:w="9350" w:type="dxa"/>
            <w:gridSpan w:val="4"/>
            <w:shd w:val="clear" w:color="auto" w:fill="E2EFD9" w:themeFill="accent6" w:themeFillTint="33"/>
          </w:tcPr>
          <w:p w14:paraId="238ABB05" w14:textId="616B39AA" w:rsidR="00A86140" w:rsidRPr="00641640" w:rsidRDefault="00A86140" w:rsidP="00761805">
            <w:pPr>
              <w:pStyle w:val="T-normal"/>
              <w:shd w:val="clear" w:color="auto" w:fill="E2EFD9" w:themeFill="accent6" w:themeFillTint="33"/>
              <w:spacing w:before="240" w:line="276" w:lineRule="auto"/>
              <w:jc w:val="center"/>
              <w:rPr>
                <w:rFonts w:ascii="Times New Roman" w:hAnsi="Times New Roman" w:cs="Times New Roman"/>
                <w:b/>
                <w:bCs/>
                <w:noProof/>
                <w:color w:val="003300"/>
                <w:sz w:val="18"/>
                <w:szCs w:val="18"/>
                <w:lang w:val="sq-AL"/>
              </w:rPr>
            </w:pPr>
            <w:r w:rsidRPr="00641640">
              <w:rPr>
                <w:rFonts w:ascii="Times New Roman" w:hAnsi="Times New Roman" w:cs="Times New Roman"/>
                <w:b/>
                <w:bCs/>
                <w:noProof/>
                <w:color w:val="003300"/>
                <w:sz w:val="18"/>
                <w:szCs w:val="18"/>
                <w:lang w:val="sq-AL"/>
              </w:rPr>
              <w:t xml:space="preserve">PËRMBLEDHJE E QËLLIMIT TË POLITIKËS </w:t>
            </w:r>
            <w:r w:rsidR="00421888" w:rsidRPr="00641640">
              <w:rPr>
                <w:rFonts w:ascii="Times New Roman" w:hAnsi="Times New Roman" w:cs="Times New Roman"/>
                <w:b/>
                <w:bCs/>
                <w:noProof/>
                <w:color w:val="003300"/>
                <w:sz w:val="18"/>
                <w:szCs w:val="18"/>
                <w:lang w:val="sq-AL"/>
              </w:rPr>
              <w:t>II</w:t>
            </w:r>
            <w:r w:rsidRPr="00641640">
              <w:rPr>
                <w:rFonts w:ascii="Times New Roman" w:hAnsi="Times New Roman" w:cs="Times New Roman"/>
                <w:b/>
                <w:bCs/>
                <w:noProof/>
                <w:color w:val="003300"/>
                <w:sz w:val="18"/>
                <w:szCs w:val="18"/>
                <w:lang w:val="sq-AL"/>
              </w:rPr>
              <w:t xml:space="preserve"> – </w:t>
            </w:r>
            <w:r w:rsidR="00E7622C" w:rsidRPr="00641640">
              <w:rPr>
                <w:rFonts w:ascii="Times New Roman" w:hAnsi="Times New Roman" w:cs="Times New Roman"/>
                <w:b/>
                <w:bCs/>
                <w:noProof/>
                <w:color w:val="003300"/>
                <w:sz w:val="18"/>
                <w:szCs w:val="18"/>
                <w:lang w:val="sq-AL"/>
              </w:rPr>
              <w:t>SHËRBIMI CIVIL DHE MENAXHIMI I BURIMEVE NJERËZORE</w:t>
            </w:r>
          </w:p>
          <w:p w14:paraId="79150F9A" w14:textId="5D4DC47C" w:rsidR="00761805" w:rsidRPr="00641640" w:rsidRDefault="00761805" w:rsidP="00761805">
            <w:pPr>
              <w:pStyle w:val="T-normal"/>
              <w:shd w:val="clear" w:color="auto" w:fill="E2EFD9" w:themeFill="accent6" w:themeFillTint="33"/>
              <w:spacing w:line="276" w:lineRule="auto"/>
              <w:jc w:val="center"/>
              <w:rPr>
                <w:rFonts w:ascii="Times New Roman" w:hAnsi="Times New Roman" w:cs="Times New Roman"/>
                <w:b/>
                <w:bCs/>
                <w:noProof/>
                <w:color w:val="385623" w:themeColor="accent6" w:themeShade="80"/>
                <w:sz w:val="12"/>
                <w:szCs w:val="12"/>
                <w:lang w:val="sq-AL"/>
              </w:rPr>
            </w:pPr>
          </w:p>
        </w:tc>
      </w:tr>
      <w:tr w:rsidR="00A86140" w:rsidRPr="00641640" w14:paraId="3693B12D" w14:textId="77777777" w:rsidTr="005001B7">
        <w:tc>
          <w:tcPr>
            <w:tcW w:w="9350" w:type="dxa"/>
            <w:gridSpan w:val="4"/>
            <w:shd w:val="clear" w:color="auto" w:fill="E2EFD9" w:themeFill="accent6" w:themeFillTint="33"/>
          </w:tcPr>
          <w:p w14:paraId="6AC3374B" w14:textId="0CAE2685" w:rsidR="00A86140" w:rsidRPr="00641640" w:rsidRDefault="0041470A" w:rsidP="002C31DE">
            <w:pPr>
              <w:pStyle w:val="T-normal"/>
              <w:spacing w:line="276" w:lineRule="auto"/>
              <w:jc w:val="both"/>
              <w:rPr>
                <w:rFonts w:ascii="Times New Roman" w:hAnsi="Times New Roman" w:cs="Times New Roman"/>
                <w:b/>
                <w:bCs/>
                <w:i/>
                <w:noProof/>
                <w:color w:val="C45911" w:themeColor="accent2" w:themeShade="BF"/>
                <w:sz w:val="18"/>
                <w:szCs w:val="18"/>
                <w:lang w:val="sq-AL"/>
              </w:rPr>
            </w:pPr>
            <w:r w:rsidRPr="00641640">
              <w:rPr>
                <w:rFonts w:ascii="Times New Roman" w:hAnsi="Times New Roman" w:cs="Times New Roman"/>
                <w:b/>
                <w:bCs/>
                <w:i/>
                <w:noProof/>
                <w:color w:val="C45911" w:themeColor="accent2" w:themeShade="BF"/>
                <w:sz w:val="18"/>
                <w:szCs w:val="18"/>
                <w:lang w:val="sq-AL"/>
              </w:rPr>
              <w:t>Komponenti 2.1</w:t>
            </w:r>
            <w:r w:rsidR="009E2B32" w:rsidRPr="00641640">
              <w:rPr>
                <w:rFonts w:ascii="Times New Roman" w:hAnsi="Times New Roman" w:cs="Times New Roman"/>
                <w:b/>
                <w:bCs/>
                <w:i/>
                <w:noProof/>
                <w:color w:val="C45911" w:themeColor="accent2" w:themeShade="BF"/>
                <w:sz w:val="18"/>
                <w:szCs w:val="18"/>
                <w:lang w:val="sq-AL"/>
              </w:rPr>
              <w:t xml:space="preserve">: </w:t>
            </w:r>
            <w:r w:rsidRPr="00641640">
              <w:rPr>
                <w:rFonts w:ascii="Times New Roman" w:hAnsi="Times New Roman" w:cs="Times New Roman"/>
                <w:b/>
                <w:bCs/>
                <w:i/>
                <w:noProof/>
                <w:color w:val="C45911" w:themeColor="accent2" w:themeShade="BF"/>
                <w:sz w:val="18"/>
                <w:szCs w:val="18"/>
                <w:lang w:val="sq-AL"/>
              </w:rPr>
              <w:t>Pranimi meritokratik, konkurrues dhe transparent në shërbimin civil</w:t>
            </w:r>
          </w:p>
          <w:p w14:paraId="2100CBB5" w14:textId="22CD22B6" w:rsidR="00E07059" w:rsidRPr="00641640" w:rsidRDefault="00E07059" w:rsidP="002C31DE">
            <w:pPr>
              <w:pStyle w:val="T-normal"/>
              <w:spacing w:line="276" w:lineRule="auto"/>
              <w:jc w:val="both"/>
              <w:rPr>
                <w:rFonts w:ascii="Times New Roman" w:hAnsi="Times New Roman" w:cs="Times New Roman"/>
                <w:noProof/>
                <w:color w:val="C45911" w:themeColor="accent2" w:themeShade="BF"/>
                <w:sz w:val="10"/>
                <w:szCs w:val="10"/>
                <w:lang w:val="sq-AL"/>
              </w:rPr>
            </w:pPr>
          </w:p>
        </w:tc>
      </w:tr>
      <w:tr w:rsidR="00A86140" w:rsidRPr="00641640" w14:paraId="2CFFE143" w14:textId="77777777" w:rsidTr="005001B7">
        <w:tc>
          <w:tcPr>
            <w:tcW w:w="1975" w:type="dxa"/>
            <w:gridSpan w:val="3"/>
            <w:shd w:val="clear" w:color="auto" w:fill="E2EFD9" w:themeFill="accent6" w:themeFillTint="33"/>
          </w:tcPr>
          <w:p w14:paraId="5B00DDB1" w14:textId="08A50526" w:rsidR="00A86140" w:rsidRPr="00641640" w:rsidRDefault="00A86140" w:rsidP="002C31DE">
            <w:pPr>
              <w:pStyle w:val="T-normal"/>
              <w:spacing w:line="276" w:lineRule="auto"/>
              <w:jc w:val="both"/>
              <w:rPr>
                <w:rFonts w:ascii="Times New Roman" w:hAnsi="Times New Roman" w:cs="Times New Roman"/>
                <w:noProof/>
                <w:color w:val="003300"/>
                <w:sz w:val="18"/>
                <w:szCs w:val="18"/>
                <w:lang w:val="sq-AL"/>
              </w:rPr>
            </w:pPr>
            <w:r w:rsidRPr="00641640">
              <w:rPr>
                <w:rFonts w:ascii="Times New Roman" w:hAnsi="Times New Roman" w:cs="Times New Roman"/>
                <w:b/>
                <w:bCs/>
                <w:noProof/>
                <w:color w:val="003300"/>
                <w:sz w:val="18"/>
                <w:szCs w:val="18"/>
                <w:lang w:val="sq-AL"/>
              </w:rPr>
              <w:t xml:space="preserve">Objektivi Specifik </w:t>
            </w:r>
            <w:r w:rsidR="00E7622C" w:rsidRPr="00641640">
              <w:rPr>
                <w:rFonts w:ascii="Times New Roman" w:hAnsi="Times New Roman" w:cs="Times New Roman"/>
                <w:b/>
                <w:bCs/>
                <w:noProof/>
                <w:color w:val="003300"/>
                <w:sz w:val="18"/>
                <w:szCs w:val="18"/>
                <w:lang w:val="sq-AL"/>
              </w:rPr>
              <w:t>2</w:t>
            </w:r>
            <w:r w:rsidRPr="00641640">
              <w:rPr>
                <w:rFonts w:ascii="Times New Roman" w:hAnsi="Times New Roman" w:cs="Times New Roman"/>
                <w:b/>
                <w:bCs/>
                <w:noProof/>
                <w:color w:val="003300"/>
                <w:sz w:val="18"/>
                <w:szCs w:val="18"/>
                <w:lang w:val="sq-AL"/>
              </w:rPr>
              <w:t>.1:</w:t>
            </w:r>
          </w:p>
        </w:tc>
        <w:tc>
          <w:tcPr>
            <w:tcW w:w="7375" w:type="dxa"/>
            <w:shd w:val="clear" w:color="auto" w:fill="E2EFD9" w:themeFill="accent6" w:themeFillTint="33"/>
          </w:tcPr>
          <w:p w14:paraId="4B45C10B" w14:textId="6C584A39" w:rsidR="00A86140" w:rsidRPr="00641640" w:rsidRDefault="009B4CDA" w:rsidP="002C31DE">
            <w:pPr>
              <w:pStyle w:val="T-normal"/>
              <w:spacing w:line="276" w:lineRule="auto"/>
              <w:jc w:val="both"/>
              <w:rPr>
                <w:rFonts w:ascii="Times New Roman" w:hAnsi="Times New Roman" w:cs="Times New Roman"/>
                <w:b/>
                <w:bCs/>
                <w:noProof/>
                <w:color w:val="003300"/>
                <w:sz w:val="18"/>
                <w:szCs w:val="18"/>
                <w:lang w:val="sq-AL"/>
              </w:rPr>
            </w:pPr>
            <w:r w:rsidRPr="00641640">
              <w:rPr>
                <w:rFonts w:ascii="Times New Roman" w:hAnsi="Times New Roman" w:cs="Times New Roman"/>
                <w:b/>
                <w:bCs/>
                <w:noProof/>
                <w:color w:val="003300"/>
                <w:sz w:val="18"/>
                <w:szCs w:val="18"/>
                <w:lang w:val="sq-AL"/>
              </w:rPr>
              <w:t>Pranimi në institucionet e administratës publike bazuar në konkurs të hapur, në parimin e meritës dhe duke siguruar përzgjedhjen e kandidatëve më të mirë</w:t>
            </w:r>
          </w:p>
          <w:p w14:paraId="4E0B927F" w14:textId="77777777" w:rsidR="00A86140" w:rsidRPr="00641640" w:rsidRDefault="00A86140" w:rsidP="002C31DE">
            <w:pPr>
              <w:pStyle w:val="T-normal"/>
              <w:spacing w:line="276" w:lineRule="auto"/>
              <w:jc w:val="both"/>
              <w:rPr>
                <w:rFonts w:ascii="Times New Roman" w:hAnsi="Times New Roman" w:cs="Times New Roman"/>
                <w:noProof/>
                <w:color w:val="003300"/>
                <w:sz w:val="12"/>
                <w:szCs w:val="12"/>
                <w:lang w:val="sq-AL"/>
              </w:rPr>
            </w:pPr>
          </w:p>
        </w:tc>
      </w:tr>
      <w:tr w:rsidR="00A86140" w:rsidRPr="00641640" w14:paraId="2E8D15DA" w14:textId="77777777" w:rsidTr="005001B7">
        <w:tc>
          <w:tcPr>
            <w:tcW w:w="1165" w:type="dxa"/>
            <w:shd w:val="clear" w:color="auto" w:fill="E2EFD9" w:themeFill="accent6" w:themeFillTint="33"/>
          </w:tcPr>
          <w:p w14:paraId="0DA2FDDA" w14:textId="7EC46543"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612039" w:rsidRPr="00641640">
              <w:rPr>
                <w:rFonts w:ascii="Times New Roman" w:hAnsi="Times New Roman" w:cs="Times New Roman"/>
                <w:noProof/>
                <w:sz w:val="18"/>
                <w:szCs w:val="18"/>
                <w:lang w:val="sq-AL"/>
              </w:rPr>
              <w:t>2</w:t>
            </w:r>
            <w:r w:rsidRPr="00641640">
              <w:rPr>
                <w:rFonts w:ascii="Times New Roman" w:hAnsi="Times New Roman" w:cs="Times New Roman"/>
                <w:noProof/>
                <w:sz w:val="18"/>
                <w:szCs w:val="18"/>
                <w:lang w:val="sq-AL"/>
              </w:rPr>
              <w:t>.1.1</w:t>
            </w:r>
          </w:p>
        </w:tc>
        <w:tc>
          <w:tcPr>
            <w:tcW w:w="276" w:type="dxa"/>
            <w:shd w:val="clear" w:color="auto" w:fill="E2EFD9" w:themeFill="accent6" w:themeFillTint="33"/>
          </w:tcPr>
          <w:p w14:paraId="40F1577B" w14:textId="77777777"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7C04BD0D" w14:textId="6D4D7D8A" w:rsidR="00A86140" w:rsidRPr="00641640" w:rsidRDefault="00C1512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Rishikimi i ligjit nr. 152/2013, “Për nëpunësin civil”</w:t>
            </w:r>
            <w:r w:rsidR="00325EA9" w:rsidRPr="00641640">
              <w:rPr>
                <w:rFonts w:ascii="Times New Roman" w:hAnsi="Times New Roman" w:cs="Times New Roman"/>
                <w:noProof/>
                <w:sz w:val="18"/>
                <w:szCs w:val="18"/>
                <w:lang w:val="sq-AL"/>
              </w:rPr>
              <w:t>.</w:t>
            </w:r>
          </w:p>
          <w:p w14:paraId="05B5E7DF" w14:textId="1817CDBB" w:rsidR="00325EA9" w:rsidRPr="00641640" w:rsidRDefault="00325EA9" w:rsidP="002C31DE">
            <w:pPr>
              <w:pStyle w:val="T-normal"/>
              <w:spacing w:line="276" w:lineRule="auto"/>
              <w:jc w:val="both"/>
              <w:rPr>
                <w:rFonts w:ascii="Times New Roman" w:hAnsi="Times New Roman" w:cs="Times New Roman"/>
                <w:noProof/>
                <w:sz w:val="8"/>
                <w:szCs w:val="8"/>
                <w:lang w:val="sq-AL"/>
              </w:rPr>
            </w:pPr>
          </w:p>
        </w:tc>
      </w:tr>
      <w:tr w:rsidR="00A86140" w:rsidRPr="00641640" w14:paraId="4C1AE860" w14:textId="77777777" w:rsidTr="005001B7">
        <w:tc>
          <w:tcPr>
            <w:tcW w:w="1165" w:type="dxa"/>
            <w:shd w:val="clear" w:color="auto" w:fill="E2EFD9" w:themeFill="accent6" w:themeFillTint="33"/>
          </w:tcPr>
          <w:p w14:paraId="758C1CBE" w14:textId="4002B258"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w:t>
            </w:r>
            <w:r w:rsidRPr="00641640" w:rsidDel="009179B8">
              <w:rPr>
                <w:rFonts w:ascii="Times New Roman" w:hAnsi="Times New Roman" w:cs="Times New Roman"/>
                <w:noProof/>
                <w:sz w:val="18"/>
                <w:szCs w:val="18"/>
                <w:lang w:val="sq-AL"/>
              </w:rPr>
              <w:t xml:space="preserve"> </w:t>
            </w:r>
            <w:r w:rsidR="00612039" w:rsidRPr="00641640">
              <w:rPr>
                <w:rFonts w:ascii="Times New Roman" w:hAnsi="Times New Roman" w:cs="Times New Roman"/>
                <w:noProof/>
                <w:sz w:val="18"/>
                <w:szCs w:val="18"/>
                <w:lang w:val="sq-AL"/>
              </w:rPr>
              <w:t>2</w:t>
            </w:r>
            <w:r w:rsidRPr="00641640">
              <w:rPr>
                <w:rFonts w:ascii="Times New Roman" w:hAnsi="Times New Roman" w:cs="Times New Roman"/>
                <w:noProof/>
                <w:sz w:val="18"/>
                <w:szCs w:val="18"/>
                <w:lang w:val="sq-AL"/>
              </w:rPr>
              <w:t>.1.2</w:t>
            </w:r>
          </w:p>
        </w:tc>
        <w:tc>
          <w:tcPr>
            <w:tcW w:w="276" w:type="dxa"/>
            <w:shd w:val="clear" w:color="auto" w:fill="E2EFD9" w:themeFill="accent6" w:themeFillTint="33"/>
          </w:tcPr>
          <w:p w14:paraId="1B3788FB" w14:textId="77777777"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0B60F28A" w14:textId="77777777" w:rsidR="00A86140" w:rsidRPr="00641640" w:rsidRDefault="00D855DC"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Plotësimi i kuadrit nënligjor për garantimin e një procesi të përmirësuar, objektiv dhe meritokratik rekrutimi.</w:t>
            </w:r>
          </w:p>
          <w:p w14:paraId="3C8EC4A6" w14:textId="4D87CFDC" w:rsidR="00325EA9" w:rsidRPr="00641640" w:rsidRDefault="00325EA9" w:rsidP="002C31DE">
            <w:pPr>
              <w:pStyle w:val="T-normal"/>
              <w:spacing w:line="276" w:lineRule="auto"/>
              <w:jc w:val="both"/>
              <w:rPr>
                <w:rFonts w:ascii="Times New Roman" w:hAnsi="Times New Roman" w:cs="Times New Roman"/>
                <w:noProof/>
                <w:sz w:val="8"/>
                <w:szCs w:val="8"/>
                <w:lang w:val="sq-AL"/>
              </w:rPr>
            </w:pPr>
          </w:p>
        </w:tc>
      </w:tr>
      <w:tr w:rsidR="00A86140" w:rsidRPr="00641640" w14:paraId="68E0D67D" w14:textId="77777777" w:rsidTr="005001B7">
        <w:tc>
          <w:tcPr>
            <w:tcW w:w="1165" w:type="dxa"/>
            <w:shd w:val="clear" w:color="auto" w:fill="E2EFD9" w:themeFill="accent6" w:themeFillTint="33"/>
          </w:tcPr>
          <w:p w14:paraId="3F517D12" w14:textId="5DCF85C2"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w:t>
            </w:r>
            <w:r w:rsidRPr="00641640" w:rsidDel="009179B8">
              <w:rPr>
                <w:rFonts w:ascii="Times New Roman" w:hAnsi="Times New Roman" w:cs="Times New Roman"/>
                <w:noProof/>
                <w:sz w:val="18"/>
                <w:szCs w:val="18"/>
                <w:lang w:val="sq-AL"/>
              </w:rPr>
              <w:t xml:space="preserve"> </w:t>
            </w:r>
            <w:r w:rsidR="00612039" w:rsidRPr="00641640">
              <w:rPr>
                <w:rFonts w:ascii="Times New Roman" w:hAnsi="Times New Roman" w:cs="Times New Roman"/>
                <w:noProof/>
                <w:sz w:val="18"/>
                <w:szCs w:val="18"/>
                <w:lang w:val="sq-AL"/>
              </w:rPr>
              <w:t>2</w:t>
            </w:r>
            <w:r w:rsidRPr="00641640">
              <w:rPr>
                <w:rFonts w:ascii="Times New Roman" w:hAnsi="Times New Roman" w:cs="Times New Roman"/>
                <w:noProof/>
                <w:sz w:val="18"/>
                <w:szCs w:val="18"/>
                <w:lang w:val="sq-AL"/>
              </w:rPr>
              <w:t>.1.3</w:t>
            </w:r>
          </w:p>
        </w:tc>
        <w:tc>
          <w:tcPr>
            <w:tcW w:w="276" w:type="dxa"/>
            <w:shd w:val="clear" w:color="auto" w:fill="E2EFD9" w:themeFill="accent6" w:themeFillTint="33"/>
          </w:tcPr>
          <w:p w14:paraId="3437FF58" w14:textId="77777777"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79899BD1" w14:textId="3888A5CD" w:rsidR="00A86140" w:rsidRPr="00641640" w:rsidRDefault="00D855DC"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Miratimi i kornizës së kompetencave për shërbimin civil dhe përshtatja e procedurave të rekrutimit me kompetencat e reja</w:t>
            </w:r>
            <w:r w:rsidR="00325EA9" w:rsidRPr="00641640">
              <w:rPr>
                <w:rFonts w:ascii="Times New Roman" w:hAnsi="Times New Roman" w:cs="Times New Roman"/>
                <w:noProof/>
                <w:sz w:val="18"/>
                <w:szCs w:val="18"/>
                <w:lang w:val="sq-AL"/>
              </w:rPr>
              <w:t>.</w:t>
            </w:r>
          </w:p>
          <w:p w14:paraId="634BAAB5" w14:textId="168C2AFA" w:rsidR="00325EA9" w:rsidRPr="00641640" w:rsidRDefault="00325EA9" w:rsidP="002C31DE">
            <w:pPr>
              <w:pStyle w:val="T-normal"/>
              <w:spacing w:line="276" w:lineRule="auto"/>
              <w:jc w:val="both"/>
              <w:rPr>
                <w:rFonts w:ascii="Times New Roman" w:hAnsi="Times New Roman" w:cs="Times New Roman"/>
                <w:noProof/>
                <w:sz w:val="8"/>
                <w:szCs w:val="8"/>
                <w:lang w:val="sq-AL"/>
              </w:rPr>
            </w:pPr>
          </w:p>
        </w:tc>
      </w:tr>
      <w:tr w:rsidR="00A86140" w:rsidRPr="00641640" w14:paraId="75D5A342" w14:textId="77777777" w:rsidTr="005001B7">
        <w:tc>
          <w:tcPr>
            <w:tcW w:w="1165" w:type="dxa"/>
            <w:shd w:val="clear" w:color="auto" w:fill="E2EFD9" w:themeFill="accent6" w:themeFillTint="33"/>
          </w:tcPr>
          <w:p w14:paraId="14917977" w14:textId="4D985A46"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w:t>
            </w:r>
            <w:r w:rsidRPr="00641640" w:rsidDel="009179B8">
              <w:rPr>
                <w:rFonts w:ascii="Times New Roman" w:hAnsi="Times New Roman" w:cs="Times New Roman"/>
                <w:noProof/>
                <w:sz w:val="18"/>
                <w:szCs w:val="18"/>
                <w:lang w:val="sq-AL"/>
              </w:rPr>
              <w:t xml:space="preserve"> </w:t>
            </w:r>
            <w:r w:rsidR="00612039" w:rsidRPr="00641640">
              <w:rPr>
                <w:rFonts w:ascii="Times New Roman" w:hAnsi="Times New Roman" w:cs="Times New Roman"/>
                <w:noProof/>
                <w:sz w:val="18"/>
                <w:szCs w:val="18"/>
                <w:lang w:val="sq-AL"/>
              </w:rPr>
              <w:t>2</w:t>
            </w:r>
            <w:r w:rsidRPr="00641640">
              <w:rPr>
                <w:rFonts w:ascii="Times New Roman" w:hAnsi="Times New Roman" w:cs="Times New Roman"/>
                <w:noProof/>
                <w:sz w:val="18"/>
                <w:szCs w:val="18"/>
                <w:lang w:val="sq-AL"/>
              </w:rPr>
              <w:t>.1.4</w:t>
            </w:r>
          </w:p>
        </w:tc>
        <w:tc>
          <w:tcPr>
            <w:tcW w:w="276" w:type="dxa"/>
            <w:shd w:val="clear" w:color="auto" w:fill="E2EFD9" w:themeFill="accent6" w:themeFillTint="33"/>
          </w:tcPr>
          <w:p w14:paraId="2BED8DF8" w14:textId="77777777"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36083539" w14:textId="0101AE4E" w:rsidR="00A86140" w:rsidRPr="00641640" w:rsidRDefault="00D855DC"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Rritja e kapaciteteve të anëtarëve të Komiteteve të Pranimit në shërbimin civil dhe për lëvizjet në karrierë dhe përditësimi i vazhdueshëm i databazës elektronike të pyetjeve</w:t>
            </w:r>
            <w:r w:rsidR="00325EA9" w:rsidRPr="00641640">
              <w:rPr>
                <w:rFonts w:ascii="Times New Roman" w:hAnsi="Times New Roman" w:cs="Times New Roman"/>
                <w:noProof/>
                <w:sz w:val="18"/>
                <w:szCs w:val="18"/>
                <w:lang w:val="sq-AL"/>
              </w:rPr>
              <w:t>.</w:t>
            </w:r>
          </w:p>
          <w:p w14:paraId="536C1E5C" w14:textId="679164EE" w:rsidR="00325EA9" w:rsidRPr="00641640" w:rsidRDefault="00325EA9" w:rsidP="002C31DE">
            <w:pPr>
              <w:pStyle w:val="T-normal"/>
              <w:spacing w:line="276" w:lineRule="auto"/>
              <w:jc w:val="both"/>
              <w:rPr>
                <w:rFonts w:ascii="Times New Roman" w:hAnsi="Times New Roman" w:cs="Times New Roman"/>
                <w:noProof/>
                <w:sz w:val="8"/>
                <w:szCs w:val="8"/>
                <w:lang w:val="sq-AL"/>
              </w:rPr>
            </w:pPr>
          </w:p>
        </w:tc>
      </w:tr>
      <w:tr w:rsidR="009B4CDA" w:rsidRPr="00641640" w14:paraId="31098B95" w14:textId="77777777" w:rsidTr="005001B7">
        <w:tc>
          <w:tcPr>
            <w:tcW w:w="1165" w:type="dxa"/>
            <w:shd w:val="clear" w:color="auto" w:fill="E2EFD9" w:themeFill="accent6" w:themeFillTint="33"/>
          </w:tcPr>
          <w:p w14:paraId="618035E6" w14:textId="3E54E77F" w:rsidR="009B4CDA" w:rsidRPr="00641640" w:rsidRDefault="009B4CDA"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w:t>
            </w:r>
            <w:r w:rsidRPr="00641640" w:rsidDel="009179B8">
              <w:rPr>
                <w:rFonts w:ascii="Times New Roman" w:hAnsi="Times New Roman" w:cs="Times New Roman"/>
                <w:noProof/>
                <w:sz w:val="18"/>
                <w:szCs w:val="18"/>
                <w:lang w:val="sq-AL"/>
              </w:rPr>
              <w:t xml:space="preserve"> </w:t>
            </w:r>
            <w:r w:rsidRPr="00641640">
              <w:rPr>
                <w:rFonts w:ascii="Times New Roman" w:hAnsi="Times New Roman" w:cs="Times New Roman"/>
                <w:noProof/>
                <w:sz w:val="18"/>
                <w:szCs w:val="18"/>
                <w:lang w:val="sq-AL"/>
              </w:rPr>
              <w:t>2.1.5</w:t>
            </w:r>
          </w:p>
        </w:tc>
        <w:tc>
          <w:tcPr>
            <w:tcW w:w="276" w:type="dxa"/>
            <w:shd w:val="clear" w:color="auto" w:fill="E2EFD9" w:themeFill="accent6" w:themeFillTint="33"/>
          </w:tcPr>
          <w:p w14:paraId="0EA0B1A4" w14:textId="47B20831" w:rsidR="009B4CDA" w:rsidRPr="00641640" w:rsidRDefault="009B4CDA"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5F815E0B" w14:textId="77777777" w:rsidR="009B4CDA" w:rsidRPr="00641640" w:rsidRDefault="00325EA9"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Zbatimi i një programi të dedikuar për përshtatjen e nëpunësve të rinj me institucionin punëmarrës dhe pozicionin e punës gjatë periudhës së provës apo në rastet e ngritjes në detyrë.</w:t>
            </w:r>
          </w:p>
          <w:p w14:paraId="45CBA86F" w14:textId="73EEA82A" w:rsidR="00325EA9" w:rsidRPr="00641640" w:rsidRDefault="00325EA9" w:rsidP="002C31DE">
            <w:pPr>
              <w:pStyle w:val="T-normal"/>
              <w:spacing w:line="276" w:lineRule="auto"/>
              <w:jc w:val="both"/>
              <w:rPr>
                <w:rFonts w:ascii="Times New Roman" w:hAnsi="Times New Roman" w:cs="Times New Roman"/>
                <w:noProof/>
                <w:sz w:val="8"/>
                <w:szCs w:val="8"/>
                <w:lang w:val="sq-AL"/>
              </w:rPr>
            </w:pPr>
          </w:p>
        </w:tc>
      </w:tr>
      <w:tr w:rsidR="00A86140" w:rsidRPr="00641640" w14:paraId="3541D824" w14:textId="77777777" w:rsidTr="005001B7">
        <w:tc>
          <w:tcPr>
            <w:tcW w:w="9350" w:type="dxa"/>
            <w:gridSpan w:val="4"/>
            <w:shd w:val="clear" w:color="auto" w:fill="E2EFD9" w:themeFill="accent6" w:themeFillTint="33"/>
          </w:tcPr>
          <w:p w14:paraId="1FE51423" w14:textId="77777777" w:rsidR="00A86140" w:rsidRPr="00641640" w:rsidRDefault="00A86140" w:rsidP="002C31DE">
            <w:pPr>
              <w:pStyle w:val="T-normal"/>
              <w:spacing w:line="276" w:lineRule="auto"/>
              <w:jc w:val="both"/>
              <w:rPr>
                <w:rFonts w:ascii="Times New Roman" w:hAnsi="Times New Roman" w:cs="Times New Roman"/>
                <w:noProof/>
                <w:color w:val="003300"/>
                <w:sz w:val="18"/>
                <w:szCs w:val="18"/>
                <w:lang w:val="sq-AL"/>
              </w:rPr>
            </w:pPr>
          </w:p>
          <w:p w14:paraId="0A913108" w14:textId="184AE57B" w:rsidR="00A86140" w:rsidRPr="00641640" w:rsidRDefault="00B44313" w:rsidP="002C31DE">
            <w:pPr>
              <w:pStyle w:val="T-normal"/>
              <w:spacing w:line="276" w:lineRule="auto"/>
              <w:jc w:val="both"/>
              <w:rPr>
                <w:rFonts w:ascii="Times New Roman" w:eastAsia="Times New Roman" w:hAnsi="Times New Roman" w:cs="Times New Roman"/>
                <w:b/>
                <w:i/>
                <w:noProof/>
                <w:color w:val="C45911" w:themeColor="accent2" w:themeShade="BF"/>
                <w:sz w:val="18"/>
                <w:szCs w:val="18"/>
                <w:lang w:val="sq-AL"/>
              </w:rPr>
            </w:pPr>
            <w:r w:rsidRPr="00641640">
              <w:rPr>
                <w:rFonts w:ascii="Times New Roman" w:hAnsi="Times New Roman" w:cs="Times New Roman"/>
                <w:b/>
                <w:bCs/>
                <w:i/>
                <w:noProof/>
                <w:color w:val="C45911" w:themeColor="accent2" w:themeShade="BF"/>
                <w:sz w:val="18"/>
                <w:szCs w:val="18"/>
                <w:lang w:val="sq-AL"/>
              </w:rPr>
              <w:t>Komponenti 2.2</w:t>
            </w:r>
            <w:r w:rsidR="009E2B32" w:rsidRPr="00641640">
              <w:rPr>
                <w:rFonts w:ascii="Times New Roman" w:hAnsi="Times New Roman" w:cs="Times New Roman"/>
                <w:b/>
                <w:bCs/>
                <w:i/>
                <w:noProof/>
                <w:color w:val="C45911" w:themeColor="accent2" w:themeShade="BF"/>
                <w:sz w:val="18"/>
                <w:szCs w:val="18"/>
                <w:lang w:val="sq-AL"/>
              </w:rPr>
              <w:t xml:space="preserve">: </w:t>
            </w:r>
            <w:r w:rsidRPr="00641640">
              <w:rPr>
                <w:rFonts w:ascii="Times New Roman" w:eastAsia="Times New Roman" w:hAnsi="Times New Roman" w:cs="Times New Roman"/>
                <w:b/>
                <w:i/>
                <w:noProof/>
                <w:color w:val="C45911" w:themeColor="accent2" w:themeShade="BF"/>
                <w:sz w:val="18"/>
                <w:szCs w:val="18"/>
                <w:lang w:val="sq-AL"/>
              </w:rPr>
              <w:t>Pozicionimi i administratës publike si një punëdhënës i besueshëm, tërheqës dhe konkurrues në tregun e punës</w:t>
            </w:r>
          </w:p>
          <w:p w14:paraId="3242519E" w14:textId="17A25A82" w:rsidR="00754D47" w:rsidRPr="00641640" w:rsidRDefault="00754D47" w:rsidP="002C31DE">
            <w:pPr>
              <w:pStyle w:val="T-normal"/>
              <w:spacing w:line="276" w:lineRule="auto"/>
              <w:jc w:val="both"/>
              <w:rPr>
                <w:rFonts w:ascii="Times New Roman" w:hAnsi="Times New Roman" w:cs="Times New Roman"/>
                <w:noProof/>
                <w:color w:val="003300"/>
                <w:sz w:val="10"/>
                <w:szCs w:val="10"/>
                <w:lang w:val="sq-AL"/>
              </w:rPr>
            </w:pPr>
          </w:p>
        </w:tc>
      </w:tr>
      <w:tr w:rsidR="00A86140" w:rsidRPr="00641640" w14:paraId="4CF5C420" w14:textId="77777777" w:rsidTr="005001B7">
        <w:tc>
          <w:tcPr>
            <w:tcW w:w="1975" w:type="dxa"/>
            <w:gridSpan w:val="3"/>
            <w:shd w:val="clear" w:color="auto" w:fill="E2EFD9" w:themeFill="accent6" w:themeFillTint="33"/>
          </w:tcPr>
          <w:p w14:paraId="3A0DAA54" w14:textId="252A772F" w:rsidR="00A86140" w:rsidRPr="00641640" w:rsidRDefault="00A86140" w:rsidP="002C31DE">
            <w:pPr>
              <w:pStyle w:val="T-normal"/>
              <w:spacing w:line="276" w:lineRule="auto"/>
              <w:jc w:val="both"/>
              <w:rPr>
                <w:rFonts w:ascii="Times New Roman" w:hAnsi="Times New Roman" w:cs="Times New Roman"/>
                <w:noProof/>
                <w:color w:val="003300"/>
                <w:sz w:val="18"/>
                <w:szCs w:val="18"/>
                <w:lang w:val="sq-AL"/>
              </w:rPr>
            </w:pPr>
            <w:r w:rsidRPr="00641640">
              <w:rPr>
                <w:rFonts w:ascii="Times New Roman" w:eastAsia="Times New Roman" w:hAnsi="Times New Roman" w:cs="Times New Roman"/>
                <w:b/>
                <w:noProof/>
                <w:color w:val="003300"/>
                <w:sz w:val="18"/>
                <w:szCs w:val="18"/>
                <w:lang w:val="sq-AL"/>
              </w:rPr>
              <w:t xml:space="preserve">Objektivi Specifik </w:t>
            </w:r>
            <w:r w:rsidR="00612039" w:rsidRPr="00641640">
              <w:rPr>
                <w:rFonts w:ascii="Times New Roman" w:eastAsia="Times New Roman" w:hAnsi="Times New Roman" w:cs="Times New Roman"/>
                <w:b/>
                <w:noProof/>
                <w:color w:val="003300"/>
                <w:sz w:val="18"/>
                <w:szCs w:val="18"/>
                <w:lang w:val="sq-AL"/>
              </w:rPr>
              <w:t>2</w:t>
            </w:r>
            <w:r w:rsidRPr="00641640">
              <w:rPr>
                <w:rFonts w:ascii="Times New Roman" w:eastAsia="Times New Roman" w:hAnsi="Times New Roman" w:cs="Times New Roman"/>
                <w:b/>
                <w:noProof/>
                <w:color w:val="003300"/>
                <w:sz w:val="18"/>
                <w:szCs w:val="18"/>
                <w:lang w:val="sq-AL"/>
              </w:rPr>
              <w:t>.2:</w:t>
            </w:r>
          </w:p>
        </w:tc>
        <w:tc>
          <w:tcPr>
            <w:tcW w:w="7375" w:type="dxa"/>
            <w:shd w:val="clear" w:color="auto" w:fill="E2EFD9" w:themeFill="accent6" w:themeFillTint="33"/>
          </w:tcPr>
          <w:p w14:paraId="394C3CC5" w14:textId="55BC98D7" w:rsidR="00A86140" w:rsidRPr="00641640" w:rsidRDefault="00723AF1" w:rsidP="002C31DE">
            <w:pPr>
              <w:pStyle w:val="T-normal"/>
              <w:spacing w:line="276" w:lineRule="auto"/>
              <w:jc w:val="both"/>
              <w:rPr>
                <w:rFonts w:ascii="Times New Roman" w:eastAsia="Times New Roman" w:hAnsi="Times New Roman" w:cs="Times New Roman"/>
                <w:b/>
                <w:noProof/>
                <w:color w:val="003300"/>
                <w:sz w:val="18"/>
                <w:szCs w:val="18"/>
                <w:lang w:val="sq-AL"/>
              </w:rPr>
            </w:pPr>
            <w:r w:rsidRPr="00641640">
              <w:rPr>
                <w:rFonts w:ascii="Times New Roman" w:eastAsia="Times New Roman" w:hAnsi="Times New Roman" w:cs="Times New Roman"/>
                <w:b/>
                <w:noProof/>
                <w:color w:val="003300"/>
                <w:sz w:val="18"/>
                <w:szCs w:val="18"/>
                <w:lang w:val="sq-AL"/>
              </w:rPr>
              <w:t>Investimi në motivimin dhe mirëqenien e nëpunësve publikë, me synim rritjen e atraksionit dhe forcimin e pozitës së sektorit publik si punëmarrës i besueshëm, tërheqës dhe konkurrues në tregun e punës</w:t>
            </w:r>
            <w:r w:rsidR="00A86140" w:rsidRPr="00641640">
              <w:rPr>
                <w:rFonts w:ascii="Times New Roman" w:eastAsia="Times New Roman" w:hAnsi="Times New Roman" w:cs="Times New Roman"/>
                <w:b/>
                <w:noProof/>
                <w:color w:val="003300"/>
                <w:sz w:val="18"/>
                <w:szCs w:val="18"/>
                <w:lang w:val="sq-AL"/>
              </w:rPr>
              <w:t>.</w:t>
            </w:r>
          </w:p>
          <w:p w14:paraId="3CC42CC1" w14:textId="77777777" w:rsidR="00A86140" w:rsidRPr="00641640" w:rsidRDefault="00A86140" w:rsidP="002C31DE">
            <w:pPr>
              <w:pStyle w:val="T-normal"/>
              <w:spacing w:line="276" w:lineRule="auto"/>
              <w:jc w:val="both"/>
              <w:rPr>
                <w:rFonts w:ascii="Times New Roman" w:hAnsi="Times New Roman" w:cs="Times New Roman"/>
                <w:noProof/>
                <w:color w:val="003300"/>
                <w:sz w:val="12"/>
                <w:szCs w:val="12"/>
                <w:lang w:val="sq-AL"/>
              </w:rPr>
            </w:pPr>
          </w:p>
        </w:tc>
      </w:tr>
      <w:tr w:rsidR="00A86140" w:rsidRPr="00641640" w14:paraId="132C717E" w14:textId="77777777" w:rsidTr="005001B7">
        <w:tc>
          <w:tcPr>
            <w:tcW w:w="1165" w:type="dxa"/>
            <w:shd w:val="clear" w:color="auto" w:fill="E2EFD9" w:themeFill="accent6" w:themeFillTint="33"/>
          </w:tcPr>
          <w:p w14:paraId="2EB9389A" w14:textId="312762B9"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lastRenderedPageBreak/>
              <w:t xml:space="preserve">Masa </w:t>
            </w:r>
            <w:r w:rsidR="00612039" w:rsidRPr="00641640">
              <w:rPr>
                <w:rFonts w:ascii="Times New Roman" w:hAnsi="Times New Roman" w:cs="Times New Roman"/>
                <w:noProof/>
                <w:sz w:val="18"/>
                <w:szCs w:val="18"/>
                <w:lang w:val="sq-AL"/>
              </w:rPr>
              <w:t>2</w:t>
            </w:r>
            <w:r w:rsidRPr="00641640">
              <w:rPr>
                <w:rFonts w:ascii="Times New Roman" w:hAnsi="Times New Roman" w:cs="Times New Roman"/>
                <w:noProof/>
                <w:sz w:val="18"/>
                <w:szCs w:val="18"/>
                <w:lang w:val="sq-AL"/>
              </w:rPr>
              <w:t>.2.1</w:t>
            </w:r>
          </w:p>
        </w:tc>
        <w:tc>
          <w:tcPr>
            <w:tcW w:w="276" w:type="dxa"/>
            <w:shd w:val="clear" w:color="auto" w:fill="E2EFD9" w:themeFill="accent6" w:themeFillTint="33"/>
          </w:tcPr>
          <w:p w14:paraId="12BD4830" w14:textId="77777777"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051D8674" w14:textId="41BEC395" w:rsidR="00A86140" w:rsidRPr="00641640" w:rsidRDefault="007511E5"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Ndryshimi i strukturës së pagave, duke synuar thjeshtëzimin e saj dhe rritjen e elementeve motivues në shpërblimin financiar</w:t>
            </w:r>
            <w:r w:rsidR="00200A0A" w:rsidRPr="00641640">
              <w:rPr>
                <w:rFonts w:ascii="Times New Roman" w:hAnsi="Times New Roman" w:cs="Times New Roman"/>
                <w:noProof/>
                <w:sz w:val="18"/>
                <w:szCs w:val="18"/>
                <w:lang w:val="sq-AL"/>
              </w:rPr>
              <w:t>.</w:t>
            </w:r>
          </w:p>
          <w:p w14:paraId="0287148F" w14:textId="44FF94BE" w:rsidR="000B63B5" w:rsidRPr="00641640" w:rsidRDefault="000B63B5" w:rsidP="002C31DE">
            <w:pPr>
              <w:pStyle w:val="T-normal"/>
              <w:spacing w:line="276" w:lineRule="auto"/>
              <w:jc w:val="both"/>
              <w:rPr>
                <w:rFonts w:ascii="Times New Roman" w:hAnsi="Times New Roman" w:cs="Times New Roman"/>
                <w:noProof/>
                <w:sz w:val="8"/>
                <w:szCs w:val="8"/>
                <w:lang w:val="sq-AL"/>
              </w:rPr>
            </w:pPr>
          </w:p>
        </w:tc>
      </w:tr>
      <w:tr w:rsidR="00A86140" w:rsidRPr="00641640" w14:paraId="2A1A6688" w14:textId="77777777" w:rsidTr="005001B7">
        <w:tc>
          <w:tcPr>
            <w:tcW w:w="1165" w:type="dxa"/>
            <w:shd w:val="clear" w:color="auto" w:fill="E2EFD9" w:themeFill="accent6" w:themeFillTint="33"/>
          </w:tcPr>
          <w:p w14:paraId="2B0AA374" w14:textId="461DCB77"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612039" w:rsidRPr="00641640">
              <w:rPr>
                <w:rFonts w:ascii="Times New Roman" w:hAnsi="Times New Roman" w:cs="Times New Roman"/>
                <w:noProof/>
                <w:sz w:val="18"/>
                <w:szCs w:val="18"/>
                <w:lang w:val="sq-AL"/>
              </w:rPr>
              <w:t>2</w:t>
            </w:r>
            <w:r w:rsidRPr="00641640">
              <w:rPr>
                <w:rFonts w:ascii="Times New Roman" w:hAnsi="Times New Roman" w:cs="Times New Roman"/>
                <w:noProof/>
                <w:sz w:val="18"/>
                <w:szCs w:val="18"/>
                <w:lang w:val="sq-AL"/>
              </w:rPr>
              <w:t>.2.2</w:t>
            </w:r>
          </w:p>
        </w:tc>
        <w:tc>
          <w:tcPr>
            <w:tcW w:w="276" w:type="dxa"/>
            <w:shd w:val="clear" w:color="auto" w:fill="E2EFD9" w:themeFill="accent6" w:themeFillTint="33"/>
          </w:tcPr>
          <w:p w14:paraId="522D57DB" w14:textId="77777777"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35410219" w14:textId="4E62015F" w:rsidR="00A86140" w:rsidRPr="00641640" w:rsidRDefault="007511E5"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Rritja e transparencës së pagave për nëpunësit publikë, përfshirë edhe në njoftimet për aplikime për vendet vakante</w:t>
            </w:r>
            <w:r w:rsidR="00200A0A" w:rsidRPr="00641640">
              <w:rPr>
                <w:rFonts w:ascii="Times New Roman" w:hAnsi="Times New Roman" w:cs="Times New Roman"/>
                <w:noProof/>
                <w:sz w:val="18"/>
                <w:szCs w:val="18"/>
                <w:lang w:val="sq-AL"/>
              </w:rPr>
              <w:t>.</w:t>
            </w:r>
          </w:p>
          <w:p w14:paraId="309047AC" w14:textId="5606ACE8" w:rsidR="000B63B5" w:rsidRPr="00641640" w:rsidRDefault="000B63B5" w:rsidP="002C31DE">
            <w:pPr>
              <w:pStyle w:val="T-normal"/>
              <w:spacing w:line="276" w:lineRule="auto"/>
              <w:jc w:val="both"/>
              <w:rPr>
                <w:rFonts w:ascii="Times New Roman" w:hAnsi="Times New Roman" w:cs="Times New Roman"/>
                <w:noProof/>
                <w:sz w:val="8"/>
                <w:szCs w:val="8"/>
                <w:lang w:val="sq-AL"/>
              </w:rPr>
            </w:pPr>
          </w:p>
        </w:tc>
      </w:tr>
      <w:tr w:rsidR="00A86140" w:rsidRPr="00641640" w14:paraId="54BE7AD8" w14:textId="77777777" w:rsidTr="005001B7">
        <w:tc>
          <w:tcPr>
            <w:tcW w:w="1165" w:type="dxa"/>
            <w:shd w:val="clear" w:color="auto" w:fill="E2EFD9" w:themeFill="accent6" w:themeFillTint="33"/>
          </w:tcPr>
          <w:p w14:paraId="51DC291A" w14:textId="0438FCCD"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612039" w:rsidRPr="00641640">
              <w:rPr>
                <w:rFonts w:ascii="Times New Roman" w:hAnsi="Times New Roman" w:cs="Times New Roman"/>
                <w:noProof/>
                <w:sz w:val="18"/>
                <w:szCs w:val="18"/>
                <w:lang w:val="sq-AL"/>
              </w:rPr>
              <w:t>2</w:t>
            </w:r>
            <w:r w:rsidRPr="00641640">
              <w:rPr>
                <w:rFonts w:ascii="Times New Roman" w:hAnsi="Times New Roman" w:cs="Times New Roman"/>
                <w:noProof/>
                <w:sz w:val="18"/>
                <w:szCs w:val="18"/>
                <w:lang w:val="sq-AL"/>
              </w:rPr>
              <w:t>.2.3</w:t>
            </w:r>
          </w:p>
        </w:tc>
        <w:tc>
          <w:tcPr>
            <w:tcW w:w="276" w:type="dxa"/>
            <w:shd w:val="clear" w:color="auto" w:fill="E2EFD9" w:themeFill="accent6" w:themeFillTint="33"/>
          </w:tcPr>
          <w:p w14:paraId="06219F0B" w14:textId="77777777"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47A55760" w14:textId="77777777" w:rsidR="00A86140" w:rsidRPr="00641640" w:rsidRDefault="007511E5"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Miratimi dhe zbatimi i metodologjisë së re për vlerësimin e pozicioneve të punës në administratën publike</w:t>
            </w:r>
            <w:r w:rsidR="000B63B5" w:rsidRPr="00641640">
              <w:rPr>
                <w:rFonts w:ascii="Times New Roman" w:hAnsi="Times New Roman" w:cs="Times New Roman"/>
                <w:noProof/>
                <w:sz w:val="18"/>
                <w:szCs w:val="18"/>
                <w:lang w:val="sq-AL"/>
              </w:rPr>
              <w:t>.</w:t>
            </w:r>
          </w:p>
          <w:p w14:paraId="52DF1F3E" w14:textId="19FA5219" w:rsidR="000B63B5" w:rsidRPr="00641640" w:rsidRDefault="000B63B5" w:rsidP="002C31DE">
            <w:pPr>
              <w:pStyle w:val="T-normal"/>
              <w:spacing w:line="276" w:lineRule="auto"/>
              <w:jc w:val="both"/>
              <w:rPr>
                <w:rFonts w:ascii="Times New Roman" w:hAnsi="Times New Roman" w:cs="Times New Roman"/>
                <w:noProof/>
                <w:sz w:val="8"/>
                <w:szCs w:val="8"/>
                <w:lang w:val="sq-AL"/>
              </w:rPr>
            </w:pPr>
          </w:p>
        </w:tc>
      </w:tr>
      <w:tr w:rsidR="00A86140" w:rsidRPr="00641640" w14:paraId="78D7D88F" w14:textId="77777777" w:rsidTr="005001B7">
        <w:tc>
          <w:tcPr>
            <w:tcW w:w="1165" w:type="dxa"/>
            <w:shd w:val="clear" w:color="auto" w:fill="E2EFD9" w:themeFill="accent6" w:themeFillTint="33"/>
          </w:tcPr>
          <w:p w14:paraId="2A7B8AD5" w14:textId="536C3B8D"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612039" w:rsidRPr="00641640">
              <w:rPr>
                <w:rFonts w:ascii="Times New Roman" w:hAnsi="Times New Roman" w:cs="Times New Roman"/>
                <w:noProof/>
                <w:sz w:val="18"/>
                <w:szCs w:val="18"/>
                <w:lang w:val="sq-AL"/>
              </w:rPr>
              <w:t>2</w:t>
            </w:r>
            <w:r w:rsidRPr="00641640">
              <w:rPr>
                <w:rFonts w:ascii="Times New Roman" w:hAnsi="Times New Roman" w:cs="Times New Roman"/>
                <w:noProof/>
                <w:sz w:val="18"/>
                <w:szCs w:val="18"/>
                <w:lang w:val="sq-AL"/>
              </w:rPr>
              <w:t>.2.4</w:t>
            </w:r>
          </w:p>
        </w:tc>
        <w:tc>
          <w:tcPr>
            <w:tcW w:w="276" w:type="dxa"/>
            <w:shd w:val="clear" w:color="auto" w:fill="E2EFD9" w:themeFill="accent6" w:themeFillTint="33"/>
          </w:tcPr>
          <w:p w14:paraId="6089E977" w14:textId="77777777"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37A5B450" w14:textId="77777777" w:rsidR="00A86140" w:rsidRPr="00641640" w:rsidRDefault="007511E5"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Rishikimi dhe zbatimi praktik i procesit të vlerësimit të performancës individuale, duke garantuar harmonizim me performancën institucionale.</w:t>
            </w:r>
          </w:p>
          <w:p w14:paraId="25CE5D23" w14:textId="77E644BD" w:rsidR="000B63B5" w:rsidRPr="00641640" w:rsidRDefault="000B63B5" w:rsidP="002C31DE">
            <w:pPr>
              <w:pStyle w:val="T-normal"/>
              <w:spacing w:line="276" w:lineRule="auto"/>
              <w:jc w:val="both"/>
              <w:rPr>
                <w:rFonts w:ascii="Times New Roman" w:hAnsi="Times New Roman" w:cs="Times New Roman"/>
                <w:noProof/>
                <w:sz w:val="8"/>
                <w:szCs w:val="8"/>
                <w:lang w:val="sq-AL"/>
              </w:rPr>
            </w:pPr>
          </w:p>
        </w:tc>
      </w:tr>
      <w:tr w:rsidR="00A86140" w:rsidRPr="00641640" w14:paraId="2E3B7548" w14:textId="77777777" w:rsidTr="005001B7">
        <w:tc>
          <w:tcPr>
            <w:tcW w:w="1165" w:type="dxa"/>
            <w:shd w:val="clear" w:color="auto" w:fill="E2EFD9" w:themeFill="accent6" w:themeFillTint="33"/>
          </w:tcPr>
          <w:p w14:paraId="0B9BE5C8" w14:textId="700DBC18"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612039" w:rsidRPr="00641640">
              <w:rPr>
                <w:rFonts w:ascii="Times New Roman" w:hAnsi="Times New Roman" w:cs="Times New Roman"/>
                <w:noProof/>
                <w:sz w:val="18"/>
                <w:szCs w:val="18"/>
                <w:lang w:val="sq-AL"/>
              </w:rPr>
              <w:t>2</w:t>
            </w:r>
            <w:r w:rsidRPr="00641640">
              <w:rPr>
                <w:rFonts w:ascii="Times New Roman" w:hAnsi="Times New Roman" w:cs="Times New Roman"/>
                <w:noProof/>
                <w:sz w:val="18"/>
                <w:szCs w:val="18"/>
                <w:lang w:val="sq-AL"/>
              </w:rPr>
              <w:t>.2.5</w:t>
            </w:r>
          </w:p>
        </w:tc>
        <w:tc>
          <w:tcPr>
            <w:tcW w:w="276" w:type="dxa"/>
            <w:shd w:val="clear" w:color="auto" w:fill="E2EFD9" w:themeFill="accent6" w:themeFillTint="33"/>
          </w:tcPr>
          <w:p w14:paraId="76CAD8A2" w14:textId="77777777"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6F8F26DB" w14:textId="77777777" w:rsidR="00A86140" w:rsidRPr="00641640" w:rsidRDefault="00793347"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Plotësimi i kuadrit rregullator për etikën, në zbatim të ligjit nr. 152/2013 dhe VKM nr. 874/2021</w:t>
            </w:r>
            <w:r w:rsidR="000B63B5" w:rsidRPr="00641640">
              <w:rPr>
                <w:rFonts w:ascii="Times New Roman" w:hAnsi="Times New Roman" w:cs="Times New Roman"/>
                <w:noProof/>
                <w:sz w:val="18"/>
                <w:szCs w:val="18"/>
                <w:lang w:val="sq-AL"/>
              </w:rPr>
              <w:t>.</w:t>
            </w:r>
          </w:p>
          <w:p w14:paraId="5EE5BAC8" w14:textId="1BA9A1B4" w:rsidR="000B63B5" w:rsidRPr="00641640" w:rsidRDefault="000B63B5" w:rsidP="002C31DE">
            <w:pPr>
              <w:pStyle w:val="T-normal"/>
              <w:spacing w:line="276" w:lineRule="auto"/>
              <w:jc w:val="both"/>
              <w:rPr>
                <w:rFonts w:ascii="Times New Roman" w:hAnsi="Times New Roman" w:cs="Times New Roman"/>
                <w:noProof/>
                <w:sz w:val="8"/>
                <w:szCs w:val="8"/>
                <w:lang w:val="sq-AL"/>
              </w:rPr>
            </w:pPr>
          </w:p>
        </w:tc>
      </w:tr>
      <w:tr w:rsidR="00A86140" w:rsidRPr="00641640" w14:paraId="485CE609" w14:textId="77777777" w:rsidTr="005001B7">
        <w:tc>
          <w:tcPr>
            <w:tcW w:w="1165" w:type="dxa"/>
            <w:shd w:val="clear" w:color="auto" w:fill="E2EFD9" w:themeFill="accent6" w:themeFillTint="33"/>
          </w:tcPr>
          <w:p w14:paraId="3A0F10D7" w14:textId="44BBB8C3"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612039" w:rsidRPr="00641640">
              <w:rPr>
                <w:rFonts w:ascii="Times New Roman" w:hAnsi="Times New Roman" w:cs="Times New Roman"/>
                <w:noProof/>
                <w:sz w:val="18"/>
                <w:szCs w:val="18"/>
                <w:lang w:val="sq-AL"/>
              </w:rPr>
              <w:t>2</w:t>
            </w:r>
            <w:r w:rsidRPr="00641640">
              <w:rPr>
                <w:rFonts w:ascii="Times New Roman" w:hAnsi="Times New Roman" w:cs="Times New Roman"/>
                <w:noProof/>
                <w:sz w:val="18"/>
                <w:szCs w:val="18"/>
                <w:lang w:val="sq-AL"/>
              </w:rPr>
              <w:t>.2.6</w:t>
            </w:r>
          </w:p>
        </w:tc>
        <w:tc>
          <w:tcPr>
            <w:tcW w:w="276" w:type="dxa"/>
            <w:shd w:val="clear" w:color="auto" w:fill="E2EFD9" w:themeFill="accent6" w:themeFillTint="33"/>
          </w:tcPr>
          <w:p w14:paraId="6F05DF18" w14:textId="31542879" w:rsidR="00A86140" w:rsidRPr="00641640" w:rsidRDefault="00DA0C3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6708BBDD" w14:textId="77777777" w:rsidR="00A86140" w:rsidRPr="00641640" w:rsidRDefault="00793347"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Përmirësimi i kapaciteteve të DAP dhe institucioneve publike për monitorimin e zbatimit në praktikë të rregullave të etikës nga nëpunësit e administratës publike.</w:t>
            </w:r>
          </w:p>
          <w:p w14:paraId="4F4C9780" w14:textId="0B4464E6" w:rsidR="000B63B5" w:rsidRPr="00641640" w:rsidRDefault="000B63B5" w:rsidP="002C31DE">
            <w:pPr>
              <w:pStyle w:val="T-normal"/>
              <w:spacing w:line="276" w:lineRule="auto"/>
              <w:jc w:val="both"/>
              <w:rPr>
                <w:rFonts w:ascii="Times New Roman" w:hAnsi="Times New Roman" w:cs="Times New Roman"/>
                <w:noProof/>
                <w:sz w:val="8"/>
                <w:szCs w:val="8"/>
                <w:lang w:val="sq-AL"/>
              </w:rPr>
            </w:pPr>
          </w:p>
        </w:tc>
      </w:tr>
      <w:tr w:rsidR="00E63AC4" w:rsidRPr="00641640" w14:paraId="0CA00720" w14:textId="77777777" w:rsidTr="005001B7">
        <w:tc>
          <w:tcPr>
            <w:tcW w:w="1165" w:type="dxa"/>
            <w:shd w:val="clear" w:color="auto" w:fill="E2EFD9" w:themeFill="accent6" w:themeFillTint="33"/>
          </w:tcPr>
          <w:p w14:paraId="340D88BD" w14:textId="1860B144" w:rsidR="00E63AC4" w:rsidRPr="00641640" w:rsidRDefault="00E63AC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2.2.</w:t>
            </w:r>
            <w:r w:rsidR="00DA0C30" w:rsidRPr="00641640">
              <w:rPr>
                <w:rFonts w:ascii="Times New Roman" w:hAnsi="Times New Roman" w:cs="Times New Roman"/>
                <w:noProof/>
                <w:sz w:val="18"/>
                <w:szCs w:val="18"/>
                <w:lang w:val="sq-AL"/>
              </w:rPr>
              <w:t>7</w:t>
            </w:r>
          </w:p>
        </w:tc>
        <w:tc>
          <w:tcPr>
            <w:tcW w:w="276" w:type="dxa"/>
            <w:shd w:val="clear" w:color="auto" w:fill="E2EFD9" w:themeFill="accent6" w:themeFillTint="33"/>
          </w:tcPr>
          <w:p w14:paraId="0643934E" w14:textId="04A169A6" w:rsidR="00E63AC4" w:rsidRPr="00641640" w:rsidRDefault="00DA0C3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2FBCEBE7" w14:textId="77777777" w:rsidR="00E63AC4" w:rsidRPr="00641640" w:rsidRDefault="007A0659"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Zbatimi i programeve të posaçme me synim tërheqjen e nëpunësve civilë të kualifikuar.</w:t>
            </w:r>
          </w:p>
          <w:p w14:paraId="6976C63D" w14:textId="077BB12C" w:rsidR="000B63B5" w:rsidRPr="00641640" w:rsidRDefault="000B63B5" w:rsidP="002C31DE">
            <w:pPr>
              <w:pStyle w:val="T-normal"/>
              <w:spacing w:line="276" w:lineRule="auto"/>
              <w:jc w:val="both"/>
              <w:rPr>
                <w:rFonts w:ascii="Times New Roman" w:hAnsi="Times New Roman" w:cs="Times New Roman"/>
                <w:noProof/>
                <w:sz w:val="8"/>
                <w:szCs w:val="8"/>
                <w:lang w:val="sq-AL"/>
              </w:rPr>
            </w:pPr>
          </w:p>
        </w:tc>
      </w:tr>
      <w:tr w:rsidR="00E63AC4" w:rsidRPr="00641640" w14:paraId="67ADE6F0" w14:textId="77777777" w:rsidTr="005001B7">
        <w:tc>
          <w:tcPr>
            <w:tcW w:w="1165" w:type="dxa"/>
            <w:shd w:val="clear" w:color="auto" w:fill="E2EFD9" w:themeFill="accent6" w:themeFillTint="33"/>
          </w:tcPr>
          <w:p w14:paraId="264B6626" w14:textId="371CA671" w:rsidR="00E63AC4" w:rsidRPr="00641640" w:rsidRDefault="00E63AC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2.2.</w:t>
            </w:r>
            <w:r w:rsidR="00DA0C30" w:rsidRPr="00641640">
              <w:rPr>
                <w:rFonts w:ascii="Times New Roman" w:hAnsi="Times New Roman" w:cs="Times New Roman"/>
                <w:noProof/>
                <w:sz w:val="18"/>
                <w:szCs w:val="18"/>
                <w:lang w:val="sq-AL"/>
              </w:rPr>
              <w:t>8</w:t>
            </w:r>
          </w:p>
        </w:tc>
        <w:tc>
          <w:tcPr>
            <w:tcW w:w="276" w:type="dxa"/>
            <w:shd w:val="clear" w:color="auto" w:fill="E2EFD9" w:themeFill="accent6" w:themeFillTint="33"/>
          </w:tcPr>
          <w:p w14:paraId="359A7707" w14:textId="3F5EC7EB" w:rsidR="00E63AC4" w:rsidRPr="00641640" w:rsidRDefault="00DA0C3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4FE00DEB" w14:textId="6182C138" w:rsidR="00E63AC4" w:rsidRPr="00641640" w:rsidRDefault="007A0659"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Konsolidimi i praktikave të rregullta promovuese të kapitalit njerëzor profesional dhe me integritet të administratës publike</w:t>
            </w:r>
            <w:r w:rsidR="000B63B5" w:rsidRPr="00641640">
              <w:rPr>
                <w:rFonts w:ascii="Times New Roman" w:hAnsi="Times New Roman" w:cs="Times New Roman"/>
                <w:noProof/>
                <w:sz w:val="18"/>
                <w:szCs w:val="18"/>
                <w:lang w:val="sq-AL"/>
              </w:rPr>
              <w:t>.</w:t>
            </w:r>
          </w:p>
          <w:p w14:paraId="01D51C5E" w14:textId="2408EFC8" w:rsidR="000B63B5" w:rsidRPr="00641640" w:rsidRDefault="000B63B5" w:rsidP="002C31DE">
            <w:pPr>
              <w:pStyle w:val="T-normal"/>
              <w:spacing w:line="276" w:lineRule="auto"/>
              <w:jc w:val="both"/>
              <w:rPr>
                <w:rFonts w:ascii="Times New Roman" w:hAnsi="Times New Roman" w:cs="Times New Roman"/>
                <w:noProof/>
                <w:sz w:val="8"/>
                <w:szCs w:val="8"/>
                <w:lang w:val="sq-AL"/>
              </w:rPr>
            </w:pPr>
          </w:p>
        </w:tc>
      </w:tr>
      <w:tr w:rsidR="00E63AC4" w:rsidRPr="00641640" w14:paraId="54A66AC0" w14:textId="77777777" w:rsidTr="005001B7">
        <w:tc>
          <w:tcPr>
            <w:tcW w:w="1165" w:type="dxa"/>
            <w:shd w:val="clear" w:color="auto" w:fill="E2EFD9" w:themeFill="accent6" w:themeFillTint="33"/>
          </w:tcPr>
          <w:p w14:paraId="72794E6E" w14:textId="2480F43D" w:rsidR="00E63AC4" w:rsidRPr="00641640" w:rsidRDefault="00E63AC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2.2.</w:t>
            </w:r>
            <w:r w:rsidR="00DA0C30" w:rsidRPr="00641640">
              <w:rPr>
                <w:rFonts w:ascii="Times New Roman" w:hAnsi="Times New Roman" w:cs="Times New Roman"/>
                <w:noProof/>
                <w:sz w:val="18"/>
                <w:szCs w:val="18"/>
                <w:lang w:val="sq-AL"/>
              </w:rPr>
              <w:t>9</w:t>
            </w:r>
          </w:p>
        </w:tc>
        <w:tc>
          <w:tcPr>
            <w:tcW w:w="276" w:type="dxa"/>
            <w:shd w:val="clear" w:color="auto" w:fill="E2EFD9" w:themeFill="accent6" w:themeFillTint="33"/>
          </w:tcPr>
          <w:p w14:paraId="32C2CEB8" w14:textId="32284835" w:rsidR="00E63AC4" w:rsidRPr="00641640" w:rsidRDefault="00DA0C3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30178C65" w14:textId="77777777" w:rsidR="00E63AC4" w:rsidRPr="00641640" w:rsidRDefault="007A0659"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Zbatimi gradual i modalitetit të punës hibride në institucionet publike, në përputhje me standardet evropiane dhe praktikat më të mira ndërkombëtare.</w:t>
            </w:r>
          </w:p>
          <w:p w14:paraId="76812CF3" w14:textId="3EC3E203" w:rsidR="000B63B5" w:rsidRPr="00641640" w:rsidRDefault="000B63B5" w:rsidP="002C31DE">
            <w:pPr>
              <w:pStyle w:val="T-normal"/>
              <w:spacing w:line="276" w:lineRule="auto"/>
              <w:jc w:val="both"/>
              <w:rPr>
                <w:rFonts w:ascii="Times New Roman" w:hAnsi="Times New Roman" w:cs="Times New Roman"/>
                <w:noProof/>
                <w:sz w:val="8"/>
                <w:szCs w:val="8"/>
                <w:lang w:val="sq-AL"/>
              </w:rPr>
            </w:pPr>
          </w:p>
        </w:tc>
      </w:tr>
      <w:tr w:rsidR="00E63AC4" w:rsidRPr="00641640" w14:paraId="3E196A26" w14:textId="77777777" w:rsidTr="005001B7">
        <w:tc>
          <w:tcPr>
            <w:tcW w:w="1165" w:type="dxa"/>
            <w:shd w:val="clear" w:color="auto" w:fill="E2EFD9" w:themeFill="accent6" w:themeFillTint="33"/>
          </w:tcPr>
          <w:p w14:paraId="0F5A26FD" w14:textId="6A5F5069" w:rsidR="00E63AC4" w:rsidRPr="00641640" w:rsidRDefault="00E63AC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2.2.</w:t>
            </w:r>
            <w:r w:rsidR="00DA0C30" w:rsidRPr="00641640">
              <w:rPr>
                <w:rFonts w:ascii="Times New Roman" w:hAnsi="Times New Roman" w:cs="Times New Roman"/>
                <w:noProof/>
                <w:sz w:val="18"/>
                <w:szCs w:val="18"/>
                <w:lang w:val="sq-AL"/>
              </w:rPr>
              <w:t>10</w:t>
            </w:r>
          </w:p>
        </w:tc>
        <w:tc>
          <w:tcPr>
            <w:tcW w:w="276" w:type="dxa"/>
            <w:shd w:val="clear" w:color="auto" w:fill="E2EFD9" w:themeFill="accent6" w:themeFillTint="33"/>
          </w:tcPr>
          <w:p w14:paraId="10966638" w14:textId="4E66D7D2" w:rsidR="00E63AC4" w:rsidRPr="00641640" w:rsidRDefault="00DA0C3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31D50A60" w14:textId="77777777" w:rsidR="00E63AC4" w:rsidRPr="00641640" w:rsidRDefault="000B63B5"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Rritja e atraksionit të shërbimit në sektorin publik, përmes garantimit të aksesit preferencial në shërbime dhe aktivitete për nëpunësit e administratës publike.</w:t>
            </w:r>
          </w:p>
          <w:p w14:paraId="74DC2F8F" w14:textId="747F635E" w:rsidR="000B63B5" w:rsidRPr="00641640" w:rsidRDefault="000B63B5" w:rsidP="002C31DE">
            <w:pPr>
              <w:pStyle w:val="T-normal"/>
              <w:spacing w:line="276" w:lineRule="auto"/>
              <w:jc w:val="both"/>
              <w:rPr>
                <w:rFonts w:ascii="Times New Roman" w:hAnsi="Times New Roman" w:cs="Times New Roman"/>
                <w:noProof/>
                <w:sz w:val="8"/>
                <w:szCs w:val="8"/>
                <w:lang w:val="sq-AL"/>
              </w:rPr>
            </w:pPr>
          </w:p>
        </w:tc>
      </w:tr>
      <w:tr w:rsidR="00E63AC4" w:rsidRPr="00641640" w14:paraId="2CD81DF4" w14:textId="77777777" w:rsidTr="005001B7">
        <w:tc>
          <w:tcPr>
            <w:tcW w:w="1165" w:type="dxa"/>
            <w:shd w:val="clear" w:color="auto" w:fill="E2EFD9" w:themeFill="accent6" w:themeFillTint="33"/>
          </w:tcPr>
          <w:p w14:paraId="03A0EA00" w14:textId="2AB5FAD9" w:rsidR="00E63AC4" w:rsidRPr="00641640" w:rsidRDefault="00E63AC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2.2.</w:t>
            </w:r>
            <w:r w:rsidR="00DA0C30" w:rsidRPr="00641640">
              <w:rPr>
                <w:rFonts w:ascii="Times New Roman" w:hAnsi="Times New Roman" w:cs="Times New Roman"/>
                <w:noProof/>
                <w:sz w:val="18"/>
                <w:szCs w:val="18"/>
                <w:lang w:val="sq-AL"/>
              </w:rPr>
              <w:t>11</w:t>
            </w:r>
          </w:p>
        </w:tc>
        <w:tc>
          <w:tcPr>
            <w:tcW w:w="276" w:type="dxa"/>
            <w:shd w:val="clear" w:color="auto" w:fill="E2EFD9" w:themeFill="accent6" w:themeFillTint="33"/>
          </w:tcPr>
          <w:p w14:paraId="4F3DC19D" w14:textId="5A726077" w:rsidR="00E63AC4" w:rsidRPr="00641640" w:rsidRDefault="00DA0C3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5D84E52F" w14:textId="77777777" w:rsidR="00E63AC4" w:rsidRPr="00641640" w:rsidRDefault="000B63B5"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Promovimi i rolit të shërbimit civil dhe administratës publike si punëdhënës i besueshëm, tërheqës dhe konkurrues.</w:t>
            </w:r>
          </w:p>
          <w:p w14:paraId="0F39860B" w14:textId="259BBD1E" w:rsidR="000B63B5" w:rsidRPr="00641640" w:rsidRDefault="000B63B5" w:rsidP="002C31DE">
            <w:pPr>
              <w:pStyle w:val="T-normal"/>
              <w:spacing w:line="276" w:lineRule="auto"/>
              <w:jc w:val="both"/>
              <w:rPr>
                <w:rFonts w:ascii="Times New Roman" w:hAnsi="Times New Roman" w:cs="Times New Roman"/>
                <w:noProof/>
                <w:sz w:val="8"/>
                <w:szCs w:val="8"/>
                <w:lang w:val="sq-AL"/>
              </w:rPr>
            </w:pPr>
          </w:p>
        </w:tc>
      </w:tr>
      <w:tr w:rsidR="00A86140" w:rsidRPr="00641640" w14:paraId="0D6A2B40" w14:textId="77777777" w:rsidTr="005001B7">
        <w:tc>
          <w:tcPr>
            <w:tcW w:w="9350" w:type="dxa"/>
            <w:gridSpan w:val="4"/>
            <w:shd w:val="clear" w:color="auto" w:fill="E2EFD9" w:themeFill="accent6" w:themeFillTint="33"/>
          </w:tcPr>
          <w:p w14:paraId="0B55AABA" w14:textId="77777777" w:rsidR="00A86140" w:rsidRPr="00641640" w:rsidRDefault="00A86140" w:rsidP="001E150B">
            <w:pPr>
              <w:pStyle w:val="T-normal"/>
              <w:spacing w:line="276" w:lineRule="auto"/>
              <w:jc w:val="both"/>
              <w:rPr>
                <w:rFonts w:ascii="Times New Roman" w:hAnsi="Times New Roman" w:cs="Times New Roman"/>
                <w:noProof/>
                <w:color w:val="003300"/>
                <w:sz w:val="18"/>
                <w:szCs w:val="18"/>
                <w:lang w:val="sq-AL"/>
              </w:rPr>
            </w:pPr>
          </w:p>
          <w:p w14:paraId="0950A11C" w14:textId="0C525530" w:rsidR="001E150B" w:rsidRPr="00641640" w:rsidRDefault="001E150B" w:rsidP="001E150B">
            <w:pPr>
              <w:pStyle w:val="T-normal"/>
              <w:spacing w:line="276" w:lineRule="auto"/>
              <w:jc w:val="both"/>
              <w:rPr>
                <w:rFonts w:ascii="Times New Roman" w:hAnsi="Times New Roman" w:cs="Times New Roman"/>
                <w:b/>
                <w:bCs/>
                <w:i/>
                <w:noProof/>
                <w:color w:val="C45911" w:themeColor="accent2" w:themeShade="BF"/>
                <w:sz w:val="18"/>
                <w:szCs w:val="18"/>
                <w:lang w:val="sq-AL"/>
              </w:rPr>
            </w:pPr>
            <w:r w:rsidRPr="00641640">
              <w:rPr>
                <w:rFonts w:ascii="Times New Roman" w:hAnsi="Times New Roman" w:cs="Times New Roman"/>
                <w:b/>
                <w:bCs/>
                <w:i/>
                <w:noProof/>
                <w:color w:val="C45911" w:themeColor="accent2" w:themeShade="BF"/>
                <w:sz w:val="18"/>
                <w:szCs w:val="18"/>
                <w:lang w:val="sq-AL"/>
              </w:rPr>
              <w:t>Komponenti 2.3</w:t>
            </w:r>
            <w:r w:rsidR="009E2B32" w:rsidRPr="00641640">
              <w:rPr>
                <w:rFonts w:ascii="Times New Roman" w:hAnsi="Times New Roman" w:cs="Times New Roman"/>
                <w:b/>
                <w:bCs/>
                <w:i/>
                <w:noProof/>
                <w:color w:val="C45911" w:themeColor="accent2" w:themeShade="BF"/>
                <w:sz w:val="18"/>
                <w:szCs w:val="18"/>
                <w:lang w:val="sq-AL"/>
              </w:rPr>
              <w:t>:</w:t>
            </w:r>
            <w:r w:rsidRPr="00641640">
              <w:rPr>
                <w:rFonts w:ascii="Times New Roman" w:hAnsi="Times New Roman" w:cs="Times New Roman"/>
                <w:b/>
                <w:bCs/>
                <w:i/>
                <w:noProof/>
                <w:color w:val="C45911" w:themeColor="accent2" w:themeShade="BF"/>
                <w:sz w:val="18"/>
                <w:szCs w:val="18"/>
                <w:lang w:val="sq-AL"/>
              </w:rPr>
              <w:t xml:space="preserve"> Rritja e kapaciteteve të administratës publike</w:t>
            </w:r>
          </w:p>
          <w:p w14:paraId="2EF1CD9F" w14:textId="70836860" w:rsidR="00754D47" w:rsidRPr="00641640" w:rsidRDefault="00754D47" w:rsidP="001E150B">
            <w:pPr>
              <w:pStyle w:val="T-normal"/>
              <w:spacing w:line="276" w:lineRule="auto"/>
              <w:jc w:val="both"/>
              <w:rPr>
                <w:rFonts w:ascii="Times New Roman" w:hAnsi="Times New Roman" w:cs="Times New Roman"/>
                <w:noProof/>
                <w:color w:val="003300"/>
                <w:sz w:val="10"/>
                <w:szCs w:val="10"/>
                <w:lang w:val="sq-AL"/>
              </w:rPr>
            </w:pPr>
          </w:p>
        </w:tc>
      </w:tr>
      <w:tr w:rsidR="00A86140" w:rsidRPr="00641640" w14:paraId="74B9F14D" w14:textId="77777777" w:rsidTr="005001B7">
        <w:tc>
          <w:tcPr>
            <w:tcW w:w="1975" w:type="dxa"/>
            <w:gridSpan w:val="3"/>
            <w:shd w:val="clear" w:color="auto" w:fill="E2EFD9" w:themeFill="accent6" w:themeFillTint="33"/>
          </w:tcPr>
          <w:p w14:paraId="3D09EB99" w14:textId="5395C712" w:rsidR="00A86140" w:rsidRPr="00641640" w:rsidRDefault="00A86140" w:rsidP="002C31DE">
            <w:pPr>
              <w:pStyle w:val="T-normal"/>
              <w:spacing w:line="276" w:lineRule="auto"/>
              <w:jc w:val="both"/>
              <w:rPr>
                <w:rFonts w:ascii="Times New Roman" w:hAnsi="Times New Roman" w:cs="Times New Roman"/>
                <w:noProof/>
                <w:color w:val="003300"/>
                <w:sz w:val="18"/>
                <w:szCs w:val="18"/>
                <w:lang w:val="sq-AL"/>
              </w:rPr>
            </w:pPr>
            <w:r w:rsidRPr="00641640">
              <w:rPr>
                <w:rFonts w:ascii="Times New Roman" w:hAnsi="Times New Roman" w:cs="Times New Roman"/>
                <w:b/>
                <w:bCs/>
                <w:noProof/>
                <w:color w:val="003300"/>
                <w:sz w:val="18"/>
                <w:szCs w:val="18"/>
                <w:lang w:val="sq-AL"/>
              </w:rPr>
              <w:t xml:space="preserve">Ojektivi Specifik </w:t>
            </w:r>
            <w:r w:rsidR="00723AF1" w:rsidRPr="00641640">
              <w:rPr>
                <w:rFonts w:ascii="Times New Roman" w:hAnsi="Times New Roman" w:cs="Times New Roman"/>
                <w:b/>
                <w:bCs/>
                <w:noProof/>
                <w:color w:val="003300"/>
                <w:sz w:val="18"/>
                <w:szCs w:val="18"/>
                <w:lang w:val="sq-AL"/>
              </w:rPr>
              <w:t>2</w:t>
            </w:r>
            <w:r w:rsidRPr="00641640">
              <w:rPr>
                <w:rFonts w:ascii="Times New Roman" w:hAnsi="Times New Roman" w:cs="Times New Roman"/>
                <w:b/>
                <w:bCs/>
                <w:noProof/>
                <w:color w:val="003300"/>
                <w:sz w:val="18"/>
                <w:szCs w:val="18"/>
                <w:lang w:val="sq-AL"/>
              </w:rPr>
              <w:t>.3:</w:t>
            </w:r>
          </w:p>
        </w:tc>
        <w:tc>
          <w:tcPr>
            <w:tcW w:w="7375" w:type="dxa"/>
            <w:shd w:val="clear" w:color="auto" w:fill="E2EFD9" w:themeFill="accent6" w:themeFillTint="33"/>
          </w:tcPr>
          <w:p w14:paraId="40A03302" w14:textId="06775D19" w:rsidR="00A86140" w:rsidRPr="00641640" w:rsidRDefault="000C63DD" w:rsidP="002C31DE">
            <w:pPr>
              <w:pStyle w:val="T-normal"/>
              <w:spacing w:line="276" w:lineRule="auto"/>
              <w:jc w:val="both"/>
              <w:rPr>
                <w:rFonts w:ascii="Times New Roman" w:hAnsi="Times New Roman" w:cs="Times New Roman"/>
                <w:b/>
                <w:bCs/>
                <w:noProof/>
                <w:color w:val="003300"/>
                <w:sz w:val="18"/>
                <w:szCs w:val="18"/>
                <w:lang w:val="sq-AL"/>
              </w:rPr>
            </w:pPr>
            <w:r w:rsidRPr="00641640">
              <w:rPr>
                <w:rFonts w:ascii="Times New Roman" w:hAnsi="Times New Roman" w:cs="Times New Roman"/>
                <w:b/>
                <w:bCs/>
                <w:noProof/>
                <w:color w:val="003300"/>
                <w:sz w:val="18"/>
                <w:szCs w:val="18"/>
                <w:lang w:val="sq-AL"/>
              </w:rPr>
              <w:t>Investimi në zhvillimin profesional të nëpunësve të të gjitha niveleve të administratës publike për të mbështetur dhe avancuar agjendën kombëtare të integrimit evropian të Shqipërisë</w:t>
            </w:r>
            <w:r w:rsidR="00A86140" w:rsidRPr="00641640">
              <w:rPr>
                <w:rFonts w:ascii="Times New Roman" w:hAnsi="Times New Roman" w:cs="Times New Roman"/>
                <w:b/>
                <w:bCs/>
                <w:noProof/>
                <w:color w:val="003300"/>
                <w:sz w:val="18"/>
                <w:szCs w:val="18"/>
                <w:lang w:val="sq-AL"/>
              </w:rPr>
              <w:t>.</w:t>
            </w:r>
          </w:p>
          <w:p w14:paraId="5CD1B92E" w14:textId="77777777" w:rsidR="00A86140" w:rsidRPr="00641640" w:rsidRDefault="00A86140" w:rsidP="002C31DE">
            <w:pPr>
              <w:pStyle w:val="T-normal"/>
              <w:spacing w:line="276" w:lineRule="auto"/>
              <w:jc w:val="both"/>
              <w:rPr>
                <w:rFonts w:ascii="Times New Roman" w:hAnsi="Times New Roman" w:cs="Times New Roman"/>
                <w:noProof/>
                <w:color w:val="003300"/>
                <w:sz w:val="12"/>
                <w:szCs w:val="12"/>
                <w:lang w:val="sq-AL"/>
              </w:rPr>
            </w:pPr>
          </w:p>
        </w:tc>
      </w:tr>
      <w:tr w:rsidR="00A86140" w:rsidRPr="00641640" w14:paraId="5F036747" w14:textId="77777777" w:rsidTr="005001B7">
        <w:tc>
          <w:tcPr>
            <w:tcW w:w="1165" w:type="dxa"/>
            <w:shd w:val="clear" w:color="auto" w:fill="E2EFD9" w:themeFill="accent6" w:themeFillTint="33"/>
          </w:tcPr>
          <w:p w14:paraId="6668A2BD" w14:textId="213D7C17"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6B218B" w:rsidRPr="00641640">
              <w:rPr>
                <w:rFonts w:ascii="Times New Roman" w:hAnsi="Times New Roman" w:cs="Times New Roman"/>
                <w:noProof/>
                <w:sz w:val="18"/>
                <w:szCs w:val="18"/>
                <w:lang w:val="sq-AL"/>
              </w:rPr>
              <w:t>2</w:t>
            </w:r>
            <w:r w:rsidRPr="00641640">
              <w:rPr>
                <w:rFonts w:ascii="Times New Roman" w:hAnsi="Times New Roman" w:cs="Times New Roman"/>
                <w:noProof/>
                <w:sz w:val="18"/>
                <w:szCs w:val="18"/>
                <w:lang w:val="sq-AL"/>
              </w:rPr>
              <w:t>.3.1</w:t>
            </w:r>
          </w:p>
        </w:tc>
        <w:tc>
          <w:tcPr>
            <w:tcW w:w="276" w:type="dxa"/>
            <w:shd w:val="clear" w:color="auto" w:fill="E2EFD9" w:themeFill="accent6" w:themeFillTint="33"/>
          </w:tcPr>
          <w:p w14:paraId="57382358" w14:textId="77777777"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2FC20B9A" w14:textId="77777777" w:rsidR="00A86140" w:rsidRPr="00641640" w:rsidRDefault="00E61DFF"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Hartimi dhe zbatimi efikas i modelit ekonomik të ASPA-s në ofrimin e trajnimeve për të tretët në përputhje me kuadrin ligjor dhe atë rregullator.</w:t>
            </w:r>
          </w:p>
          <w:p w14:paraId="1FB0DC62" w14:textId="7CC22DE0" w:rsidR="005E1E35" w:rsidRPr="00641640" w:rsidRDefault="005E1E35" w:rsidP="002C31DE">
            <w:pPr>
              <w:pStyle w:val="T-normal"/>
              <w:spacing w:line="276" w:lineRule="auto"/>
              <w:jc w:val="both"/>
              <w:rPr>
                <w:rFonts w:ascii="Times New Roman" w:hAnsi="Times New Roman" w:cs="Times New Roman"/>
                <w:noProof/>
                <w:sz w:val="8"/>
                <w:szCs w:val="8"/>
                <w:lang w:val="sq-AL"/>
              </w:rPr>
            </w:pPr>
          </w:p>
        </w:tc>
      </w:tr>
      <w:tr w:rsidR="00A86140" w:rsidRPr="00641640" w14:paraId="3048A636" w14:textId="77777777" w:rsidTr="005001B7">
        <w:tc>
          <w:tcPr>
            <w:tcW w:w="1165" w:type="dxa"/>
            <w:shd w:val="clear" w:color="auto" w:fill="E2EFD9" w:themeFill="accent6" w:themeFillTint="33"/>
          </w:tcPr>
          <w:p w14:paraId="209DFA2B" w14:textId="57158D27"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6B218B" w:rsidRPr="00641640">
              <w:rPr>
                <w:rFonts w:ascii="Times New Roman" w:hAnsi="Times New Roman" w:cs="Times New Roman"/>
                <w:noProof/>
                <w:sz w:val="18"/>
                <w:szCs w:val="18"/>
                <w:lang w:val="sq-AL"/>
              </w:rPr>
              <w:t>2</w:t>
            </w:r>
            <w:r w:rsidRPr="00641640">
              <w:rPr>
                <w:rFonts w:ascii="Times New Roman" w:hAnsi="Times New Roman" w:cs="Times New Roman"/>
                <w:noProof/>
                <w:sz w:val="18"/>
                <w:szCs w:val="18"/>
                <w:lang w:val="sq-AL"/>
              </w:rPr>
              <w:t>.3.2</w:t>
            </w:r>
          </w:p>
        </w:tc>
        <w:tc>
          <w:tcPr>
            <w:tcW w:w="276" w:type="dxa"/>
            <w:shd w:val="clear" w:color="auto" w:fill="E2EFD9" w:themeFill="accent6" w:themeFillTint="33"/>
          </w:tcPr>
          <w:p w14:paraId="67930242" w14:textId="77777777"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41A37AEB" w14:textId="77777777" w:rsidR="00A86140" w:rsidRPr="00641640" w:rsidRDefault="00CF18F6"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Rishikimi i kritereve për përzgjedhjen e trajnerëve dhe masës së pagesës së tyre, me synim tërheqjen e ekspertëve më të mirë në fushat përkatëse, si dhe rritjen e atraksionit të ofertës së trajnimit pranë ASPA-s.</w:t>
            </w:r>
          </w:p>
          <w:p w14:paraId="0DCA987D" w14:textId="44225F2D" w:rsidR="005E1E35" w:rsidRPr="00641640" w:rsidRDefault="005E1E35" w:rsidP="002C31DE">
            <w:pPr>
              <w:pStyle w:val="T-normal"/>
              <w:spacing w:line="276" w:lineRule="auto"/>
              <w:jc w:val="both"/>
              <w:rPr>
                <w:rFonts w:ascii="Times New Roman" w:hAnsi="Times New Roman" w:cs="Times New Roman"/>
                <w:noProof/>
                <w:sz w:val="8"/>
                <w:szCs w:val="8"/>
                <w:lang w:val="sq-AL"/>
              </w:rPr>
            </w:pPr>
          </w:p>
        </w:tc>
      </w:tr>
      <w:tr w:rsidR="00A86140" w:rsidRPr="00641640" w14:paraId="210250C7" w14:textId="77777777" w:rsidTr="005001B7">
        <w:tc>
          <w:tcPr>
            <w:tcW w:w="1165" w:type="dxa"/>
            <w:shd w:val="clear" w:color="auto" w:fill="E2EFD9" w:themeFill="accent6" w:themeFillTint="33"/>
          </w:tcPr>
          <w:p w14:paraId="6E1D454C" w14:textId="368A17E5"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6B218B" w:rsidRPr="00641640">
              <w:rPr>
                <w:rFonts w:ascii="Times New Roman" w:hAnsi="Times New Roman" w:cs="Times New Roman"/>
                <w:noProof/>
                <w:sz w:val="18"/>
                <w:szCs w:val="18"/>
                <w:lang w:val="sq-AL"/>
              </w:rPr>
              <w:t>2</w:t>
            </w:r>
            <w:r w:rsidRPr="00641640">
              <w:rPr>
                <w:rFonts w:ascii="Times New Roman" w:hAnsi="Times New Roman" w:cs="Times New Roman"/>
                <w:noProof/>
                <w:sz w:val="18"/>
                <w:szCs w:val="18"/>
                <w:lang w:val="sq-AL"/>
              </w:rPr>
              <w:t>.3.3</w:t>
            </w:r>
          </w:p>
        </w:tc>
        <w:tc>
          <w:tcPr>
            <w:tcW w:w="276" w:type="dxa"/>
            <w:shd w:val="clear" w:color="auto" w:fill="E2EFD9" w:themeFill="accent6" w:themeFillTint="33"/>
          </w:tcPr>
          <w:p w14:paraId="73F87316" w14:textId="77777777"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5D5E6D38" w14:textId="77777777" w:rsidR="00A86140" w:rsidRPr="00641640" w:rsidRDefault="00CF18F6"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Rishikimi i fondit të trajnimeve të ofruara nga ASPA, me fokus forcimin e kapaciteteve analitike, planifikuese dhe digjitale të nëpunësve, si dhe njohurive për procesin e integrimit evropian.</w:t>
            </w:r>
          </w:p>
          <w:p w14:paraId="1D640436" w14:textId="0BDD7885" w:rsidR="005E1E35" w:rsidRPr="00641640" w:rsidRDefault="005E1E35" w:rsidP="002C31DE">
            <w:pPr>
              <w:pStyle w:val="T-normal"/>
              <w:spacing w:line="276" w:lineRule="auto"/>
              <w:jc w:val="both"/>
              <w:rPr>
                <w:rFonts w:ascii="Times New Roman" w:hAnsi="Times New Roman" w:cs="Times New Roman"/>
                <w:noProof/>
                <w:sz w:val="8"/>
                <w:szCs w:val="8"/>
                <w:lang w:val="sq-AL"/>
              </w:rPr>
            </w:pPr>
          </w:p>
        </w:tc>
      </w:tr>
      <w:tr w:rsidR="00A86140" w:rsidRPr="00641640" w14:paraId="45D5E43F" w14:textId="77777777" w:rsidTr="005001B7">
        <w:tc>
          <w:tcPr>
            <w:tcW w:w="1165" w:type="dxa"/>
            <w:shd w:val="clear" w:color="auto" w:fill="E2EFD9" w:themeFill="accent6" w:themeFillTint="33"/>
          </w:tcPr>
          <w:p w14:paraId="70E1AEDE" w14:textId="69083D70"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6B218B" w:rsidRPr="00641640">
              <w:rPr>
                <w:rFonts w:ascii="Times New Roman" w:hAnsi="Times New Roman" w:cs="Times New Roman"/>
                <w:noProof/>
                <w:sz w:val="18"/>
                <w:szCs w:val="18"/>
                <w:lang w:val="sq-AL"/>
              </w:rPr>
              <w:t>2</w:t>
            </w:r>
            <w:r w:rsidRPr="00641640">
              <w:rPr>
                <w:rFonts w:ascii="Times New Roman" w:hAnsi="Times New Roman" w:cs="Times New Roman"/>
                <w:noProof/>
                <w:sz w:val="18"/>
                <w:szCs w:val="18"/>
                <w:lang w:val="sq-AL"/>
              </w:rPr>
              <w:t>.3.4</w:t>
            </w:r>
          </w:p>
        </w:tc>
        <w:tc>
          <w:tcPr>
            <w:tcW w:w="276" w:type="dxa"/>
            <w:shd w:val="clear" w:color="auto" w:fill="E2EFD9" w:themeFill="accent6" w:themeFillTint="33"/>
          </w:tcPr>
          <w:p w14:paraId="1CFE6CEB" w14:textId="77777777"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75CF0760" w14:textId="77777777" w:rsidR="00A86140" w:rsidRPr="00641640" w:rsidRDefault="00CF18F6"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Trajnim i dedikuar dhe periodik për përmirësimin e aftësive udhëheqëse dhe menaxheriale të drejtuesve të nivelit të mesëm dhe të lartë, me synim menaxhimin efikas të proceseve dhe burimeve njerëzore.</w:t>
            </w:r>
          </w:p>
          <w:p w14:paraId="67A526FF" w14:textId="37E3182E" w:rsidR="005E1E35" w:rsidRPr="00641640" w:rsidRDefault="005E1E35" w:rsidP="002C31DE">
            <w:pPr>
              <w:pStyle w:val="T-normal"/>
              <w:spacing w:line="276" w:lineRule="auto"/>
              <w:jc w:val="both"/>
              <w:rPr>
                <w:rFonts w:ascii="Times New Roman" w:hAnsi="Times New Roman" w:cs="Times New Roman"/>
                <w:noProof/>
                <w:sz w:val="8"/>
                <w:szCs w:val="8"/>
                <w:lang w:val="sq-AL"/>
              </w:rPr>
            </w:pPr>
          </w:p>
        </w:tc>
      </w:tr>
      <w:tr w:rsidR="00A86140" w:rsidRPr="00641640" w14:paraId="2B12CDB7" w14:textId="77777777" w:rsidTr="005001B7">
        <w:tc>
          <w:tcPr>
            <w:tcW w:w="1165" w:type="dxa"/>
            <w:shd w:val="clear" w:color="auto" w:fill="E2EFD9" w:themeFill="accent6" w:themeFillTint="33"/>
          </w:tcPr>
          <w:p w14:paraId="39A21609" w14:textId="7042C8B9"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6B218B" w:rsidRPr="00641640">
              <w:rPr>
                <w:rFonts w:ascii="Times New Roman" w:hAnsi="Times New Roman" w:cs="Times New Roman"/>
                <w:noProof/>
                <w:sz w:val="18"/>
                <w:szCs w:val="18"/>
                <w:lang w:val="sq-AL"/>
              </w:rPr>
              <w:t>2</w:t>
            </w:r>
            <w:r w:rsidRPr="00641640">
              <w:rPr>
                <w:rFonts w:ascii="Times New Roman" w:hAnsi="Times New Roman" w:cs="Times New Roman"/>
                <w:noProof/>
                <w:sz w:val="18"/>
                <w:szCs w:val="18"/>
                <w:lang w:val="sq-AL"/>
              </w:rPr>
              <w:t>.3.5</w:t>
            </w:r>
          </w:p>
        </w:tc>
        <w:tc>
          <w:tcPr>
            <w:tcW w:w="276" w:type="dxa"/>
            <w:shd w:val="clear" w:color="auto" w:fill="E2EFD9" w:themeFill="accent6" w:themeFillTint="33"/>
          </w:tcPr>
          <w:p w14:paraId="1A34263F" w14:textId="77777777"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1458536E" w14:textId="77777777" w:rsidR="00A86140" w:rsidRPr="00641640" w:rsidRDefault="00064C83"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Thellimi i bashkëpunimit të ASPA-s me institucionet homologe, autoritete të tjera dhe rrjete me ekspertizë në fushën e trajnimit të sektorit publik në BE dhe më gjerë.</w:t>
            </w:r>
          </w:p>
          <w:p w14:paraId="5DAC0398" w14:textId="5306F701" w:rsidR="005E1E35" w:rsidRPr="00641640" w:rsidRDefault="005E1E35" w:rsidP="002C31DE">
            <w:pPr>
              <w:pStyle w:val="T-normal"/>
              <w:spacing w:line="276" w:lineRule="auto"/>
              <w:jc w:val="both"/>
              <w:rPr>
                <w:rFonts w:ascii="Times New Roman" w:hAnsi="Times New Roman" w:cs="Times New Roman"/>
                <w:noProof/>
                <w:sz w:val="8"/>
                <w:szCs w:val="8"/>
                <w:lang w:val="sq-AL"/>
              </w:rPr>
            </w:pPr>
          </w:p>
        </w:tc>
      </w:tr>
      <w:tr w:rsidR="00A86140" w:rsidRPr="00641640" w14:paraId="3F9DBD96" w14:textId="77777777" w:rsidTr="005001B7">
        <w:tc>
          <w:tcPr>
            <w:tcW w:w="1165" w:type="dxa"/>
            <w:shd w:val="clear" w:color="auto" w:fill="E2EFD9" w:themeFill="accent6" w:themeFillTint="33"/>
          </w:tcPr>
          <w:p w14:paraId="0B6AA3C0" w14:textId="2AAEF659"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6B218B" w:rsidRPr="00641640">
              <w:rPr>
                <w:rFonts w:ascii="Times New Roman" w:hAnsi="Times New Roman" w:cs="Times New Roman"/>
                <w:noProof/>
                <w:sz w:val="18"/>
                <w:szCs w:val="18"/>
                <w:lang w:val="sq-AL"/>
              </w:rPr>
              <w:t>2</w:t>
            </w:r>
            <w:r w:rsidRPr="00641640">
              <w:rPr>
                <w:rFonts w:ascii="Times New Roman" w:hAnsi="Times New Roman" w:cs="Times New Roman"/>
                <w:noProof/>
                <w:sz w:val="18"/>
                <w:szCs w:val="18"/>
                <w:lang w:val="sq-AL"/>
              </w:rPr>
              <w:t>.3.6</w:t>
            </w:r>
          </w:p>
        </w:tc>
        <w:tc>
          <w:tcPr>
            <w:tcW w:w="276" w:type="dxa"/>
            <w:shd w:val="clear" w:color="auto" w:fill="E2EFD9" w:themeFill="accent6" w:themeFillTint="33"/>
          </w:tcPr>
          <w:p w14:paraId="1518AE0E" w14:textId="77777777"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6817D86A" w14:textId="77777777" w:rsidR="00A86140" w:rsidRPr="00641640" w:rsidRDefault="00064C83"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Miratimi dhe zbatimi i Udhërrëfyesit për Ndërtimin e Kapaciteteve Administrative, me synim garantimin e menaxhimit efikas të fondeve të BE-së nga momenti i aderimit të vendit në BE e në vijim.</w:t>
            </w:r>
          </w:p>
          <w:p w14:paraId="6EDA167D" w14:textId="227454B0" w:rsidR="005E1E35" w:rsidRPr="00641640" w:rsidRDefault="005E1E35" w:rsidP="002C31DE">
            <w:pPr>
              <w:pStyle w:val="T-normal"/>
              <w:spacing w:line="276" w:lineRule="auto"/>
              <w:jc w:val="both"/>
              <w:rPr>
                <w:rFonts w:ascii="Times New Roman" w:hAnsi="Times New Roman" w:cs="Times New Roman"/>
                <w:noProof/>
                <w:sz w:val="8"/>
                <w:szCs w:val="8"/>
                <w:lang w:val="sq-AL"/>
              </w:rPr>
            </w:pPr>
          </w:p>
        </w:tc>
      </w:tr>
      <w:tr w:rsidR="00A86140" w:rsidRPr="00641640" w14:paraId="1F33996F" w14:textId="77777777" w:rsidTr="005001B7">
        <w:tc>
          <w:tcPr>
            <w:tcW w:w="1165" w:type="dxa"/>
            <w:shd w:val="clear" w:color="auto" w:fill="E2EFD9" w:themeFill="accent6" w:themeFillTint="33"/>
          </w:tcPr>
          <w:p w14:paraId="217EE6DB" w14:textId="0B78506A"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6B218B" w:rsidRPr="00641640">
              <w:rPr>
                <w:rFonts w:ascii="Times New Roman" w:hAnsi="Times New Roman" w:cs="Times New Roman"/>
                <w:noProof/>
                <w:sz w:val="18"/>
                <w:szCs w:val="18"/>
                <w:lang w:val="sq-AL"/>
              </w:rPr>
              <w:t>2</w:t>
            </w:r>
            <w:r w:rsidRPr="00641640">
              <w:rPr>
                <w:rFonts w:ascii="Times New Roman" w:hAnsi="Times New Roman" w:cs="Times New Roman"/>
                <w:noProof/>
                <w:sz w:val="18"/>
                <w:szCs w:val="18"/>
                <w:lang w:val="sq-AL"/>
              </w:rPr>
              <w:t>.3.7</w:t>
            </w:r>
          </w:p>
        </w:tc>
        <w:tc>
          <w:tcPr>
            <w:tcW w:w="276" w:type="dxa"/>
            <w:shd w:val="clear" w:color="auto" w:fill="E2EFD9" w:themeFill="accent6" w:themeFillTint="33"/>
          </w:tcPr>
          <w:p w14:paraId="1C6B1E5A" w14:textId="77777777" w:rsidR="00A86140" w:rsidRPr="00641640" w:rsidRDefault="00A86140"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3840CDDF" w14:textId="77777777" w:rsidR="00A86140" w:rsidRPr="00641640" w:rsidRDefault="005E1E35"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Rishikimi i modelit të trajnimit fillestar.</w:t>
            </w:r>
          </w:p>
          <w:p w14:paraId="54781E6A" w14:textId="1814AE3D" w:rsidR="005E1E35" w:rsidRPr="00641640" w:rsidRDefault="005E1E35" w:rsidP="002C31DE">
            <w:pPr>
              <w:pStyle w:val="T-normal"/>
              <w:spacing w:line="276" w:lineRule="auto"/>
              <w:jc w:val="both"/>
              <w:rPr>
                <w:rFonts w:ascii="Times New Roman" w:hAnsi="Times New Roman" w:cs="Times New Roman"/>
                <w:noProof/>
                <w:sz w:val="8"/>
                <w:szCs w:val="8"/>
                <w:lang w:val="sq-AL"/>
              </w:rPr>
            </w:pPr>
          </w:p>
        </w:tc>
      </w:tr>
      <w:tr w:rsidR="003F563D" w:rsidRPr="00641640" w14:paraId="1AA98B73" w14:textId="77777777" w:rsidTr="005001B7">
        <w:tc>
          <w:tcPr>
            <w:tcW w:w="9350" w:type="dxa"/>
            <w:gridSpan w:val="4"/>
            <w:shd w:val="clear" w:color="auto" w:fill="E2EFD9" w:themeFill="accent6" w:themeFillTint="33"/>
          </w:tcPr>
          <w:p w14:paraId="749FD638" w14:textId="77777777" w:rsidR="003F563D" w:rsidRPr="00641640" w:rsidRDefault="003F563D" w:rsidP="002C31DE">
            <w:pPr>
              <w:pStyle w:val="T-normal"/>
              <w:spacing w:line="276" w:lineRule="auto"/>
              <w:jc w:val="both"/>
              <w:rPr>
                <w:rFonts w:ascii="Times New Roman" w:hAnsi="Times New Roman" w:cs="Times New Roman"/>
                <w:b/>
                <w:bCs/>
                <w:noProof/>
                <w:color w:val="003300"/>
                <w:sz w:val="18"/>
                <w:szCs w:val="18"/>
                <w:lang w:val="sq-AL"/>
              </w:rPr>
            </w:pPr>
          </w:p>
          <w:p w14:paraId="0113E758" w14:textId="77777777" w:rsidR="003F563D" w:rsidRPr="00641640" w:rsidRDefault="002D2478" w:rsidP="002D2478">
            <w:pPr>
              <w:shd w:val="clear" w:color="auto" w:fill="E2EFD9" w:themeFill="accent6" w:themeFillTint="33"/>
              <w:jc w:val="both"/>
              <w:rPr>
                <w:rFonts w:ascii="Times New Roman" w:hAnsi="Times New Roman" w:cs="Times New Roman"/>
                <w:b/>
                <w:bCs/>
                <w:i/>
                <w:noProof/>
                <w:color w:val="C45911" w:themeColor="accent2" w:themeShade="BF"/>
                <w:sz w:val="18"/>
                <w:szCs w:val="18"/>
                <w:lang w:val="sq-AL"/>
              </w:rPr>
            </w:pPr>
            <w:r w:rsidRPr="00641640">
              <w:rPr>
                <w:rFonts w:ascii="Times New Roman" w:hAnsi="Times New Roman" w:cs="Times New Roman"/>
                <w:b/>
                <w:bCs/>
                <w:i/>
                <w:noProof/>
                <w:color w:val="C45911" w:themeColor="accent2" w:themeShade="BF"/>
                <w:sz w:val="18"/>
                <w:szCs w:val="18"/>
                <w:lang w:val="sq-AL"/>
              </w:rPr>
              <w:t>Komponenti 2.4 Sistemet elektronike për menaxhimin e burimeve njerëzore</w:t>
            </w:r>
          </w:p>
          <w:p w14:paraId="3BE6A736" w14:textId="13DD8C7E" w:rsidR="009730C1" w:rsidRPr="00641640" w:rsidRDefault="009730C1" w:rsidP="002D2478">
            <w:pPr>
              <w:shd w:val="clear" w:color="auto" w:fill="E2EFD9" w:themeFill="accent6" w:themeFillTint="33"/>
              <w:jc w:val="both"/>
              <w:rPr>
                <w:rFonts w:ascii="Times New Roman" w:hAnsi="Times New Roman" w:cs="Times New Roman"/>
                <w:b/>
                <w:bCs/>
                <w:i/>
                <w:noProof/>
                <w:color w:val="003300"/>
                <w:sz w:val="10"/>
                <w:szCs w:val="10"/>
                <w:lang w:val="sq-AL"/>
              </w:rPr>
            </w:pPr>
          </w:p>
        </w:tc>
      </w:tr>
      <w:tr w:rsidR="000C63DD" w:rsidRPr="00641640" w14:paraId="0346E433" w14:textId="77777777" w:rsidTr="005001B7">
        <w:tc>
          <w:tcPr>
            <w:tcW w:w="1975" w:type="dxa"/>
            <w:gridSpan w:val="3"/>
            <w:shd w:val="clear" w:color="auto" w:fill="E2EFD9" w:themeFill="accent6" w:themeFillTint="33"/>
          </w:tcPr>
          <w:p w14:paraId="5C6BB5EE" w14:textId="18895B85" w:rsidR="000C63DD" w:rsidRPr="00641640" w:rsidRDefault="000C63DD" w:rsidP="002C31DE">
            <w:pPr>
              <w:pStyle w:val="T-normal"/>
              <w:spacing w:line="276" w:lineRule="auto"/>
              <w:jc w:val="both"/>
              <w:rPr>
                <w:rFonts w:ascii="Times New Roman" w:hAnsi="Times New Roman" w:cs="Times New Roman"/>
                <w:noProof/>
                <w:color w:val="003300"/>
                <w:sz w:val="18"/>
                <w:szCs w:val="18"/>
                <w:lang w:val="sq-AL"/>
              </w:rPr>
            </w:pPr>
            <w:r w:rsidRPr="00641640">
              <w:rPr>
                <w:rFonts w:ascii="Times New Roman" w:hAnsi="Times New Roman" w:cs="Times New Roman"/>
                <w:b/>
                <w:bCs/>
                <w:noProof/>
                <w:color w:val="003300"/>
                <w:sz w:val="18"/>
                <w:szCs w:val="18"/>
                <w:lang w:val="sq-AL"/>
              </w:rPr>
              <w:t>Ojektivi Specifik 2.4:</w:t>
            </w:r>
          </w:p>
        </w:tc>
        <w:tc>
          <w:tcPr>
            <w:tcW w:w="7375" w:type="dxa"/>
            <w:shd w:val="clear" w:color="auto" w:fill="E2EFD9" w:themeFill="accent6" w:themeFillTint="33"/>
          </w:tcPr>
          <w:p w14:paraId="6CC155A8" w14:textId="77777777" w:rsidR="000C63DD" w:rsidRPr="00641640" w:rsidRDefault="003F563D" w:rsidP="002C31DE">
            <w:pPr>
              <w:pStyle w:val="T-normal"/>
              <w:spacing w:line="276" w:lineRule="auto"/>
              <w:jc w:val="both"/>
              <w:rPr>
                <w:rFonts w:ascii="Times New Roman" w:hAnsi="Times New Roman" w:cs="Times New Roman"/>
                <w:b/>
                <w:bCs/>
                <w:noProof/>
                <w:color w:val="003300"/>
                <w:sz w:val="18"/>
                <w:szCs w:val="18"/>
                <w:lang w:val="sq-AL"/>
              </w:rPr>
            </w:pPr>
            <w:r w:rsidRPr="00641640">
              <w:rPr>
                <w:rFonts w:ascii="Times New Roman" w:hAnsi="Times New Roman" w:cs="Times New Roman"/>
                <w:b/>
                <w:bCs/>
                <w:noProof/>
                <w:color w:val="003300"/>
                <w:sz w:val="18"/>
                <w:szCs w:val="18"/>
                <w:lang w:val="sq-AL"/>
              </w:rPr>
              <w:t>Procedurat e Menaxhimit të Burimeve Njerëzore facilitohen nga sistemet e gjenerimit të të dhënave të sakta dhe përdorimi i plotë i teknologjisë për thjeshtimin e proceseve të punës në fushën e MBNJ</w:t>
            </w:r>
          </w:p>
          <w:p w14:paraId="617C9401" w14:textId="7D2FA6B1" w:rsidR="004565B3" w:rsidRPr="00641640" w:rsidRDefault="004565B3" w:rsidP="002C31DE">
            <w:pPr>
              <w:pStyle w:val="T-normal"/>
              <w:spacing w:line="276" w:lineRule="auto"/>
              <w:jc w:val="both"/>
              <w:rPr>
                <w:rFonts w:ascii="Times New Roman" w:hAnsi="Times New Roman" w:cs="Times New Roman"/>
                <w:b/>
                <w:bCs/>
                <w:noProof/>
                <w:color w:val="003300"/>
                <w:sz w:val="12"/>
                <w:szCs w:val="12"/>
                <w:lang w:val="sq-AL"/>
              </w:rPr>
            </w:pPr>
          </w:p>
        </w:tc>
      </w:tr>
      <w:tr w:rsidR="00A86140" w:rsidRPr="00641640" w14:paraId="38061FC3" w14:textId="77777777" w:rsidTr="005001B7">
        <w:tc>
          <w:tcPr>
            <w:tcW w:w="1165" w:type="dxa"/>
            <w:shd w:val="clear" w:color="auto" w:fill="E2EFD9" w:themeFill="accent6" w:themeFillTint="33"/>
          </w:tcPr>
          <w:p w14:paraId="6E561E5E" w14:textId="74692315" w:rsidR="00A86140" w:rsidRPr="00641640" w:rsidRDefault="006B218B"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2.4.1</w:t>
            </w:r>
          </w:p>
        </w:tc>
        <w:tc>
          <w:tcPr>
            <w:tcW w:w="276" w:type="dxa"/>
            <w:shd w:val="clear" w:color="auto" w:fill="E2EFD9" w:themeFill="accent6" w:themeFillTint="33"/>
          </w:tcPr>
          <w:p w14:paraId="78D7F54E" w14:textId="159B8608" w:rsidR="00A86140" w:rsidRPr="00641640" w:rsidRDefault="00CD1D2E"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68DDA894" w14:textId="77777777" w:rsidR="00A86140" w:rsidRPr="00641640" w:rsidRDefault="00BF6982" w:rsidP="00612039">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Rishikimi i Regjistrit Qendror të Personelit dhe përmirësimi i mëtejshëm i funksionaliteteve të tij</w:t>
            </w:r>
            <w:r w:rsidR="00A17722" w:rsidRPr="00641640">
              <w:rPr>
                <w:rFonts w:ascii="Times New Roman" w:hAnsi="Times New Roman" w:cs="Times New Roman"/>
                <w:noProof/>
                <w:sz w:val="18"/>
                <w:szCs w:val="18"/>
                <w:lang w:val="sq-AL"/>
              </w:rPr>
              <w:t>.</w:t>
            </w:r>
          </w:p>
          <w:p w14:paraId="0FEAA69A" w14:textId="200F636E" w:rsidR="0085481E" w:rsidRPr="00641640" w:rsidRDefault="0085481E" w:rsidP="00612039">
            <w:pPr>
              <w:pStyle w:val="T-normal"/>
              <w:spacing w:line="276" w:lineRule="auto"/>
              <w:jc w:val="both"/>
              <w:rPr>
                <w:rFonts w:ascii="Times New Roman" w:hAnsi="Times New Roman" w:cs="Times New Roman"/>
                <w:noProof/>
                <w:sz w:val="8"/>
                <w:szCs w:val="8"/>
                <w:lang w:val="sq-AL"/>
              </w:rPr>
            </w:pPr>
          </w:p>
        </w:tc>
      </w:tr>
      <w:tr w:rsidR="00612039" w:rsidRPr="00641640" w14:paraId="662867AD" w14:textId="77777777" w:rsidTr="005001B7">
        <w:tc>
          <w:tcPr>
            <w:tcW w:w="1165" w:type="dxa"/>
            <w:shd w:val="clear" w:color="auto" w:fill="E2EFD9" w:themeFill="accent6" w:themeFillTint="33"/>
          </w:tcPr>
          <w:p w14:paraId="1E256CFC" w14:textId="1B80DB86" w:rsidR="00612039" w:rsidRPr="00641640" w:rsidRDefault="006B218B"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2.</w:t>
            </w:r>
            <w:r w:rsidR="00DD4984" w:rsidRPr="00641640">
              <w:rPr>
                <w:rFonts w:ascii="Times New Roman" w:hAnsi="Times New Roman" w:cs="Times New Roman"/>
                <w:noProof/>
                <w:sz w:val="18"/>
                <w:szCs w:val="18"/>
                <w:lang w:val="sq-AL"/>
              </w:rPr>
              <w:t>4</w:t>
            </w:r>
            <w:r w:rsidRPr="00641640">
              <w:rPr>
                <w:rFonts w:ascii="Times New Roman" w:hAnsi="Times New Roman" w:cs="Times New Roman"/>
                <w:noProof/>
                <w:sz w:val="18"/>
                <w:szCs w:val="18"/>
                <w:lang w:val="sq-AL"/>
              </w:rPr>
              <w:t>.</w:t>
            </w:r>
            <w:r w:rsidR="00DD4984" w:rsidRPr="00641640">
              <w:rPr>
                <w:rFonts w:ascii="Times New Roman" w:hAnsi="Times New Roman" w:cs="Times New Roman"/>
                <w:noProof/>
                <w:sz w:val="18"/>
                <w:szCs w:val="18"/>
                <w:lang w:val="sq-AL"/>
              </w:rPr>
              <w:t>2</w:t>
            </w:r>
          </w:p>
        </w:tc>
        <w:tc>
          <w:tcPr>
            <w:tcW w:w="276" w:type="dxa"/>
            <w:shd w:val="clear" w:color="auto" w:fill="E2EFD9" w:themeFill="accent6" w:themeFillTint="33"/>
          </w:tcPr>
          <w:p w14:paraId="1CD2B247" w14:textId="0A71A2FF" w:rsidR="00612039" w:rsidRPr="00641640" w:rsidRDefault="00CD1D2E"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7EAD6B52" w14:textId="77777777" w:rsidR="00612039" w:rsidRPr="00641640" w:rsidRDefault="00BF6982" w:rsidP="00612039">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Gjenerimi automatik në faza i listës së pagave për institucionet publike</w:t>
            </w:r>
            <w:r w:rsidR="00A17722" w:rsidRPr="00641640">
              <w:rPr>
                <w:rFonts w:ascii="Times New Roman" w:hAnsi="Times New Roman" w:cs="Times New Roman"/>
                <w:noProof/>
                <w:sz w:val="18"/>
                <w:szCs w:val="18"/>
                <w:lang w:val="sq-AL"/>
              </w:rPr>
              <w:t>.</w:t>
            </w:r>
          </w:p>
          <w:p w14:paraId="5A0E0025" w14:textId="0966422A" w:rsidR="0085481E" w:rsidRPr="00641640" w:rsidRDefault="0085481E" w:rsidP="00612039">
            <w:pPr>
              <w:pStyle w:val="T-normal"/>
              <w:spacing w:line="276" w:lineRule="auto"/>
              <w:jc w:val="both"/>
              <w:rPr>
                <w:rFonts w:ascii="Times New Roman" w:hAnsi="Times New Roman" w:cs="Times New Roman"/>
                <w:noProof/>
                <w:sz w:val="8"/>
                <w:szCs w:val="8"/>
                <w:lang w:val="sq-AL"/>
              </w:rPr>
            </w:pPr>
          </w:p>
        </w:tc>
      </w:tr>
      <w:tr w:rsidR="00612039" w:rsidRPr="00641640" w14:paraId="407751DA" w14:textId="77777777" w:rsidTr="005001B7">
        <w:tc>
          <w:tcPr>
            <w:tcW w:w="1165" w:type="dxa"/>
            <w:shd w:val="clear" w:color="auto" w:fill="E2EFD9" w:themeFill="accent6" w:themeFillTint="33"/>
          </w:tcPr>
          <w:p w14:paraId="2929E24A" w14:textId="466C6401" w:rsidR="00612039" w:rsidRPr="00641640" w:rsidRDefault="00DD498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lastRenderedPageBreak/>
              <w:t>Masa 2.4.3</w:t>
            </w:r>
          </w:p>
        </w:tc>
        <w:tc>
          <w:tcPr>
            <w:tcW w:w="276" w:type="dxa"/>
            <w:shd w:val="clear" w:color="auto" w:fill="E2EFD9" w:themeFill="accent6" w:themeFillTint="33"/>
          </w:tcPr>
          <w:p w14:paraId="46DAF5AB" w14:textId="4486CC0E" w:rsidR="00612039" w:rsidRPr="00641640" w:rsidRDefault="00CD1D2E"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056C4087" w14:textId="77777777" w:rsidR="00612039" w:rsidRPr="00641640" w:rsidRDefault="00A17722" w:rsidP="00612039">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Rritja e ndërveprimit virtual mes institucioneve publike, përmes përdorimit të platformave të dedikuara dhe modeleve të miratuara për këtë qëllim.</w:t>
            </w:r>
          </w:p>
          <w:p w14:paraId="590F7138" w14:textId="5683F9B4" w:rsidR="0085481E" w:rsidRPr="00641640" w:rsidRDefault="0085481E" w:rsidP="00612039">
            <w:pPr>
              <w:pStyle w:val="T-normal"/>
              <w:spacing w:line="276" w:lineRule="auto"/>
              <w:jc w:val="both"/>
              <w:rPr>
                <w:rFonts w:ascii="Times New Roman" w:hAnsi="Times New Roman" w:cs="Times New Roman"/>
                <w:noProof/>
                <w:sz w:val="8"/>
                <w:szCs w:val="8"/>
                <w:lang w:val="sq-AL"/>
              </w:rPr>
            </w:pPr>
          </w:p>
        </w:tc>
      </w:tr>
      <w:tr w:rsidR="00612039" w:rsidRPr="00641640" w14:paraId="2AE2D74A" w14:textId="77777777" w:rsidTr="005001B7">
        <w:tc>
          <w:tcPr>
            <w:tcW w:w="1165" w:type="dxa"/>
            <w:shd w:val="clear" w:color="auto" w:fill="E2EFD9" w:themeFill="accent6" w:themeFillTint="33"/>
          </w:tcPr>
          <w:p w14:paraId="744378E8" w14:textId="3CDB82AF" w:rsidR="00612039" w:rsidRPr="00641640" w:rsidRDefault="00DD498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 2.4.4</w:t>
            </w:r>
          </w:p>
        </w:tc>
        <w:tc>
          <w:tcPr>
            <w:tcW w:w="276" w:type="dxa"/>
            <w:shd w:val="clear" w:color="auto" w:fill="E2EFD9" w:themeFill="accent6" w:themeFillTint="33"/>
          </w:tcPr>
          <w:p w14:paraId="5B825630" w14:textId="024F1081" w:rsidR="00612039" w:rsidRPr="00641640" w:rsidRDefault="00CD1D2E"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32315DA8" w14:textId="7822C74B" w:rsidR="00612039" w:rsidRPr="00641640" w:rsidRDefault="00271352" w:rsidP="00DD4984">
            <w:pPr>
              <w:pStyle w:val="T-normal"/>
              <w:spacing w:after="240"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Përgatitja dhe zhvillimi i një pakete të plotë trajnimi për të gjitha modulet e HRMIS për </w:t>
            </w:r>
            <w:r w:rsidR="00431BBD" w:rsidRPr="00641640">
              <w:rPr>
                <w:rFonts w:ascii="Times New Roman" w:hAnsi="Times New Roman" w:cs="Times New Roman"/>
                <w:noProof/>
                <w:sz w:val="18"/>
                <w:szCs w:val="18"/>
                <w:lang w:val="sq-AL"/>
              </w:rPr>
              <w:t>d</w:t>
            </w:r>
            <w:r w:rsidRPr="00641640">
              <w:rPr>
                <w:rFonts w:ascii="Times New Roman" w:hAnsi="Times New Roman" w:cs="Times New Roman"/>
                <w:noProof/>
                <w:sz w:val="18"/>
                <w:szCs w:val="18"/>
                <w:lang w:val="sq-AL"/>
              </w:rPr>
              <w:t xml:space="preserve">rejtoritë e </w:t>
            </w:r>
            <w:r w:rsidR="00431BBD" w:rsidRPr="00641640">
              <w:rPr>
                <w:rFonts w:ascii="Times New Roman" w:hAnsi="Times New Roman" w:cs="Times New Roman"/>
                <w:noProof/>
                <w:sz w:val="18"/>
                <w:szCs w:val="18"/>
                <w:lang w:val="sq-AL"/>
              </w:rPr>
              <w:t>b</w:t>
            </w:r>
            <w:r w:rsidRPr="00641640">
              <w:rPr>
                <w:rFonts w:ascii="Times New Roman" w:hAnsi="Times New Roman" w:cs="Times New Roman"/>
                <w:noProof/>
                <w:sz w:val="18"/>
                <w:szCs w:val="18"/>
                <w:lang w:val="sq-AL"/>
              </w:rPr>
              <w:t xml:space="preserve">urimeve </w:t>
            </w:r>
            <w:r w:rsidR="00431BBD" w:rsidRPr="00641640">
              <w:rPr>
                <w:rFonts w:ascii="Times New Roman" w:hAnsi="Times New Roman" w:cs="Times New Roman"/>
                <w:noProof/>
                <w:sz w:val="18"/>
                <w:szCs w:val="18"/>
                <w:lang w:val="sq-AL"/>
              </w:rPr>
              <w:t>n</w:t>
            </w:r>
            <w:r w:rsidRPr="00641640">
              <w:rPr>
                <w:rFonts w:ascii="Times New Roman" w:hAnsi="Times New Roman" w:cs="Times New Roman"/>
                <w:noProof/>
                <w:sz w:val="18"/>
                <w:szCs w:val="18"/>
                <w:lang w:val="sq-AL"/>
              </w:rPr>
              <w:t>jerëzore në institucionet e administratës publike</w:t>
            </w:r>
            <w:r w:rsidR="00431BBD" w:rsidRPr="00641640">
              <w:rPr>
                <w:rFonts w:ascii="Times New Roman" w:hAnsi="Times New Roman" w:cs="Times New Roman"/>
                <w:noProof/>
                <w:sz w:val="18"/>
                <w:szCs w:val="18"/>
                <w:lang w:val="sq-AL"/>
              </w:rPr>
              <w:t>.</w:t>
            </w:r>
          </w:p>
        </w:tc>
      </w:tr>
    </w:tbl>
    <w:p w14:paraId="073D62F7" w14:textId="77777777" w:rsidR="000C5B9C" w:rsidRPr="00641640" w:rsidRDefault="000C5B9C" w:rsidP="003A395D">
      <w:pPr>
        <w:spacing w:after="0" w:line="276" w:lineRule="auto"/>
        <w:jc w:val="both"/>
        <w:rPr>
          <w:rFonts w:ascii="Times New Roman" w:hAnsi="Times New Roman" w:cs="Times New Roman"/>
          <w:noProof/>
          <w:sz w:val="24"/>
          <w:szCs w:val="24"/>
          <w:lang w:val="sq-AL"/>
        </w:rPr>
      </w:pPr>
    </w:p>
    <w:p w14:paraId="0F04254C" w14:textId="4B1F307C" w:rsidR="001161DE" w:rsidRPr="00641640" w:rsidRDefault="001161DE" w:rsidP="003A395D">
      <w:pPr>
        <w:spacing w:line="276" w:lineRule="auto"/>
        <w:rPr>
          <w:rFonts w:ascii="Times New Roman" w:hAnsi="Times New Roman" w:cs="Times New Roman"/>
          <w:b/>
          <w:bCs/>
          <w:i/>
          <w:iCs/>
          <w:noProof/>
          <w:sz w:val="24"/>
          <w:szCs w:val="24"/>
          <w:lang w:val="sq-AL"/>
        </w:rPr>
      </w:pPr>
      <w:r w:rsidRPr="00641640">
        <w:rPr>
          <w:rFonts w:ascii="Times New Roman" w:hAnsi="Times New Roman" w:cs="Times New Roman"/>
          <w:b/>
          <w:bCs/>
          <w:i/>
          <w:iCs/>
          <w:noProof/>
          <w:sz w:val="24"/>
          <w:szCs w:val="24"/>
          <w:lang w:val="sq-AL"/>
        </w:rPr>
        <w:t>Komponenti 2.1</w:t>
      </w:r>
      <w:r w:rsidR="000C5B9C" w:rsidRPr="00641640">
        <w:rPr>
          <w:rFonts w:ascii="Times New Roman" w:hAnsi="Times New Roman" w:cs="Times New Roman"/>
          <w:b/>
          <w:bCs/>
          <w:i/>
          <w:iCs/>
          <w:noProof/>
          <w:sz w:val="24"/>
          <w:szCs w:val="24"/>
          <w:lang w:val="sq-AL"/>
        </w:rPr>
        <w:t xml:space="preserve">: </w:t>
      </w:r>
      <w:r w:rsidRPr="00641640">
        <w:rPr>
          <w:rFonts w:ascii="Times New Roman" w:hAnsi="Times New Roman" w:cs="Times New Roman"/>
          <w:b/>
          <w:bCs/>
          <w:i/>
          <w:iCs/>
          <w:noProof/>
          <w:sz w:val="24"/>
          <w:szCs w:val="24"/>
          <w:lang w:val="sq-AL"/>
        </w:rPr>
        <w:t>Pranimi meritokratik, konkurrues dhe transparent në shërbimin civil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E4"/>
        <w:tblLook w:val="04A0" w:firstRow="1" w:lastRow="0" w:firstColumn="1" w:lastColumn="0" w:noHBand="0" w:noVBand="1"/>
      </w:tblPr>
      <w:tblGrid>
        <w:gridCol w:w="535"/>
        <w:gridCol w:w="8815"/>
      </w:tblGrid>
      <w:tr w:rsidR="000C5B9C" w:rsidRPr="00641640" w14:paraId="7EC346FB" w14:textId="77777777" w:rsidTr="00E13CCA">
        <w:tc>
          <w:tcPr>
            <w:tcW w:w="535" w:type="dxa"/>
            <w:shd w:val="clear" w:color="auto" w:fill="EAF4E4"/>
          </w:tcPr>
          <w:p w14:paraId="50942F55" w14:textId="61858BC1" w:rsidR="000C5B9C" w:rsidRPr="00641640" w:rsidRDefault="000C5B9C" w:rsidP="003A395D">
            <w:pPr>
              <w:spacing w:line="276" w:lineRule="auto"/>
              <w:rPr>
                <w:rFonts w:ascii="Times New Roman" w:hAnsi="Times New Roman" w:cs="Times New Roman"/>
                <w:b/>
                <w:bCs/>
                <w:noProof/>
                <w:color w:val="003300"/>
                <w:sz w:val="24"/>
                <w:szCs w:val="24"/>
                <w:lang w:val="sq-AL"/>
              </w:rPr>
            </w:pPr>
            <w:r w:rsidRPr="00641640">
              <w:rPr>
                <w:rFonts w:ascii="Times New Roman" w:hAnsi="Times New Roman" w:cs="Times New Roman"/>
                <w:b/>
                <w:bCs/>
                <w:noProof/>
                <w:color w:val="003300"/>
                <w:sz w:val="24"/>
                <w:szCs w:val="24"/>
                <w:lang w:val="sq-AL"/>
              </w:rPr>
              <w:t>2.1</w:t>
            </w:r>
          </w:p>
        </w:tc>
        <w:tc>
          <w:tcPr>
            <w:tcW w:w="8815" w:type="dxa"/>
            <w:shd w:val="clear" w:color="auto" w:fill="EAF4E4"/>
          </w:tcPr>
          <w:p w14:paraId="5FE8BDB9" w14:textId="523A20D4" w:rsidR="000C5B9C" w:rsidRPr="00641640" w:rsidRDefault="000C5B9C" w:rsidP="003A395D">
            <w:pPr>
              <w:spacing w:line="276" w:lineRule="auto"/>
              <w:rPr>
                <w:rFonts w:ascii="Times New Roman" w:hAnsi="Times New Roman" w:cs="Times New Roman"/>
                <w:b/>
                <w:bCs/>
                <w:i/>
                <w:iCs/>
                <w:noProof/>
                <w:color w:val="003300"/>
                <w:sz w:val="24"/>
                <w:szCs w:val="24"/>
                <w:lang w:val="sq-AL"/>
              </w:rPr>
            </w:pPr>
            <w:r w:rsidRPr="00641640">
              <w:rPr>
                <w:rFonts w:ascii="Times New Roman" w:hAnsi="Times New Roman" w:cs="Times New Roman"/>
                <w:b/>
                <w:bCs/>
                <w:noProof/>
                <w:color w:val="003300"/>
                <w:sz w:val="24"/>
                <w:szCs w:val="24"/>
                <w:lang w:val="sq-AL"/>
              </w:rPr>
              <w:t>Objektivi Specifik 2.1: Pranimi në institucionet e administratës publike bazuar në konkurs të hapur, në parimin e meritës dhe duke siguruar përzgjedhjen e kandidatëve më të mirë</w:t>
            </w:r>
          </w:p>
        </w:tc>
      </w:tr>
    </w:tbl>
    <w:p w14:paraId="7D140B68" w14:textId="1B0A43F4" w:rsidR="001161DE" w:rsidRPr="00641640" w:rsidRDefault="001161DE" w:rsidP="003A395D">
      <w:pPr>
        <w:shd w:val="clear" w:color="auto" w:fill="FFFFFF" w:themeFill="background1"/>
        <w:spacing w:beforeAutospacing="1" w:line="276" w:lineRule="auto"/>
        <w:jc w:val="both"/>
        <w:textAlignment w:val="baseline"/>
        <w:rPr>
          <w:rFonts w:ascii="Times New Roman" w:hAnsi="Times New Roman" w:cs="Times New Roman"/>
          <w:b/>
          <w:bCs/>
          <w:noProof/>
          <w:color w:val="000000" w:themeColor="text1"/>
          <w:sz w:val="24"/>
          <w:szCs w:val="24"/>
          <w:lang w:val="sq-AL"/>
        </w:rPr>
      </w:pPr>
      <w:r w:rsidRPr="00641640">
        <w:rPr>
          <w:rFonts w:ascii="Times New Roman" w:hAnsi="Times New Roman" w:cs="Times New Roman"/>
          <w:b/>
          <w:bCs/>
          <w:noProof/>
          <w:color w:val="000000" w:themeColor="text1"/>
          <w:sz w:val="24"/>
          <w:szCs w:val="24"/>
          <w:lang w:val="sq-AL"/>
        </w:rPr>
        <w:t>Prioritetet</w:t>
      </w:r>
    </w:p>
    <w:p w14:paraId="05069BF5" w14:textId="1FFAAC0F" w:rsidR="001161DE" w:rsidRPr="00641640" w:rsidRDefault="001161D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Objektivi konstant i Qeverisë Shqiptare në këtë fushë ka qenë tërheqja dhe mbajtja brenda administratës e nëpunësve të kualifikuar</w:t>
      </w:r>
      <w:r w:rsidR="00054F46" w:rsidRPr="00641640">
        <w:rPr>
          <w:rFonts w:ascii="Times New Roman" w:hAnsi="Times New Roman" w:cs="Times New Roman"/>
          <w:noProof/>
          <w:sz w:val="24"/>
          <w:szCs w:val="24"/>
          <w:lang w:val="sq-AL"/>
        </w:rPr>
        <w:t xml:space="preserve"> dhe </w:t>
      </w:r>
      <w:r w:rsidR="00F336F6" w:rsidRPr="00641640">
        <w:rPr>
          <w:rFonts w:ascii="Times New Roman" w:hAnsi="Times New Roman" w:cs="Times New Roman"/>
          <w:noProof/>
          <w:sz w:val="24"/>
          <w:szCs w:val="24"/>
          <w:lang w:val="sq-AL"/>
        </w:rPr>
        <w:t>me</w:t>
      </w:r>
      <w:r w:rsidR="00054F46" w:rsidRPr="00641640">
        <w:rPr>
          <w:rFonts w:ascii="Times New Roman" w:hAnsi="Times New Roman" w:cs="Times New Roman"/>
          <w:noProof/>
          <w:sz w:val="24"/>
          <w:szCs w:val="24"/>
          <w:lang w:val="sq-AL"/>
        </w:rPr>
        <w:t xml:space="preserve"> rezultate të larta në punë</w:t>
      </w:r>
      <w:r w:rsidRPr="00641640">
        <w:rPr>
          <w:rFonts w:ascii="Times New Roman" w:hAnsi="Times New Roman" w:cs="Times New Roman"/>
          <w:noProof/>
          <w:sz w:val="24"/>
          <w:szCs w:val="24"/>
          <w:lang w:val="sq-AL"/>
        </w:rPr>
        <w:t>, të rekrutuar mbështetur në meritë e kritere vlerësimi të aplikuara në mënyrë të barabartë për të gjithë. Një sfidë e konsiderueshme përgjatë 10-vjeçarit të zbatimit të ligjit ka qenë krijimi i Trupës së Nivelit të Lartë Drejtues (TND), ndërsa në të ardhmen do të synohet rritja e efektshmërisë së procedurës së rekrutimit dhe përsosja e testimit të mbështetur në kompetenca. Këto përmirësime do të realizohen përmes ndryshimeve në ligjin nr. 152/2013, “</w:t>
      </w:r>
      <w:r w:rsidRPr="00256B1D">
        <w:rPr>
          <w:rFonts w:ascii="Times New Roman" w:hAnsi="Times New Roman" w:cs="Times New Roman"/>
          <w:i/>
          <w:iCs/>
          <w:noProof/>
          <w:sz w:val="24"/>
          <w:szCs w:val="24"/>
          <w:lang w:val="sq-AL"/>
        </w:rPr>
        <w:t>Për nëpunësin civil</w:t>
      </w:r>
      <w:r w:rsidRPr="00641640">
        <w:rPr>
          <w:rFonts w:ascii="Times New Roman" w:hAnsi="Times New Roman" w:cs="Times New Roman"/>
          <w:noProof/>
          <w:sz w:val="24"/>
          <w:szCs w:val="24"/>
          <w:lang w:val="sq-AL"/>
        </w:rPr>
        <w:t>”. Ndryshimet në ligj nuk do të c</w:t>
      </w:r>
      <w:r w:rsidR="00722527"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nojnë thelbin e sistemit dhe do të synojnë vetëm adresimin e sfidave të identifikuara përgjatë viteve në zbatimin e procedurave të parashikuara.</w:t>
      </w:r>
    </w:p>
    <w:p w14:paraId="6999AD30" w14:textId="5E7947DB" w:rsidR="001161DE" w:rsidRPr="00641640" w:rsidRDefault="001161DE" w:rsidP="00F863E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Përgjatë periudhës së zbatimit të </w:t>
      </w:r>
      <w:r w:rsidR="00722527" w:rsidRPr="00641640">
        <w:rPr>
          <w:rFonts w:ascii="Times New Roman" w:hAnsi="Times New Roman" w:cs="Times New Roman"/>
          <w:noProof/>
          <w:sz w:val="24"/>
          <w:szCs w:val="24"/>
          <w:lang w:val="sq-AL"/>
        </w:rPr>
        <w:t>s</w:t>
      </w:r>
      <w:r w:rsidRPr="00641640">
        <w:rPr>
          <w:rFonts w:ascii="Times New Roman" w:hAnsi="Times New Roman" w:cs="Times New Roman"/>
          <w:noProof/>
          <w:sz w:val="24"/>
          <w:szCs w:val="24"/>
          <w:lang w:val="sq-AL"/>
        </w:rPr>
        <w:t xml:space="preserve">trategjisë, synohet hartimi dhe miratimi i kornizës së kompetencave për nëpunësit civilë të të gjitha niveleve, si dhe përshtatja e procedurave të rekrutimit bazuar në këto kompetenca. Procesi i testimit do të përmirësohet në mënyrë të vazhdueshme, duke synuar përsosjen e mëtejshme të konkurseve, ndryshimin e modalitetit të intervistës verbale dhe aftësive/kompetencave që duhet të vlerësohen gjatë intervistës, si dhe rritjen e objektivitetit të testimeve dhe pasurimin e vazhdueshëm të bazës së të dhënave me pyetje të reja për testimet në grup. Një vëmendje e veçantë do t’i kushtohet rritjes së kapaciteteve të anëtarëve të </w:t>
      </w:r>
      <w:r w:rsidR="00ED6832" w:rsidRPr="00641640">
        <w:rPr>
          <w:rFonts w:ascii="Times New Roman" w:hAnsi="Times New Roman" w:cs="Times New Roman"/>
          <w:noProof/>
          <w:sz w:val="24"/>
          <w:szCs w:val="24"/>
          <w:lang w:val="sq-AL"/>
        </w:rPr>
        <w:t>k</w:t>
      </w:r>
      <w:r w:rsidRPr="00641640">
        <w:rPr>
          <w:rFonts w:ascii="Times New Roman" w:hAnsi="Times New Roman" w:cs="Times New Roman"/>
          <w:noProof/>
          <w:sz w:val="24"/>
          <w:szCs w:val="24"/>
          <w:lang w:val="sq-AL"/>
        </w:rPr>
        <w:t xml:space="preserve">omiteteve të </w:t>
      </w:r>
      <w:r w:rsidR="00ED6832" w:rsidRPr="00641640">
        <w:rPr>
          <w:rFonts w:ascii="Times New Roman" w:hAnsi="Times New Roman" w:cs="Times New Roman"/>
          <w:noProof/>
          <w:sz w:val="24"/>
          <w:szCs w:val="24"/>
          <w:lang w:val="sq-AL"/>
        </w:rPr>
        <w:t>p</w:t>
      </w:r>
      <w:r w:rsidRPr="00641640">
        <w:rPr>
          <w:rFonts w:ascii="Times New Roman" w:hAnsi="Times New Roman" w:cs="Times New Roman"/>
          <w:noProof/>
          <w:sz w:val="24"/>
          <w:szCs w:val="24"/>
          <w:lang w:val="sq-AL"/>
        </w:rPr>
        <w:t>ranimit në procedurat e pranimit në shërbimin civil, lëvizjeve paralele dhe të ngritjes në detyrë.</w:t>
      </w:r>
    </w:p>
    <w:p w14:paraId="08AE55E4" w14:textId="77777777" w:rsidR="00A4187D" w:rsidRPr="00641640" w:rsidRDefault="00A4187D" w:rsidP="00F863ED">
      <w:p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imes New Roman" w:hAnsi="Times New Roman" w:cs="Times New Roman"/>
          <w:b/>
          <w:bCs/>
          <w:noProof/>
          <w:sz w:val="24"/>
          <w:szCs w:val="24"/>
          <w:lang w:val="sq-AL"/>
        </w:rPr>
        <w:t>Rezultatet e pritshme nga zbatimi i masave që lidhen me Objektivin Specifik</w:t>
      </w:r>
    </w:p>
    <w:p w14:paraId="2321CFCA" w14:textId="1120A802" w:rsidR="00A4187D" w:rsidRPr="00641640" w:rsidRDefault="00A4187D" w:rsidP="00F863ED">
      <w:pPr>
        <w:spacing w:line="276" w:lineRule="auto"/>
        <w:jc w:val="both"/>
        <w:rPr>
          <w:rFonts w:ascii="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 xml:space="preserve">Objektivi Specifik </w:t>
      </w:r>
      <w:r w:rsidR="00CB197E" w:rsidRPr="00641640">
        <w:rPr>
          <w:rFonts w:ascii="Times New Roman" w:eastAsia="Times New Roman" w:hAnsi="Times New Roman" w:cs="Times New Roman"/>
          <w:noProof/>
          <w:sz w:val="24"/>
          <w:szCs w:val="24"/>
          <w:lang w:val="sq-AL"/>
        </w:rPr>
        <w:t>2</w:t>
      </w:r>
      <w:r w:rsidRPr="00641640">
        <w:rPr>
          <w:rFonts w:ascii="Times New Roman" w:eastAsia="Times New Roman" w:hAnsi="Times New Roman" w:cs="Times New Roman"/>
          <w:noProof/>
          <w:sz w:val="24"/>
          <w:szCs w:val="24"/>
          <w:lang w:val="sq-AL"/>
        </w:rPr>
        <w:t xml:space="preserve">.1, </w:t>
      </w:r>
      <w:r w:rsidR="00BD1C12" w:rsidRPr="00641640">
        <w:rPr>
          <w:rFonts w:ascii="Times New Roman" w:eastAsia="Times New Roman" w:hAnsi="Times New Roman" w:cs="Times New Roman"/>
          <w:noProof/>
          <w:sz w:val="24"/>
          <w:szCs w:val="24"/>
          <w:lang w:val="sq-AL"/>
        </w:rPr>
        <w:t xml:space="preserve">i cili </w:t>
      </w:r>
      <w:r w:rsidRPr="00641640">
        <w:rPr>
          <w:rFonts w:ascii="Times New Roman" w:eastAsia="Times New Roman" w:hAnsi="Times New Roman" w:cs="Times New Roman"/>
          <w:noProof/>
          <w:sz w:val="24"/>
          <w:szCs w:val="24"/>
          <w:lang w:val="sq-AL"/>
        </w:rPr>
        <w:t xml:space="preserve">synon </w:t>
      </w:r>
      <w:r w:rsidR="001A691A" w:rsidRPr="00641640">
        <w:rPr>
          <w:rFonts w:ascii="Times New Roman" w:hAnsi="Times New Roman" w:cs="Times New Roman"/>
          <w:noProof/>
          <w:sz w:val="24"/>
          <w:szCs w:val="24"/>
          <w:lang w:val="sq-AL"/>
        </w:rPr>
        <w:t>pranimin meritokratik, konkurrues dhe transparent në shërbimin civil</w:t>
      </w:r>
      <w:r w:rsidR="009C52E9" w:rsidRPr="00641640">
        <w:rPr>
          <w:rFonts w:ascii="Times New Roman" w:hAnsi="Times New Roman" w:cs="Times New Roman"/>
          <w:noProof/>
          <w:sz w:val="24"/>
          <w:szCs w:val="24"/>
          <w:lang w:val="sq-AL"/>
        </w:rPr>
        <w:t>, pritet t</w:t>
      </w:r>
      <w:r w:rsidR="00BC5EC6" w:rsidRPr="00641640">
        <w:rPr>
          <w:rFonts w:ascii="Times New Roman" w:hAnsi="Times New Roman" w:cs="Times New Roman"/>
          <w:noProof/>
          <w:sz w:val="24"/>
          <w:szCs w:val="24"/>
          <w:lang w:val="sq-AL"/>
        </w:rPr>
        <w:t>ë</w:t>
      </w:r>
      <w:r w:rsidR="009C52E9" w:rsidRPr="00641640">
        <w:rPr>
          <w:rFonts w:ascii="Times New Roman" w:hAnsi="Times New Roman" w:cs="Times New Roman"/>
          <w:noProof/>
          <w:sz w:val="24"/>
          <w:szCs w:val="24"/>
          <w:lang w:val="sq-AL"/>
        </w:rPr>
        <w:t xml:space="preserve"> jap</w:t>
      </w:r>
      <w:r w:rsidR="00BC5EC6" w:rsidRPr="00641640">
        <w:rPr>
          <w:rFonts w:ascii="Times New Roman" w:hAnsi="Times New Roman" w:cs="Times New Roman"/>
          <w:noProof/>
          <w:sz w:val="24"/>
          <w:szCs w:val="24"/>
          <w:lang w:val="sq-AL"/>
        </w:rPr>
        <w:t>ë</w:t>
      </w:r>
      <w:r w:rsidR="009C52E9" w:rsidRPr="00641640">
        <w:rPr>
          <w:rFonts w:ascii="Times New Roman" w:hAnsi="Times New Roman" w:cs="Times New Roman"/>
          <w:noProof/>
          <w:sz w:val="24"/>
          <w:szCs w:val="24"/>
          <w:lang w:val="sq-AL"/>
        </w:rPr>
        <w:t xml:space="preserve"> rezultatet si m</w:t>
      </w:r>
      <w:r w:rsidR="00BC5EC6" w:rsidRPr="00641640">
        <w:rPr>
          <w:rFonts w:ascii="Times New Roman" w:hAnsi="Times New Roman" w:cs="Times New Roman"/>
          <w:noProof/>
          <w:sz w:val="24"/>
          <w:szCs w:val="24"/>
          <w:lang w:val="sq-AL"/>
        </w:rPr>
        <w:t>ë</w:t>
      </w:r>
      <w:r w:rsidR="009C52E9" w:rsidRPr="00641640">
        <w:rPr>
          <w:rFonts w:ascii="Times New Roman" w:hAnsi="Times New Roman" w:cs="Times New Roman"/>
          <w:noProof/>
          <w:sz w:val="24"/>
          <w:szCs w:val="24"/>
          <w:lang w:val="sq-AL"/>
        </w:rPr>
        <w:t xml:space="preserve"> posht</w:t>
      </w:r>
      <w:r w:rsidR="00BC5EC6" w:rsidRPr="00641640">
        <w:rPr>
          <w:rFonts w:ascii="Times New Roman" w:hAnsi="Times New Roman" w:cs="Times New Roman"/>
          <w:noProof/>
          <w:sz w:val="24"/>
          <w:szCs w:val="24"/>
          <w:lang w:val="sq-AL"/>
        </w:rPr>
        <w:t>ë</w:t>
      </w:r>
      <w:r w:rsidR="009C52E9" w:rsidRPr="00641640">
        <w:rPr>
          <w:rFonts w:ascii="Times New Roman" w:hAnsi="Times New Roman" w:cs="Times New Roman"/>
          <w:noProof/>
          <w:sz w:val="24"/>
          <w:szCs w:val="24"/>
          <w:lang w:val="sq-AL"/>
        </w:rPr>
        <w:t>:</w:t>
      </w:r>
    </w:p>
    <w:p w14:paraId="516330EB" w14:textId="306BA663" w:rsidR="00E06208" w:rsidRPr="00641640" w:rsidRDefault="00A4187D" w:rsidP="00F863ED">
      <w:pPr>
        <w:spacing w:line="276" w:lineRule="auto"/>
        <w:jc w:val="both"/>
        <w:rPr>
          <w:rFonts w:ascii="Times New Roman" w:eastAsiaTheme="minorHAnsi"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1:</w:t>
      </w:r>
      <w:r w:rsidRPr="00641640">
        <w:rPr>
          <w:rFonts w:ascii="Times New Roman" w:eastAsia="Times New Roman" w:hAnsi="Times New Roman" w:cs="Times New Roman"/>
          <w:noProof/>
          <w:sz w:val="24"/>
          <w:szCs w:val="24"/>
          <w:lang w:val="sq-AL"/>
        </w:rPr>
        <w:t xml:space="preserve"> </w:t>
      </w:r>
      <w:r w:rsidR="00C83551" w:rsidRPr="00641640">
        <w:rPr>
          <w:rFonts w:ascii="Times New Roman" w:eastAsiaTheme="minorHAnsi" w:hAnsi="Times New Roman" w:cs="Times New Roman"/>
          <w:noProof/>
          <w:sz w:val="24"/>
          <w:szCs w:val="24"/>
          <w:lang w:val="sq-AL"/>
        </w:rPr>
        <w:t>P</w:t>
      </w:r>
      <w:r w:rsidR="00BC5EC6" w:rsidRPr="00641640">
        <w:rPr>
          <w:rFonts w:ascii="Times New Roman" w:eastAsiaTheme="minorHAnsi" w:hAnsi="Times New Roman" w:cs="Times New Roman"/>
          <w:noProof/>
          <w:sz w:val="24"/>
          <w:szCs w:val="24"/>
          <w:lang w:val="sq-AL"/>
        </w:rPr>
        <w:t>ë</w:t>
      </w:r>
      <w:r w:rsidR="00C83551" w:rsidRPr="00641640">
        <w:rPr>
          <w:rFonts w:ascii="Times New Roman" w:eastAsiaTheme="minorHAnsi" w:hAnsi="Times New Roman" w:cs="Times New Roman"/>
          <w:noProof/>
          <w:sz w:val="24"/>
          <w:szCs w:val="24"/>
          <w:lang w:val="sq-AL"/>
        </w:rPr>
        <w:t>rmir</w:t>
      </w:r>
      <w:r w:rsidR="00BC5EC6" w:rsidRPr="00641640">
        <w:rPr>
          <w:rFonts w:ascii="Times New Roman" w:eastAsiaTheme="minorHAnsi" w:hAnsi="Times New Roman" w:cs="Times New Roman"/>
          <w:noProof/>
          <w:sz w:val="24"/>
          <w:szCs w:val="24"/>
          <w:lang w:val="sq-AL"/>
        </w:rPr>
        <w:t>ë</w:t>
      </w:r>
      <w:r w:rsidR="00C83551" w:rsidRPr="00641640">
        <w:rPr>
          <w:rFonts w:ascii="Times New Roman" w:eastAsiaTheme="minorHAnsi" w:hAnsi="Times New Roman" w:cs="Times New Roman"/>
          <w:noProof/>
          <w:sz w:val="24"/>
          <w:szCs w:val="24"/>
          <w:lang w:val="sq-AL"/>
        </w:rPr>
        <w:t>sim dhe plot</w:t>
      </w:r>
      <w:r w:rsidR="00BC5EC6" w:rsidRPr="00641640">
        <w:rPr>
          <w:rFonts w:ascii="Times New Roman" w:eastAsiaTheme="minorHAnsi" w:hAnsi="Times New Roman" w:cs="Times New Roman"/>
          <w:noProof/>
          <w:sz w:val="24"/>
          <w:szCs w:val="24"/>
          <w:lang w:val="sq-AL"/>
        </w:rPr>
        <w:t>ë</w:t>
      </w:r>
      <w:r w:rsidR="00C83551" w:rsidRPr="00641640">
        <w:rPr>
          <w:rFonts w:ascii="Times New Roman" w:eastAsiaTheme="minorHAnsi" w:hAnsi="Times New Roman" w:cs="Times New Roman"/>
          <w:noProof/>
          <w:sz w:val="24"/>
          <w:szCs w:val="24"/>
          <w:lang w:val="sq-AL"/>
        </w:rPr>
        <w:t>sim i kuadrit ligjor me q</w:t>
      </w:r>
      <w:r w:rsidR="00BC5EC6" w:rsidRPr="00641640">
        <w:rPr>
          <w:rFonts w:ascii="Times New Roman" w:eastAsiaTheme="minorHAnsi" w:hAnsi="Times New Roman" w:cs="Times New Roman"/>
          <w:noProof/>
          <w:sz w:val="24"/>
          <w:szCs w:val="24"/>
          <w:lang w:val="sq-AL"/>
        </w:rPr>
        <w:t>ë</w:t>
      </w:r>
      <w:r w:rsidR="00C83551" w:rsidRPr="00641640">
        <w:rPr>
          <w:rFonts w:ascii="Times New Roman" w:eastAsiaTheme="minorHAnsi" w:hAnsi="Times New Roman" w:cs="Times New Roman"/>
          <w:noProof/>
          <w:sz w:val="24"/>
          <w:szCs w:val="24"/>
          <w:lang w:val="sq-AL"/>
        </w:rPr>
        <w:t xml:space="preserve">llim </w:t>
      </w:r>
      <w:r w:rsidR="004E1455" w:rsidRPr="00641640">
        <w:rPr>
          <w:rFonts w:ascii="Times New Roman" w:hAnsi="Times New Roman" w:cs="Times New Roman"/>
          <w:noProof/>
          <w:sz w:val="24"/>
          <w:szCs w:val="24"/>
          <w:lang w:val="sq-AL"/>
        </w:rPr>
        <w:t>garantimin e një procesi të përmirësuar, objektiv dhe meritokratik rekrutimi</w:t>
      </w:r>
      <w:r w:rsidR="00494308" w:rsidRPr="00641640">
        <w:rPr>
          <w:rFonts w:ascii="Times New Roman" w:eastAsiaTheme="minorHAnsi" w:hAnsi="Times New Roman" w:cs="Times New Roman"/>
          <w:noProof/>
          <w:sz w:val="24"/>
          <w:szCs w:val="24"/>
          <w:lang w:val="sq-AL"/>
        </w:rPr>
        <w:t>.</w:t>
      </w:r>
    </w:p>
    <w:p w14:paraId="0E29D4BC" w14:textId="52592935" w:rsidR="00A4187D" w:rsidRPr="00641640" w:rsidRDefault="00A4187D" w:rsidP="00F863ED">
      <w:pPr>
        <w:spacing w:line="276" w:lineRule="auto"/>
        <w:jc w:val="both"/>
        <w:rPr>
          <w:rFonts w:ascii="Times New Roman" w:eastAsiaTheme="minorHAnsi" w:hAnsi="Times New Roman" w:cs="Times New Roman"/>
          <w:bCs/>
          <w:noProof/>
          <w:sz w:val="24"/>
          <w:szCs w:val="24"/>
          <w:lang w:val="sq-AL"/>
        </w:rPr>
      </w:pPr>
      <w:r w:rsidRPr="00641640">
        <w:rPr>
          <w:rFonts w:ascii="Times New Roman" w:eastAsia="Times New Roman" w:hAnsi="Times New Roman" w:cs="Times New Roman"/>
          <w:b/>
          <w:bCs/>
          <w:noProof/>
          <w:sz w:val="24"/>
          <w:szCs w:val="24"/>
          <w:lang w:val="sq-AL"/>
        </w:rPr>
        <w:t>Rezultati 2:</w:t>
      </w:r>
      <w:r w:rsidRPr="00641640">
        <w:rPr>
          <w:rFonts w:ascii="Times New Roman" w:eastAsia="Times New Roman" w:hAnsi="Times New Roman" w:cs="Times New Roman"/>
          <w:noProof/>
          <w:sz w:val="24"/>
          <w:szCs w:val="24"/>
          <w:lang w:val="sq-AL"/>
        </w:rPr>
        <w:t xml:space="preserve"> </w:t>
      </w:r>
      <w:r w:rsidR="00B434C0" w:rsidRPr="00641640">
        <w:rPr>
          <w:rFonts w:ascii="Times New Roman" w:eastAsiaTheme="minorHAnsi" w:hAnsi="Times New Roman" w:cs="Times New Roman"/>
          <w:bCs/>
          <w:noProof/>
          <w:sz w:val="24"/>
          <w:szCs w:val="24"/>
          <w:lang w:val="sq-AL"/>
        </w:rPr>
        <w:t>Miratimi dhe publikimi i Korniz</w:t>
      </w:r>
      <w:r w:rsidR="00BC5EC6" w:rsidRPr="00641640">
        <w:rPr>
          <w:rFonts w:ascii="Times New Roman" w:eastAsiaTheme="minorHAnsi" w:hAnsi="Times New Roman" w:cs="Times New Roman"/>
          <w:bCs/>
          <w:noProof/>
          <w:sz w:val="24"/>
          <w:szCs w:val="24"/>
          <w:lang w:val="sq-AL"/>
        </w:rPr>
        <w:t>ë</w:t>
      </w:r>
      <w:r w:rsidR="00B434C0" w:rsidRPr="00641640">
        <w:rPr>
          <w:rFonts w:ascii="Times New Roman" w:eastAsiaTheme="minorHAnsi" w:hAnsi="Times New Roman" w:cs="Times New Roman"/>
          <w:bCs/>
          <w:noProof/>
          <w:sz w:val="24"/>
          <w:szCs w:val="24"/>
          <w:lang w:val="sq-AL"/>
        </w:rPr>
        <w:t>s s</w:t>
      </w:r>
      <w:r w:rsidR="00BC5EC6" w:rsidRPr="00641640">
        <w:rPr>
          <w:rFonts w:ascii="Times New Roman" w:eastAsiaTheme="minorHAnsi" w:hAnsi="Times New Roman" w:cs="Times New Roman"/>
          <w:bCs/>
          <w:noProof/>
          <w:sz w:val="24"/>
          <w:szCs w:val="24"/>
          <w:lang w:val="sq-AL"/>
        </w:rPr>
        <w:t>ë</w:t>
      </w:r>
      <w:r w:rsidR="00B434C0" w:rsidRPr="00641640">
        <w:rPr>
          <w:rFonts w:ascii="Times New Roman" w:eastAsiaTheme="minorHAnsi" w:hAnsi="Times New Roman" w:cs="Times New Roman"/>
          <w:bCs/>
          <w:noProof/>
          <w:sz w:val="24"/>
          <w:szCs w:val="24"/>
          <w:lang w:val="sq-AL"/>
        </w:rPr>
        <w:t xml:space="preserve"> Kompetencave</w:t>
      </w:r>
      <w:r w:rsidR="00356E24" w:rsidRPr="00641640">
        <w:rPr>
          <w:rFonts w:ascii="Times New Roman" w:eastAsiaTheme="minorHAnsi" w:hAnsi="Times New Roman" w:cs="Times New Roman"/>
          <w:bCs/>
          <w:noProof/>
          <w:sz w:val="24"/>
          <w:szCs w:val="24"/>
          <w:lang w:val="sq-AL"/>
        </w:rPr>
        <w:t xml:space="preserve"> p</w:t>
      </w:r>
      <w:r w:rsidR="00BC5EC6" w:rsidRPr="00641640">
        <w:rPr>
          <w:rFonts w:ascii="Times New Roman" w:eastAsiaTheme="minorHAnsi" w:hAnsi="Times New Roman" w:cs="Times New Roman"/>
          <w:bCs/>
          <w:noProof/>
          <w:sz w:val="24"/>
          <w:szCs w:val="24"/>
          <w:lang w:val="sq-AL"/>
        </w:rPr>
        <w:t>ë</w:t>
      </w:r>
      <w:r w:rsidR="00356E24" w:rsidRPr="00641640">
        <w:rPr>
          <w:rFonts w:ascii="Times New Roman" w:eastAsiaTheme="minorHAnsi" w:hAnsi="Times New Roman" w:cs="Times New Roman"/>
          <w:bCs/>
          <w:noProof/>
          <w:sz w:val="24"/>
          <w:szCs w:val="24"/>
          <w:lang w:val="sq-AL"/>
        </w:rPr>
        <w:t>r sh</w:t>
      </w:r>
      <w:r w:rsidR="00BC5EC6" w:rsidRPr="00641640">
        <w:rPr>
          <w:rFonts w:ascii="Times New Roman" w:eastAsiaTheme="minorHAnsi" w:hAnsi="Times New Roman" w:cs="Times New Roman"/>
          <w:bCs/>
          <w:noProof/>
          <w:sz w:val="24"/>
          <w:szCs w:val="24"/>
          <w:lang w:val="sq-AL"/>
        </w:rPr>
        <w:t>ë</w:t>
      </w:r>
      <w:r w:rsidR="00356E24" w:rsidRPr="00641640">
        <w:rPr>
          <w:rFonts w:ascii="Times New Roman" w:eastAsiaTheme="minorHAnsi" w:hAnsi="Times New Roman" w:cs="Times New Roman"/>
          <w:bCs/>
          <w:noProof/>
          <w:sz w:val="24"/>
          <w:szCs w:val="24"/>
          <w:lang w:val="sq-AL"/>
        </w:rPr>
        <w:t xml:space="preserve">rbimin civil </w:t>
      </w:r>
      <w:r w:rsidR="00C77CAA" w:rsidRPr="00641640">
        <w:rPr>
          <w:rFonts w:ascii="Times New Roman" w:hAnsi="Times New Roman" w:cs="Times New Roman"/>
          <w:noProof/>
          <w:sz w:val="24"/>
          <w:szCs w:val="24"/>
          <w:lang w:val="sq-AL"/>
        </w:rPr>
        <w:t>dhe përshtatja e procedurave të rekrutimit me kompetencat e reja.</w:t>
      </w:r>
    </w:p>
    <w:p w14:paraId="75D2F48E" w14:textId="244AD12D" w:rsidR="00A4187D" w:rsidRPr="00641640" w:rsidRDefault="00A4187D"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lastRenderedPageBreak/>
        <w:t>Rezultati 3:</w:t>
      </w:r>
      <w:r w:rsidRPr="00641640">
        <w:rPr>
          <w:rFonts w:ascii="Times New Roman" w:eastAsia="Times New Roman" w:hAnsi="Times New Roman" w:cs="Times New Roman"/>
          <w:noProof/>
          <w:sz w:val="24"/>
          <w:szCs w:val="24"/>
          <w:lang w:val="sq-AL"/>
        </w:rPr>
        <w:t xml:space="preserve"> </w:t>
      </w:r>
      <w:r w:rsidR="009735EE" w:rsidRPr="00641640">
        <w:rPr>
          <w:rFonts w:ascii="Times New Roman" w:hAnsi="Times New Roman" w:cs="Times New Roman"/>
          <w:noProof/>
          <w:sz w:val="24"/>
          <w:szCs w:val="24"/>
          <w:lang w:val="sq-AL"/>
        </w:rPr>
        <w:t>Zbatimi i një programi të dedikuar për përshtatjen e nëpunësve të rinj me institucionin punëmarrës dhe pozicionin e punës gjatë periudhës së provës apo në rastet e ngritjes në detyrë</w:t>
      </w:r>
      <w:r w:rsidR="00044729" w:rsidRPr="00641640">
        <w:rPr>
          <w:rFonts w:ascii="Times New Roman" w:hAnsi="Times New Roman" w:cs="Times New Roman"/>
          <w:noProof/>
          <w:sz w:val="24"/>
          <w:szCs w:val="24"/>
          <w:lang w:val="sq-AL"/>
        </w:rPr>
        <w:t>.</w:t>
      </w:r>
      <w:r w:rsidRPr="00641640">
        <w:rPr>
          <w:rFonts w:ascii="Times New Roman" w:eastAsiaTheme="minorHAnsi" w:hAnsi="Times New Roman" w:cs="Times New Roman"/>
          <w:noProof/>
          <w:sz w:val="24"/>
          <w:szCs w:val="24"/>
          <w:lang w:val="sq-AL"/>
        </w:rPr>
        <w:t xml:space="preserve"> </w:t>
      </w:r>
    </w:p>
    <w:p w14:paraId="38FCD7A2" w14:textId="62BCBC4F" w:rsidR="00A4187D" w:rsidRPr="00641640" w:rsidRDefault="00A4187D"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kryesore:</w:t>
      </w:r>
      <w:r w:rsidRPr="00641640">
        <w:rPr>
          <w:rFonts w:ascii="Times New Roman" w:eastAsia="Times New Roman" w:hAnsi="Times New Roman" w:cs="Times New Roman"/>
          <w:noProof/>
          <w:sz w:val="24"/>
          <w:szCs w:val="24"/>
          <w:lang w:val="sq-AL"/>
        </w:rPr>
        <w:t xml:space="preserve"> </w:t>
      </w:r>
      <w:r w:rsidR="009735EE" w:rsidRPr="00641640">
        <w:rPr>
          <w:rFonts w:ascii="Times New Roman" w:eastAsia="Times New Roman" w:hAnsi="Times New Roman" w:cs="Times New Roman"/>
          <w:noProof/>
          <w:sz w:val="24"/>
          <w:szCs w:val="24"/>
          <w:lang w:val="sq-AL"/>
        </w:rPr>
        <w:t>Departamenti i Administrat</w:t>
      </w:r>
      <w:r w:rsidR="00BC5EC6" w:rsidRPr="00641640">
        <w:rPr>
          <w:rFonts w:ascii="Times New Roman" w:eastAsia="Times New Roman" w:hAnsi="Times New Roman" w:cs="Times New Roman"/>
          <w:noProof/>
          <w:sz w:val="24"/>
          <w:szCs w:val="24"/>
          <w:lang w:val="sq-AL"/>
        </w:rPr>
        <w:t>ë</w:t>
      </w:r>
      <w:r w:rsidR="009735EE" w:rsidRPr="00641640">
        <w:rPr>
          <w:rFonts w:ascii="Times New Roman" w:eastAsia="Times New Roman" w:hAnsi="Times New Roman" w:cs="Times New Roman"/>
          <w:noProof/>
          <w:sz w:val="24"/>
          <w:szCs w:val="24"/>
          <w:lang w:val="sq-AL"/>
        </w:rPr>
        <w:t>s Publike, Shkolla Shqiptare e Administrat</w:t>
      </w:r>
      <w:r w:rsidR="00BC5EC6" w:rsidRPr="00641640">
        <w:rPr>
          <w:rFonts w:ascii="Times New Roman" w:eastAsia="Times New Roman" w:hAnsi="Times New Roman" w:cs="Times New Roman"/>
          <w:noProof/>
          <w:sz w:val="24"/>
          <w:szCs w:val="24"/>
          <w:lang w:val="sq-AL"/>
        </w:rPr>
        <w:t>ë</w:t>
      </w:r>
      <w:r w:rsidR="009735EE" w:rsidRPr="00641640">
        <w:rPr>
          <w:rFonts w:ascii="Times New Roman" w:eastAsia="Times New Roman" w:hAnsi="Times New Roman" w:cs="Times New Roman"/>
          <w:noProof/>
          <w:sz w:val="24"/>
          <w:szCs w:val="24"/>
          <w:lang w:val="sq-AL"/>
        </w:rPr>
        <w:t>s Publike</w:t>
      </w:r>
      <w:r w:rsidR="00540526">
        <w:rPr>
          <w:rFonts w:ascii="Times New Roman" w:eastAsia="Times New Roman" w:hAnsi="Times New Roman" w:cs="Times New Roman"/>
          <w:noProof/>
          <w:sz w:val="24"/>
          <w:szCs w:val="24"/>
          <w:lang w:val="sq-AL"/>
        </w:rPr>
        <w:t>, Këshilli i Ministrave.</w:t>
      </w:r>
    </w:p>
    <w:p w14:paraId="56E938FE" w14:textId="2C2C3A0D" w:rsidR="00A4187D" w:rsidRPr="00641640" w:rsidDel="001914E6" w:rsidRDefault="00A4187D"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kontributore:</w:t>
      </w:r>
      <w:r w:rsidRPr="00641640">
        <w:rPr>
          <w:rFonts w:ascii="Times New Roman" w:eastAsia="Times New Roman" w:hAnsi="Times New Roman" w:cs="Times New Roman"/>
          <w:noProof/>
          <w:sz w:val="24"/>
          <w:szCs w:val="24"/>
          <w:lang w:val="sq-AL"/>
        </w:rPr>
        <w:t xml:space="preserve"> </w:t>
      </w:r>
      <w:r w:rsidR="00812C82" w:rsidRPr="00641640">
        <w:rPr>
          <w:rFonts w:ascii="Times New Roman" w:eastAsia="Times New Roman" w:hAnsi="Times New Roman" w:cs="Times New Roman"/>
          <w:noProof/>
          <w:sz w:val="24"/>
          <w:szCs w:val="24"/>
          <w:lang w:val="sq-AL"/>
        </w:rPr>
        <w:t>DAP, ASPA</w:t>
      </w:r>
      <w:r w:rsidR="00540526">
        <w:rPr>
          <w:rFonts w:ascii="Times New Roman" w:eastAsia="Times New Roman" w:hAnsi="Times New Roman" w:cs="Times New Roman"/>
          <w:noProof/>
          <w:sz w:val="24"/>
          <w:szCs w:val="24"/>
          <w:lang w:val="sq-AL"/>
        </w:rPr>
        <w:t>.</w:t>
      </w:r>
    </w:p>
    <w:p w14:paraId="4C3C4BA1" w14:textId="77777777" w:rsidR="00A4187D" w:rsidRPr="00641640" w:rsidRDefault="00A4187D" w:rsidP="003A395D">
      <w:pPr>
        <w:spacing w:after="0" w:line="276" w:lineRule="auto"/>
        <w:jc w:val="both"/>
        <w:rPr>
          <w:rFonts w:ascii="Times New Roman" w:hAnsi="Times New Roman" w:cs="Times New Roman"/>
          <w:noProof/>
          <w:sz w:val="24"/>
          <w:szCs w:val="24"/>
          <w:lang w:val="sq-AL"/>
        </w:rPr>
      </w:pPr>
    </w:p>
    <w:p w14:paraId="6F14B69B" w14:textId="31927057" w:rsidR="00A4187D" w:rsidRPr="00641640" w:rsidRDefault="00A4187D"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Masat dhe aktivitetet</w:t>
      </w:r>
    </w:p>
    <w:p w14:paraId="47960A91" w14:textId="73297016" w:rsidR="001161DE" w:rsidRPr="00641640" w:rsidRDefault="001161D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bCs/>
          <w:noProof/>
          <w:color w:val="000000" w:themeColor="text1"/>
          <w:sz w:val="24"/>
          <w:szCs w:val="24"/>
          <w:lang w:val="sq-AL"/>
        </w:rPr>
        <w:t xml:space="preserve">Ky </w:t>
      </w:r>
      <w:r w:rsidR="0012690A" w:rsidRPr="00641640">
        <w:rPr>
          <w:rFonts w:ascii="Times New Roman" w:hAnsi="Times New Roman" w:cs="Times New Roman"/>
          <w:bCs/>
          <w:noProof/>
          <w:color w:val="000000" w:themeColor="text1"/>
          <w:sz w:val="24"/>
          <w:szCs w:val="24"/>
          <w:lang w:val="sq-AL"/>
        </w:rPr>
        <w:t>o</w:t>
      </w:r>
      <w:r w:rsidRPr="00641640">
        <w:rPr>
          <w:rFonts w:ascii="Times New Roman" w:hAnsi="Times New Roman" w:cs="Times New Roman"/>
          <w:bCs/>
          <w:noProof/>
          <w:color w:val="000000" w:themeColor="text1"/>
          <w:sz w:val="24"/>
          <w:szCs w:val="24"/>
          <w:lang w:val="sq-AL"/>
        </w:rPr>
        <w:t xml:space="preserve">bjektiv </w:t>
      </w:r>
      <w:r w:rsidR="0012690A" w:rsidRPr="00641640">
        <w:rPr>
          <w:rFonts w:ascii="Times New Roman" w:hAnsi="Times New Roman" w:cs="Times New Roman"/>
          <w:bCs/>
          <w:noProof/>
          <w:color w:val="000000" w:themeColor="text1"/>
          <w:sz w:val="24"/>
          <w:szCs w:val="24"/>
          <w:lang w:val="sq-AL"/>
        </w:rPr>
        <w:t>s</w:t>
      </w:r>
      <w:r w:rsidRPr="00641640">
        <w:rPr>
          <w:rFonts w:ascii="Times New Roman" w:hAnsi="Times New Roman" w:cs="Times New Roman"/>
          <w:bCs/>
          <w:noProof/>
          <w:color w:val="000000" w:themeColor="text1"/>
          <w:sz w:val="24"/>
          <w:szCs w:val="24"/>
          <w:lang w:val="sq-AL"/>
        </w:rPr>
        <w:t>pecifik do të zbatohet përmes masave të mëposhtme, teksa aktivitetet konkrete për periudhën e parë të zbatimit të SNRAP 202</w:t>
      </w:r>
      <w:r w:rsidR="0012690A" w:rsidRPr="00641640">
        <w:rPr>
          <w:rFonts w:ascii="Times New Roman" w:hAnsi="Times New Roman" w:cs="Times New Roman"/>
          <w:bCs/>
          <w:noProof/>
          <w:color w:val="000000" w:themeColor="text1"/>
          <w:sz w:val="24"/>
          <w:szCs w:val="24"/>
          <w:lang w:val="sq-AL"/>
        </w:rPr>
        <w:t>5</w:t>
      </w:r>
      <w:r w:rsidRPr="00641640">
        <w:rPr>
          <w:rFonts w:ascii="Times New Roman" w:hAnsi="Times New Roman" w:cs="Times New Roman"/>
          <w:bCs/>
          <w:noProof/>
          <w:color w:val="000000" w:themeColor="text1"/>
          <w:sz w:val="24"/>
          <w:szCs w:val="24"/>
          <w:lang w:val="sq-AL"/>
        </w:rPr>
        <w:t>-2030 mund të gjenden në Planin e Veprimit 202</w:t>
      </w:r>
      <w:r w:rsidR="0012690A" w:rsidRPr="00641640">
        <w:rPr>
          <w:rFonts w:ascii="Times New Roman" w:hAnsi="Times New Roman" w:cs="Times New Roman"/>
          <w:bCs/>
          <w:noProof/>
          <w:color w:val="000000" w:themeColor="text1"/>
          <w:sz w:val="24"/>
          <w:szCs w:val="24"/>
          <w:lang w:val="sq-AL"/>
        </w:rPr>
        <w:t>5</w:t>
      </w:r>
      <w:r w:rsidRPr="00641640">
        <w:rPr>
          <w:rFonts w:ascii="Times New Roman" w:hAnsi="Times New Roman" w:cs="Times New Roman"/>
          <w:bCs/>
          <w:noProof/>
          <w:color w:val="000000" w:themeColor="text1"/>
          <w:sz w:val="24"/>
          <w:szCs w:val="24"/>
          <w:lang w:val="sq-AL"/>
        </w:rPr>
        <w:t>-202</w:t>
      </w:r>
      <w:r w:rsidR="0012690A" w:rsidRPr="00641640">
        <w:rPr>
          <w:rFonts w:ascii="Times New Roman" w:hAnsi="Times New Roman" w:cs="Times New Roman"/>
          <w:bCs/>
          <w:noProof/>
          <w:color w:val="000000" w:themeColor="text1"/>
          <w:sz w:val="24"/>
          <w:szCs w:val="24"/>
          <w:lang w:val="sq-AL"/>
        </w:rPr>
        <w:t>7</w:t>
      </w:r>
      <w:r w:rsidRPr="00641640">
        <w:rPr>
          <w:rFonts w:ascii="Times New Roman" w:hAnsi="Times New Roman" w:cs="Times New Roman"/>
          <w:bCs/>
          <w:noProof/>
          <w:color w:val="000000" w:themeColor="text1"/>
          <w:sz w:val="24"/>
          <w:szCs w:val="24"/>
          <w:lang w:val="sq-AL"/>
        </w:rPr>
        <w:t xml:space="preserve"> (Aneksi nr. 1).</w:t>
      </w:r>
    </w:p>
    <w:tbl>
      <w:tblPr>
        <w:tblStyle w:val="TableGridIDEA2"/>
        <w:tblW w:w="0" w:type="auto"/>
        <w:tblLook w:val="04A0" w:firstRow="1" w:lastRow="0" w:firstColumn="1" w:lastColumn="0" w:noHBand="0" w:noVBand="1"/>
      </w:tblPr>
      <w:tblGrid>
        <w:gridCol w:w="805"/>
        <w:gridCol w:w="8545"/>
      </w:tblGrid>
      <w:tr w:rsidR="001161DE" w:rsidRPr="00641640" w14:paraId="069391C1" w14:textId="77777777" w:rsidTr="00FB5C62">
        <w:trPr>
          <w:trHeight w:val="926"/>
        </w:trPr>
        <w:tc>
          <w:tcPr>
            <w:tcW w:w="9350" w:type="dxa"/>
            <w:gridSpan w:val="2"/>
            <w:shd w:val="clear" w:color="auto" w:fill="C5E0B3" w:themeFill="accent6" w:themeFillTint="66"/>
          </w:tcPr>
          <w:p w14:paraId="62202761" w14:textId="159EBB79" w:rsidR="001161DE" w:rsidRPr="00641640" w:rsidRDefault="001161DE" w:rsidP="003A395D">
            <w:pPr>
              <w:spacing w:before="240" w:line="276" w:lineRule="auto"/>
              <w:textAlignment w:val="baseline"/>
              <w:rPr>
                <w:rFonts w:ascii="Times New Roman" w:hAnsi="Times New Roman" w:cs="Times New Roman"/>
                <w:b/>
                <w:i/>
                <w:noProof/>
                <w:sz w:val="22"/>
                <w:szCs w:val="22"/>
                <w:lang w:val="sq-AL"/>
              </w:rPr>
            </w:pPr>
            <w:r w:rsidRPr="00641640">
              <w:rPr>
                <w:rFonts w:ascii="Times New Roman" w:hAnsi="Times New Roman" w:cs="Times New Roman"/>
                <w:b/>
                <w:i/>
                <w:noProof/>
                <w:sz w:val="22"/>
                <w:szCs w:val="22"/>
                <w:lang w:val="sq-AL"/>
              </w:rPr>
              <w:t xml:space="preserve">Objektivi Specifik </w:t>
            </w:r>
            <w:r w:rsidR="008D1448" w:rsidRPr="00641640">
              <w:rPr>
                <w:rFonts w:ascii="Times New Roman" w:hAnsi="Times New Roman" w:cs="Times New Roman"/>
                <w:b/>
                <w:i/>
                <w:noProof/>
                <w:sz w:val="22"/>
                <w:szCs w:val="22"/>
                <w:lang w:val="sq-AL"/>
              </w:rPr>
              <w:t>2</w:t>
            </w:r>
            <w:r w:rsidRPr="00641640">
              <w:rPr>
                <w:rFonts w:ascii="Times New Roman" w:hAnsi="Times New Roman" w:cs="Times New Roman"/>
                <w:b/>
                <w:i/>
                <w:noProof/>
                <w:sz w:val="22"/>
                <w:szCs w:val="22"/>
                <w:lang w:val="sq-AL"/>
              </w:rPr>
              <w:t>.1: Pranimi në institucionet e administratës publike bazuar në konkurs të hapur, në parimin e meritës dhe duke siguruar përzgjedhjen e kandidatëve më të mirë.</w:t>
            </w:r>
          </w:p>
        </w:tc>
      </w:tr>
      <w:tr w:rsidR="001161DE" w:rsidRPr="00641640" w14:paraId="6A25FBED" w14:textId="77777777" w:rsidTr="00FB5C62">
        <w:tc>
          <w:tcPr>
            <w:tcW w:w="805" w:type="dxa"/>
            <w:shd w:val="clear" w:color="auto" w:fill="C5E0B3" w:themeFill="accent6" w:themeFillTint="66"/>
          </w:tcPr>
          <w:p w14:paraId="664B4099" w14:textId="39C96F09"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8D1448"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.1.1</w:t>
            </w:r>
          </w:p>
        </w:tc>
        <w:tc>
          <w:tcPr>
            <w:tcW w:w="8545" w:type="dxa"/>
            <w:shd w:val="clear" w:color="auto" w:fill="auto"/>
          </w:tcPr>
          <w:p w14:paraId="6FFA2338" w14:textId="32B1A0D7" w:rsidR="001161DE" w:rsidRPr="00641640" w:rsidRDefault="008C7D9C"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Rishikimi i ligjit nr. 152/2013, “Për nëpunësin civil”.</w:t>
            </w:r>
          </w:p>
        </w:tc>
      </w:tr>
      <w:tr w:rsidR="001161DE" w:rsidRPr="00641640" w14:paraId="714F59A8" w14:textId="77777777" w:rsidTr="00FB5C62">
        <w:trPr>
          <w:trHeight w:val="746"/>
        </w:trPr>
        <w:tc>
          <w:tcPr>
            <w:tcW w:w="805" w:type="dxa"/>
            <w:shd w:val="clear" w:color="auto" w:fill="C5E0B3" w:themeFill="accent6" w:themeFillTint="66"/>
          </w:tcPr>
          <w:p w14:paraId="4E3E922E" w14:textId="735F40E6"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8D1448"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.1.2</w:t>
            </w:r>
          </w:p>
        </w:tc>
        <w:tc>
          <w:tcPr>
            <w:tcW w:w="8545" w:type="dxa"/>
            <w:shd w:val="clear" w:color="auto" w:fill="auto"/>
          </w:tcPr>
          <w:p w14:paraId="517ADBCE" w14:textId="2DFF356F" w:rsidR="001161DE" w:rsidRPr="00641640" w:rsidRDefault="008C7D9C"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Plotësimi i kuadrit nënligjor për garantimin e një procesi të përmirësuar, objektiv dhe meritokratik rekrutimi.</w:t>
            </w:r>
          </w:p>
        </w:tc>
      </w:tr>
      <w:tr w:rsidR="001161DE" w:rsidRPr="00641640" w14:paraId="43E0BA62" w14:textId="77777777" w:rsidTr="00FB5C62">
        <w:trPr>
          <w:trHeight w:val="710"/>
        </w:trPr>
        <w:tc>
          <w:tcPr>
            <w:tcW w:w="805" w:type="dxa"/>
            <w:shd w:val="clear" w:color="auto" w:fill="C5E0B3" w:themeFill="accent6" w:themeFillTint="66"/>
          </w:tcPr>
          <w:p w14:paraId="0C2F6A7C" w14:textId="2EA2A4A8"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8D1448"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.1.3</w:t>
            </w:r>
          </w:p>
        </w:tc>
        <w:tc>
          <w:tcPr>
            <w:tcW w:w="8545" w:type="dxa"/>
            <w:shd w:val="clear" w:color="auto" w:fill="auto"/>
          </w:tcPr>
          <w:p w14:paraId="1214D29E" w14:textId="674DA2A8" w:rsidR="001161DE" w:rsidRPr="00641640" w:rsidRDefault="008C7D9C"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Miratimi i kornizës së kompetencave për shërbimin civil dhe përshtatja e procedurave të rekrutimit me kompetencat e reja.</w:t>
            </w:r>
          </w:p>
        </w:tc>
      </w:tr>
      <w:tr w:rsidR="001161DE" w:rsidRPr="00641640" w14:paraId="30646BF3" w14:textId="77777777" w:rsidTr="00FB5C62">
        <w:trPr>
          <w:trHeight w:val="710"/>
        </w:trPr>
        <w:tc>
          <w:tcPr>
            <w:tcW w:w="805" w:type="dxa"/>
            <w:shd w:val="clear" w:color="auto" w:fill="C5E0B3" w:themeFill="accent6" w:themeFillTint="66"/>
          </w:tcPr>
          <w:p w14:paraId="1F5B2A47" w14:textId="27D4A3C4"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8D1448"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.1.4</w:t>
            </w:r>
          </w:p>
        </w:tc>
        <w:tc>
          <w:tcPr>
            <w:tcW w:w="8545" w:type="dxa"/>
            <w:shd w:val="clear" w:color="auto" w:fill="auto"/>
          </w:tcPr>
          <w:p w14:paraId="0771B61F" w14:textId="5D804213" w:rsidR="001161DE" w:rsidRPr="00641640" w:rsidRDefault="00D93BDC"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Rritja e kapaciteteve të anëtarëve të Komiteteve të Pranimit në shërbimin civil dhe për lëvizjet në karrierë dhe përditësimi i vazhdueshëm i databazës elektronike të pyetjeve.</w:t>
            </w:r>
          </w:p>
        </w:tc>
      </w:tr>
      <w:tr w:rsidR="001161DE" w:rsidRPr="00641640" w14:paraId="23C11818" w14:textId="77777777" w:rsidTr="00FB5C62">
        <w:trPr>
          <w:trHeight w:val="710"/>
        </w:trPr>
        <w:tc>
          <w:tcPr>
            <w:tcW w:w="805" w:type="dxa"/>
            <w:shd w:val="clear" w:color="auto" w:fill="C5E0B3" w:themeFill="accent6" w:themeFillTint="66"/>
          </w:tcPr>
          <w:p w14:paraId="178E14F5" w14:textId="1A4368E8"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8D1448"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.1.5</w:t>
            </w:r>
          </w:p>
        </w:tc>
        <w:tc>
          <w:tcPr>
            <w:tcW w:w="8545" w:type="dxa"/>
            <w:shd w:val="clear" w:color="auto" w:fill="auto"/>
          </w:tcPr>
          <w:p w14:paraId="40C6C003" w14:textId="3E3496E8" w:rsidR="001161DE" w:rsidRPr="00641640" w:rsidRDefault="00D93BDC"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Zbatimi i një programi të dedikuar për përshtatjen e nëpunësve të rinj me institucionin punëmarrës dhe pozicionin e punës gjatë periudhës së provës apo në rastet e ngritjes në detyrë.</w:t>
            </w:r>
          </w:p>
        </w:tc>
      </w:tr>
    </w:tbl>
    <w:p w14:paraId="41C624DD" w14:textId="77777777" w:rsidR="001161DE" w:rsidRPr="00641640" w:rsidRDefault="001161DE" w:rsidP="003A395D">
      <w:pPr>
        <w:shd w:val="clear" w:color="auto" w:fill="FFFFFF"/>
        <w:spacing w:beforeAutospacing="1" w:after="0" w:line="276" w:lineRule="auto"/>
        <w:jc w:val="both"/>
        <w:textAlignment w:val="baseline"/>
        <w:rPr>
          <w:rFonts w:ascii="Times New Roman" w:hAnsi="Times New Roman" w:cs="Times New Roman"/>
          <w:noProof/>
          <w:sz w:val="24"/>
          <w:szCs w:val="24"/>
          <w:lang w:val="sq-AL"/>
        </w:rPr>
      </w:pPr>
    </w:p>
    <w:p w14:paraId="04B16E3F" w14:textId="0246B681" w:rsidR="007277CE" w:rsidRPr="00641640" w:rsidRDefault="007277CE"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Lidhja e treguesve kryesorë të performancës më Qëllimin e Politikës I</w:t>
      </w:r>
      <w:r w:rsidR="001760AB" w:rsidRPr="00641640">
        <w:rPr>
          <w:rFonts w:ascii="Times New Roman" w:hAnsi="Times New Roman" w:cs="Times New Roman"/>
          <w:b/>
          <w:bCs/>
          <w:noProof/>
          <w:sz w:val="24"/>
          <w:szCs w:val="24"/>
          <w:lang w:val="sq-AL"/>
        </w:rPr>
        <w:t>I</w:t>
      </w:r>
      <w:r w:rsidRPr="00641640">
        <w:rPr>
          <w:rFonts w:ascii="Times New Roman" w:hAnsi="Times New Roman" w:cs="Times New Roman"/>
          <w:b/>
          <w:bCs/>
          <w:noProof/>
          <w:sz w:val="24"/>
          <w:szCs w:val="24"/>
          <w:lang w:val="sq-AL"/>
        </w:rPr>
        <w:t xml:space="preserve">, Objektivin Specifik </w:t>
      </w:r>
      <w:r w:rsidR="001760AB" w:rsidRPr="00641640">
        <w:rPr>
          <w:rFonts w:ascii="Times New Roman" w:hAnsi="Times New Roman" w:cs="Times New Roman"/>
          <w:b/>
          <w:bCs/>
          <w:noProof/>
          <w:sz w:val="24"/>
          <w:szCs w:val="24"/>
          <w:lang w:val="sq-AL"/>
        </w:rPr>
        <w:t>2</w:t>
      </w:r>
      <w:r w:rsidRPr="00641640">
        <w:rPr>
          <w:rFonts w:ascii="Times New Roman" w:hAnsi="Times New Roman" w:cs="Times New Roman"/>
          <w:b/>
          <w:bCs/>
          <w:noProof/>
          <w:sz w:val="24"/>
          <w:szCs w:val="24"/>
          <w:lang w:val="sq-AL"/>
        </w:rPr>
        <w:t>.</w:t>
      </w:r>
      <w:r w:rsidR="001760AB" w:rsidRPr="00641640">
        <w:rPr>
          <w:rFonts w:ascii="Times New Roman" w:hAnsi="Times New Roman" w:cs="Times New Roman"/>
          <w:b/>
          <w:bCs/>
          <w:noProof/>
          <w:sz w:val="24"/>
          <w:szCs w:val="24"/>
          <w:lang w:val="sq-AL"/>
        </w:rPr>
        <w:t>1</w:t>
      </w:r>
      <w:r w:rsidRPr="00641640">
        <w:rPr>
          <w:rFonts w:ascii="Times New Roman" w:hAnsi="Times New Roman" w:cs="Times New Roman"/>
          <w:b/>
          <w:bCs/>
          <w:noProof/>
          <w:sz w:val="24"/>
          <w:szCs w:val="24"/>
          <w:lang w:val="sq-AL"/>
        </w:rPr>
        <w:t xml:space="preserve"> dhe institucionet përgjegjëse.</w:t>
      </w:r>
    </w:p>
    <w:tbl>
      <w:tblPr>
        <w:tblStyle w:val="TableGrid"/>
        <w:tblW w:w="93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2"/>
        <w:gridCol w:w="1980"/>
        <w:gridCol w:w="2160"/>
        <w:gridCol w:w="2340"/>
        <w:gridCol w:w="1890"/>
      </w:tblGrid>
      <w:tr w:rsidR="007277CE" w:rsidRPr="00641640" w14:paraId="4FE8953B" w14:textId="77777777" w:rsidTr="00FB5C62">
        <w:trPr>
          <w:trHeight w:val="15"/>
        </w:trPr>
        <w:tc>
          <w:tcPr>
            <w:tcW w:w="982" w:type="dxa"/>
            <w:shd w:val="clear" w:color="auto" w:fill="C5E0B3" w:themeFill="accent6" w:themeFillTint="66"/>
            <w:tcMar>
              <w:top w:w="15" w:type="dxa"/>
              <w:left w:w="75" w:type="dxa"/>
              <w:bottom w:w="15" w:type="dxa"/>
              <w:right w:w="75" w:type="dxa"/>
            </w:tcMar>
          </w:tcPr>
          <w:p w14:paraId="25DF2B73" w14:textId="77777777" w:rsidR="007277CE" w:rsidRPr="00641640" w:rsidRDefault="007277CE" w:rsidP="003A395D">
            <w:pPr>
              <w:spacing w:line="276" w:lineRule="auto"/>
              <w:jc w:val="center"/>
              <w:rPr>
                <w:rFonts w:ascii="Times New Roman" w:eastAsia="Arial" w:hAnsi="Times New Roman" w:cs="Times New Roman"/>
                <w:b/>
                <w:bCs/>
                <w:noProof/>
                <w:sz w:val="22"/>
                <w:szCs w:val="22"/>
                <w:lang w:val="sq-AL"/>
              </w:rPr>
            </w:pPr>
          </w:p>
          <w:p w14:paraId="7D9295F8" w14:textId="77777777" w:rsidR="007277CE" w:rsidRPr="00641640" w:rsidRDefault="007277CE"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Lloji i treguesit</w:t>
            </w:r>
          </w:p>
        </w:tc>
        <w:tc>
          <w:tcPr>
            <w:tcW w:w="1980" w:type="dxa"/>
            <w:shd w:val="clear" w:color="auto" w:fill="C5E0B3" w:themeFill="accent6" w:themeFillTint="66"/>
            <w:tcMar>
              <w:top w:w="15" w:type="dxa"/>
              <w:left w:w="75" w:type="dxa"/>
              <w:bottom w:w="15" w:type="dxa"/>
              <w:right w:w="75" w:type="dxa"/>
            </w:tcMar>
          </w:tcPr>
          <w:p w14:paraId="7B9037F6" w14:textId="77777777" w:rsidR="007277CE" w:rsidRPr="00641640" w:rsidRDefault="007277CE" w:rsidP="003A395D">
            <w:pPr>
              <w:spacing w:line="276" w:lineRule="auto"/>
              <w:jc w:val="center"/>
              <w:rPr>
                <w:rFonts w:ascii="Times New Roman" w:eastAsia="Arial" w:hAnsi="Times New Roman" w:cs="Times New Roman"/>
                <w:b/>
                <w:bCs/>
                <w:noProof/>
                <w:sz w:val="22"/>
                <w:szCs w:val="22"/>
                <w:lang w:val="sq-AL"/>
              </w:rPr>
            </w:pPr>
          </w:p>
          <w:p w14:paraId="66BFD5B8" w14:textId="77777777" w:rsidR="007277CE" w:rsidRPr="00641640" w:rsidRDefault="007277CE"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Emërtimi i treguesit të performancës</w:t>
            </w:r>
          </w:p>
          <w:p w14:paraId="6876EFB3" w14:textId="77777777" w:rsidR="007277CE" w:rsidRPr="00641640" w:rsidRDefault="007277CE" w:rsidP="003A395D">
            <w:pPr>
              <w:spacing w:line="276" w:lineRule="auto"/>
              <w:jc w:val="center"/>
              <w:rPr>
                <w:rFonts w:ascii="Times New Roman" w:eastAsia="Arial" w:hAnsi="Times New Roman" w:cs="Times New Roman"/>
                <w:noProof/>
                <w:sz w:val="22"/>
                <w:szCs w:val="22"/>
                <w:lang w:val="sq-AL"/>
              </w:rPr>
            </w:pPr>
          </w:p>
        </w:tc>
        <w:tc>
          <w:tcPr>
            <w:tcW w:w="2160" w:type="dxa"/>
            <w:shd w:val="clear" w:color="auto" w:fill="C5E0B3" w:themeFill="accent6" w:themeFillTint="66"/>
          </w:tcPr>
          <w:p w14:paraId="35D68988" w14:textId="77777777" w:rsidR="007277CE" w:rsidRPr="00641640" w:rsidRDefault="007277CE" w:rsidP="003A395D">
            <w:pPr>
              <w:spacing w:line="276" w:lineRule="auto"/>
              <w:jc w:val="center"/>
              <w:rPr>
                <w:rFonts w:ascii="Times New Roman" w:eastAsia="Arial" w:hAnsi="Times New Roman" w:cs="Times New Roman"/>
                <w:b/>
                <w:bCs/>
                <w:noProof/>
                <w:sz w:val="22"/>
                <w:szCs w:val="22"/>
                <w:lang w:val="sq-AL"/>
              </w:rPr>
            </w:pPr>
          </w:p>
          <w:p w14:paraId="026708A4" w14:textId="77777777" w:rsidR="007277CE" w:rsidRPr="00641640" w:rsidRDefault="007277CE"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Qëllimin e Politikës</w:t>
            </w:r>
          </w:p>
        </w:tc>
        <w:tc>
          <w:tcPr>
            <w:tcW w:w="2340" w:type="dxa"/>
            <w:shd w:val="clear" w:color="auto" w:fill="C5E0B3" w:themeFill="accent6" w:themeFillTint="66"/>
          </w:tcPr>
          <w:p w14:paraId="45C33413" w14:textId="77777777" w:rsidR="007277CE" w:rsidRPr="00641640" w:rsidRDefault="007277CE" w:rsidP="003A395D">
            <w:pPr>
              <w:spacing w:line="276" w:lineRule="auto"/>
              <w:jc w:val="center"/>
              <w:rPr>
                <w:rFonts w:ascii="Times New Roman" w:eastAsia="Arial" w:hAnsi="Times New Roman" w:cs="Times New Roman"/>
                <w:b/>
                <w:bCs/>
                <w:noProof/>
                <w:sz w:val="22"/>
                <w:szCs w:val="22"/>
                <w:lang w:val="sq-AL"/>
              </w:rPr>
            </w:pPr>
          </w:p>
          <w:p w14:paraId="6CB19518" w14:textId="77777777" w:rsidR="007277CE" w:rsidRPr="00641640" w:rsidRDefault="007277CE"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Objektivin Specifik</w:t>
            </w:r>
          </w:p>
        </w:tc>
        <w:tc>
          <w:tcPr>
            <w:tcW w:w="1890" w:type="dxa"/>
            <w:shd w:val="clear" w:color="auto" w:fill="C5E0B3" w:themeFill="accent6" w:themeFillTint="66"/>
            <w:tcMar>
              <w:top w:w="15" w:type="dxa"/>
              <w:left w:w="75" w:type="dxa"/>
              <w:bottom w:w="15" w:type="dxa"/>
              <w:right w:w="75" w:type="dxa"/>
            </w:tcMar>
          </w:tcPr>
          <w:p w14:paraId="73B1A28A" w14:textId="77777777" w:rsidR="007277CE" w:rsidRPr="00641640" w:rsidRDefault="007277CE" w:rsidP="003A395D">
            <w:pPr>
              <w:spacing w:line="276" w:lineRule="auto"/>
              <w:jc w:val="center"/>
              <w:rPr>
                <w:rFonts w:ascii="Times New Roman" w:eastAsia="Arial" w:hAnsi="Times New Roman" w:cs="Times New Roman"/>
                <w:noProof/>
                <w:sz w:val="22"/>
                <w:szCs w:val="22"/>
                <w:lang w:val="sq-AL"/>
              </w:rPr>
            </w:pPr>
          </w:p>
          <w:p w14:paraId="00B58CD6" w14:textId="77777777" w:rsidR="007277CE" w:rsidRPr="00641640" w:rsidRDefault="007277CE"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Institucioni përgjegjës</w:t>
            </w:r>
          </w:p>
        </w:tc>
      </w:tr>
      <w:tr w:rsidR="00C56AE9" w:rsidRPr="00641640" w14:paraId="3037C701" w14:textId="77777777" w:rsidTr="00C56AE9">
        <w:trPr>
          <w:trHeight w:val="965"/>
        </w:trPr>
        <w:tc>
          <w:tcPr>
            <w:tcW w:w="982" w:type="dxa"/>
            <w:shd w:val="clear" w:color="auto" w:fill="auto"/>
            <w:tcMar>
              <w:top w:w="15" w:type="dxa"/>
              <w:left w:w="75" w:type="dxa"/>
              <w:bottom w:w="15" w:type="dxa"/>
              <w:right w:w="75" w:type="dxa"/>
            </w:tcMar>
          </w:tcPr>
          <w:p w14:paraId="784D9E0D" w14:textId="77777777" w:rsidR="00492DB7" w:rsidRPr="00641640" w:rsidRDefault="00492DB7" w:rsidP="00664A86">
            <w:pPr>
              <w:spacing w:line="276" w:lineRule="auto"/>
              <w:jc w:val="center"/>
              <w:rPr>
                <w:rFonts w:ascii="Times New Roman" w:hAnsi="Times New Roman" w:cs="Times New Roman"/>
                <w:noProof/>
                <w:sz w:val="22"/>
                <w:szCs w:val="22"/>
                <w:lang w:val="sq-AL"/>
              </w:rPr>
            </w:pPr>
          </w:p>
          <w:p w14:paraId="4E2BB242" w14:textId="041016F6" w:rsidR="00C56AE9" w:rsidRPr="00641640" w:rsidRDefault="005D0A72" w:rsidP="00664A86">
            <w:pPr>
              <w:spacing w:line="276" w:lineRule="auto"/>
              <w:jc w:val="center"/>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Produkti</w:t>
            </w:r>
          </w:p>
        </w:tc>
        <w:tc>
          <w:tcPr>
            <w:tcW w:w="1980" w:type="dxa"/>
            <w:shd w:val="clear" w:color="auto" w:fill="auto"/>
            <w:tcMar>
              <w:top w:w="15" w:type="dxa"/>
              <w:left w:w="75" w:type="dxa"/>
              <w:bottom w:w="15" w:type="dxa"/>
              <w:right w:w="75" w:type="dxa"/>
            </w:tcMar>
          </w:tcPr>
          <w:p w14:paraId="4A2D2459" w14:textId="77777777" w:rsidR="00492DB7" w:rsidRPr="00641640" w:rsidRDefault="00492DB7" w:rsidP="003A395D">
            <w:pPr>
              <w:spacing w:line="276" w:lineRule="auto"/>
              <w:rPr>
                <w:rFonts w:ascii="Times New Roman" w:hAnsi="Times New Roman" w:cs="Times New Roman"/>
                <w:noProof/>
                <w:sz w:val="22"/>
                <w:szCs w:val="22"/>
                <w:lang w:val="sq-AL"/>
              </w:rPr>
            </w:pPr>
          </w:p>
          <w:p w14:paraId="7D627599" w14:textId="105218B7" w:rsidR="00C56AE9" w:rsidRPr="00641640" w:rsidRDefault="00D80786"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 xml:space="preserve">2.1.1 </w:t>
            </w:r>
            <w:r w:rsidR="002B16DD" w:rsidRPr="00641640">
              <w:rPr>
                <w:rFonts w:ascii="Times New Roman" w:hAnsi="Times New Roman" w:cs="Times New Roman"/>
                <w:noProof/>
                <w:sz w:val="22"/>
                <w:szCs w:val="22"/>
                <w:lang w:val="sq-AL"/>
              </w:rPr>
              <w:t>Numri mesatar i aplikimeve p</w:t>
            </w:r>
            <w:r w:rsidR="0090127C" w:rsidRPr="00641640">
              <w:rPr>
                <w:rFonts w:ascii="Times New Roman" w:hAnsi="Times New Roman" w:cs="Times New Roman"/>
                <w:noProof/>
                <w:sz w:val="22"/>
                <w:szCs w:val="22"/>
                <w:lang w:val="sq-AL"/>
              </w:rPr>
              <w:t>ë</w:t>
            </w:r>
            <w:r w:rsidR="002B16DD" w:rsidRPr="00641640">
              <w:rPr>
                <w:rFonts w:ascii="Times New Roman" w:hAnsi="Times New Roman" w:cs="Times New Roman"/>
                <w:noProof/>
                <w:sz w:val="22"/>
                <w:szCs w:val="22"/>
                <w:lang w:val="sq-AL"/>
              </w:rPr>
              <w:t xml:space="preserve">r pozicion pune në </w:t>
            </w:r>
            <w:r w:rsidR="002B16DD" w:rsidRPr="00641640">
              <w:rPr>
                <w:rFonts w:ascii="Times New Roman" w:hAnsi="Times New Roman" w:cs="Times New Roman"/>
                <w:noProof/>
                <w:sz w:val="22"/>
                <w:szCs w:val="22"/>
                <w:lang w:val="sq-AL"/>
              </w:rPr>
              <w:lastRenderedPageBreak/>
              <w:t>procedurat e konkurrimit n</w:t>
            </w:r>
            <w:r w:rsidR="0090127C" w:rsidRPr="00641640">
              <w:rPr>
                <w:rFonts w:ascii="Times New Roman" w:hAnsi="Times New Roman" w:cs="Times New Roman"/>
                <w:noProof/>
                <w:sz w:val="22"/>
                <w:szCs w:val="22"/>
                <w:lang w:val="sq-AL"/>
              </w:rPr>
              <w:t>ë</w:t>
            </w:r>
            <w:r w:rsidR="002B16DD" w:rsidRPr="00641640">
              <w:rPr>
                <w:rFonts w:ascii="Times New Roman" w:hAnsi="Times New Roman" w:cs="Times New Roman"/>
                <w:noProof/>
                <w:sz w:val="22"/>
                <w:szCs w:val="22"/>
                <w:lang w:val="sq-AL"/>
              </w:rPr>
              <w:t xml:space="preserve"> sh</w:t>
            </w:r>
            <w:r w:rsidR="0090127C" w:rsidRPr="00641640">
              <w:rPr>
                <w:rFonts w:ascii="Times New Roman" w:hAnsi="Times New Roman" w:cs="Times New Roman"/>
                <w:noProof/>
                <w:sz w:val="22"/>
                <w:szCs w:val="22"/>
                <w:lang w:val="sq-AL"/>
              </w:rPr>
              <w:t>ë</w:t>
            </w:r>
            <w:r w:rsidR="002B16DD" w:rsidRPr="00641640">
              <w:rPr>
                <w:rFonts w:ascii="Times New Roman" w:hAnsi="Times New Roman" w:cs="Times New Roman"/>
                <w:noProof/>
                <w:sz w:val="22"/>
                <w:szCs w:val="22"/>
                <w:lang w:val="sq-AL"/>
              </w:rPr>
              <w:t>rbimin civil</w:t>
            </w:r>
            <w:r w:rsidR="00256B1D">
              <w:rPr>
                <w:rFonts w:ascii="Times New Roman" w:hAnsi="Times New Roman" w:cs="Times New Roman"/>
                <w:noProof/>
                <w:sz w:val="22"/>
                <w:szCs w:val="22"/>
                <w:lang w:val="sq-AL"/>
              </w:rPr>
              <w:t>.</w:t>
            </w:r>
          </w:p>
        </w:tc>
        <w:tc>
          <w:tcPr>
            <w:tcW w:w="2160" w:type="dxa"/>
            <w:shd w:val="clear" w:color="auto" w:fill="auto"/>
          </w:tcPr>
          <w:p w14:paraId="42F006D7" w14:textId="77777777" w:rsidR="00492DB7" w:rsidRPr="00641640" w:rsidRDefault="00492DB7" w:rsidP="003A395D">
            <w:pPr>
              <w:spacing w:line="276" w:lineRule="auto"/>
              <w:rPr>
                <w:rFonts w:ascii="Times New Roman" w:eastAsia="Arial" w:hAnsi="Times New Roman" w:cs="Times New Roman"/>
                <w:noProof/>
                <w:sz w:val="22"/>
                <w:szCs w:val="22"/>
                <w:lang w:val="sq-AL"/>
              </w:rPr>
            </w:pPr>
          </w:p>
          <w:p w14:paraId="454676CD" w14:textId="40D83EDA" w:rsidR="00C56AE9" w:rsidRPr="00641640" w:rsidRDefault="002B16DD"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Shërbimi civil dhe menaxhimi i burimeve njerëzore</w:t>
            </w:r>
          </w:p>
        </w:tc>
        <w:tc>
          <w:tcPr>
            <w:tcW w:w="2340" w:type="dxa"/>
            <w:shd w:val="clear" w:color="auto" w:fill="auto"/>
          </w:tcPr>
          <w:p w14:paraId="65C2B210" w14:textId="77777777" w:rsidR="00492DB7" w:rsidRPr="00641640" w:rsidRDefault="00492DB7" w:rsidP="002B16DD">
            <w:pPr>
              <w:spacing w:line="276" w:lineRule="auto"/>
              <w:rPr>
                <w:rFonts w:ascii="Times New Roman" w:hAnsi="Times New Roman" w:cs="Times New Roman"/>
                <w:bCs/>
                <w:iCs/>
                <w:noProof/>
                <w:sz w:val="22"/>
                <w:szCs w:val="22"/>
                <w:lang w:val="sq-AL"/>
              </w:rPr>
            </w:pPr>
          </w:p>
          <w:p w14:paraId="3A0D4753" w14:textId="0D433130" w:rsidR="002B16DD" w:rsidRPr="00641640" w:rsidRDefault="002B16DD" w:rsidP="002B16DD">
            <w:pPr>
              <w:spacing w:line="276" w:lineRule="auto"/>
              <w:rPr>
                <w:rFonts w:ascii="Times New Roman" w:hAnsi="Times New Roman" w:cs="Times New Roman"/>
                <w:bCs/>
                <w:iCs/>
                <w:noProof/>
                <w:sz w:val="22"/>
                <w:szCs w:val="22"/>
                <w:lang w:val="sq-AL"/>
              </w:rPr>
            </w:pPr>
            <w:r w:rsidRPr="00641640">
              <w:rPr>
                <w:rFonts w:ascii="Times New Roman" w:hAnsi="Times New Roman" w:cs="Times New Roman"/>
                <w:bCs/>
                <w:iCs/>
                <w:noProof/>
                <w:sz w:val="22"/>
                <w:szCs w:val="22"/>
                <w:lang w:val="sq-AL"/>
              </w:rPr>
              <w:t xml:space="preserve">2.1 Pranimi në institucionet e administratës publike </w:t>
            </w:r>
            <w:r w:rsidRPr="00641640">
              <w:rPr>
                <w:rFonts w:ascii="Times New Roman" w:hAnsi="Times New Roman" w:cs="Times New Roman"/>
                <w:bCs/>
                <w:iCs/>
                <w:noProof/>
                <w:sz w:val="22"/>
                <w:szCs w:val="22"/>
                <w:lang w:val="sq-AL"/>
              </w:rPr>
              <w:lastRenderedPageBreak/>
              <w:t>bazuar në konkurs të hapur, në parimin e meritës dhe</w:t>
            </w:r>
          </w:p>
          <w:p w14:paraId="3B487901" w14:textId="7D910B72" w:rsidR="00C56AE9" w:rsidRPr="00641640" w:rsidRDefault="002B16DD" w:rsidP="002B16DD">
            <w:pPr>
              <w:spacing w:line="276" w:lineRule="auto"/>
              <w:rPr>
                <w:rFonts w:ascii="Times New Roman" w:hAnsi="Times New Roman" w:cs="Times New Roman"/>
                <w:bCs/>
                <w:iCs/>
                <w:noProof/>
                <w:sz w:val="22"/>
                <w:szCs w:val="22"/>
                <w:lang w:val="sq-AL"/>
              </w:rPr>
            </w:pPr>
            <w:r w:rsidRPr="00641640">
              <w:rPr>
                <w:rFonts w:ascii="Times New Roman" w:hAnsi="Times New Roman" w:cs="Times New Roman"/>
                <w:bCs/>
                <w:iCs/>
                <w:noProof/>
                <w:sz w:val="22"/>
                <w:szCs w:val="22"/>
                <w:lang w:val="sq-AL"/>
              </w:rPr>
              <w:t>duke siguruar përzgjedhjen e kandidatëve më të mirë</w:t>
            </w:r>
            <w:r w:rsidR="003D3DB5">
              <w:rPr>
                <w:rFonts w:ascii="Times New Roman" w:hAnsi="Times New Roman" w:cs="Times New Roman"/>
                <w:bCs/>
                <w:iCs/>
                <w:noProof/>
                <w:sz w:val="22"/>
                <w:szCs w:val="22"/>
                <w:lang w:val="sq-AL"/>
              </w:rPr>
              <w:t>.</w:t>
            </w:r>
          </w:p>
        </w:tc>
        <w:tc>
          <w:tcPr>
            <w:tcW w:w="1890" w:type="dxa"/>
            <w:shd w:val="clear" w:color="auto" w:fill="auto"/>
            <w:tcMar>
              <w:top w:w="15" w:type="dxa"/>
              <w:left w:w="75" w:type="dxa"/>
              <w:bottom w:w="15" w:type="dxa"/>
              <w:right w:w="75" w:type="dxa"/>
            </w:tcMar>
          </w:tcPr>
          <w:p w14:paraId="252ED362" w14:textId="77777777" w:rsidR="00492DB7" w:rsidRPr="00641640" w:rsidRDefault="00492DB7" w:rsidP="003A395D">
            <w:pPr>
              <w:spacing w:line="276" w:lineRule="auto"/>
              <w:jc w:val="center"/>
              <w:rPr>
                <w:rFonts w:ascii="Times New Roman" w:eastAsia="Arial" w:hAnsi="Times New Roman" w:cs="Times New Roman"/>
                <w:noProof/>
                <w:sz w:val="22"/>
                <w:szCs w:val="22"/>
                <w:lang w:val="sq-AL"/>
              </w:rPr>
            </w:pPr>
          </w:p>
          <w:p w14:paraId="6656EFBB" w14:textId="7935EF6B" w:rsidR="00C56AE9" w:rsidRPr="00641640" w:rsidRDefault="0090127C" w:rsidP="003A395D">
            <w:pPr>
              <w:spacing w:line="276" w:lineRule="auto"/>
              <w:jc w:val="center"/>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DAP</w:t>
            </w:r>
          </w:p>
        </w:tc>
      </w:tr>
      <w:tr w:rsidR="007277CE" w:rsidRPr="00641640" w14:paraId="7B6AA98D" w14:textId="77777777" w:rsidTr="00044729">
        <w:trPr>
          <w:trHeight w:val="965"/>
        </w:trPr>
        <w:tc>
          <w:tcPr>
            <w:tcW w:w="982" w:type="dxa"/>
            <w:shd w:val="clear" w:color="auto" w:fill="auto"/>
            <w:tcMar>
              <w:top w:w="15" w:type="dxa"/>
              <w:left w:w="75" w:type="dxa"/>
              <w:bottom w:w="15" w:type="dxa"/>
              <w:right w:w="75" w:type="dxa"/>
            </w:tcMar>
          </w:tcPr>
          <w:p w14:paraId="39614359" w14:textId="77777777" w:rsidR="00492DB7" w:rsidRPr="00641640" w:rsidRDefault="00492DB7" w:rsidP="00664A86">
            <w:pPr>
              <w:jc w:val="center"/>
              <w:rPr>
                <w:rFonts w:ascii="Times New Roman" w:hAnsi="Times New Roman" w:cs="Times New Roman"/>
                <w:noProof/>
                <w:color w:val="000000"/>
                <w:sz w:val="22"/>
                <w:szCs w:val="22"/>
                <w:lang w:val="sq-AL"/>
              </w:rPr>
            </w:pPr>
          </w:p>
          <w:p w14:paraId="6275ED22" w14:textId="107025A7" w:rsidR="0090127C" w:rsidRPr="00641640" w:rsidRDefault="0090127C" w:rsidP="00664A86">
            <w:pPr>
              <w:jc w:val="center"/>
              <w:rPr>
                <w:rFonts w:ascii="Times New Roman" w:hAnsi="Times New Roman" w:cs="Times New Roman"/>
                <w:noProof/>
                <w:color w:val="000000"/>
                <w:sz w:val="22"/>
                <w:szCs w:val="22"/>
                <w:lang w:val="sq-AL"/>
              </w:rPr>
            </w:pPr>
            <w:r w:rsidRPr="00641640">
              <w:rPr>
                <w:rFonts w:ascii="Times New Roman" w:hAnsi="Times New Roman" w:cs="Times New Roman"/>
                <w:noProof/>
                <w:color w:val="000000"/>
                <w:sz w:val="22"/>
                <w:szCs w:val="22"/>
                <w:lang w:val="sq-AL"/>
              </w:rPr>
              <w:t>Produkti</w:t>
            </w:r>
          </w:p>
          <w:p w14:paraId="49234CDB" w14:textId="26CC08F9" w:rsidR="007277CE" w:rsidRPr="00641640" w:rsidRDefault="007277CE" w:rsidP="00664A86">
            <w:pPr>
              <w:spacing w:line="276" w:lineRule="auto"/>
              <w:jc w:val="center"/>
              <w:rPr>
                <w:rFonts w:ascii="Times New Roman" w:hAnsi="Times New Roman" w:cs="Times New Roman"/>
                <w:noProof/>
                <w:color w:val="ED7D31" w:themeColor="accent2"/>
                <w:sz w:val="22"/>
                <w:szCs w:val="22"/>
                <w:lang w:val="sq-AL"/>
              </w:rPr>
            </w:pPr>
          </w:p>
        </w:tc>
        <w:tc>
          <w:tcPr>
            <w:tcW w:w="1980" w:type="dxa"/>
            <w:shd w:val="clear" w:color="auto" w:fill="auto"/>
            <w:tcMar>
              <w:top w:w="15" w:type="dxa"/>
              <w:left w:w="75" w:type="dxa"/>
              <w:bottom w:w="15" w:type="dxa"/>
              <w:right w:w="75" w:type="dxa"/>
            </w:tcMar>
          </w:tcPr>
          <w:p w14:paraId="2C6C589C" w14:textId="77777777" w:rsidR="00492DB7" w:rsidRPr="00641640" w:rsidRDefault="00492DB7" w:rsidP="003A395D">
            <w:pPr>
              <w:spacing w:line="276" w:lineRule="auto"/>
              <w:rPr>
                <w:rFonts w:ascii="Times New Roman" w:hAnsi="Times New Roman" w:cs="Times New Roman"/>
                <w:noProof/>
                <w:sz w:val="22"/>
                <w:szCs w:val="22"/>
                <w:lang w:val="sq-AL"/>
              </w:rPr>
            </w:pPr>
          </w:p>
          <w:p w14:paraId="74210C1E" w14:textId="388AF122" w:rsidR="007277CE" w:rsidRPr="00641640" w:rsidRDefault="00D80786"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 xml:space="preserve">2.1.2 </w:t>
            </w:r>
            <w:r w:rsidR="00377072" w:rsidRPr="00641640">
              <w:rPr>
                <w:rFonts w:ascii="Times New Roman" w:hAnsi="Times New Roman" w:cs="Times New Roman"/>
                <w:noProof/>
                <w:sz w:val="22"/>
                <w:szCs w:val="22"/>
                <w:lang w:val="sq-AL"/>
              </w:rPr>
              <w:t>Numri mesatar i kandidatëve të kualifikuar p</w:t>
            </w:r>
            <w:r w:rsidR="00834125" w:rsidRPr="00641640">
              <w:rPr>
                <w:rFonts w:ascii="Times New Roman" w:hAnsi="Times New Roman" w:cs="Times New Roman"/>
                <w:noProof/>
                <w:sz w:val="22"/>
                <w:szCs w:val="22"/>
                <w:lang w:val="sq-AL"/>
              </w:rPr>
              <w:t>ë</w:t>
            </w:r>
            <w:r w:rsidR="00377072" w:rsidRPr="00641640">
              <w:rPr>
                <w:rFonts w:ascii="Times New Roman" w:hAnsi="Times New Roman" w:cs="Times New Roman"/>
                <w:noProof/>
                <w:sz w:val="22"/>
                <w:szCs w:val="22"/>
                <w:lang w:val="sq-AL"/>
              </w:rPr>
              <w:t>r pozicion pune në procedurat e konkurrimit n</w:t>
            </w:r>
            <w:r w:rsidR="00834125" w:rsidRPr="00641640">
              <w:rPr>
                <w:rFonts w:ascii="Times New Roman" w:hAnsi="Times New Roman" w:cs="Times New Roman"/>
                <w:noProof/>
                <w:sz w:val="22"/>
                <w:szCs w:val="22"/>
                <w:lang w:val="sq-AL"/>
              </w:rPr>
              <w:t>ë</w:t>
            </w:r>
            <w:r w:rsidR="00377072" w:rsidRPr="00641640">
              <w:rPr>
                <w:rFonts w:ascii="Times New Roman" w:hAnsi="Times New Roman" w:cs="Times New Roman"/>
                <w:noProof/>
                <w:sz w:val="22"/>
                <w:szCs w:val="22"/>
                <w:lang w:val="sq-AL"/>
              </w:rPr>
              <w:t xml:space="preserve"> sh</w:t>
            </w:r>
            <w:r w:rsidR="00834125" w:rsidRPr="00641640">
              <w:rPr>
                <w:rFonts w:ascii="Times New Roman" w:hAnsi="Times New Roman" w:cs="Times New Roman"/>
                <w:noProof/>
                <w:sz w:val="22"/>
                <w:szCs w:val="22"/>
                <w:lang w:val="sq-AL"/>
              </w:rPr>
              <w:t>ë</w:t>
            </w:r>
            <w:r w:rsidR="00377072" w:rsidRPr="00641640">
              <w:rPr>
                <w:rFonts w:ascii="Times New Roman" w:hAnsi="Times New Roman" w:cs="Times New Roman"/>
                <w:noProof/>
                <w:sz w:val="22"/>
                <w:szCs w:val="22"/>
                <w:lang w:val="sq-AL"/>
              </w:rPr>
              <w:t>rbimin civil</w:t>
            </w:r>
            <w:r w:rsidR="00256B1D">
              <w:rPr>
                <w:rFonts w:ascii="Times New Roman" w:hAnsi="Times New Roman" w:cs="Times New Roman"/>
                <w:noProof/>
                <w:sz w:val="22"/>
                <w:szCs w:val="22"/>
                <w:lang w:val="sq-AL"/>
              </w:rPr>
              <w:t>.</w:t>
            </w:r>
          </w:p>
          <w:p w14:paraId="32DAD050" w14:textId="77777777" w:rsidR="007277CE" w:rsidRPr="00641640" w:rsidRDefault="007277CE" w:rsidP="003A395D">
            <w:pPr>
              <w:pStyle w:val="T-number"/>
              <w:spacing w:line="276" w:lineRule="auto"/>
              <w:ind w:left="0"/>
              <w:jc w:val="both"/>
              <w:rPr>
                <w:rFonts w:ascii="Times New Roman" w:eastAsiaTheme="minorHAnsi" w:hAnsi="Times New Roman" w:cs="Times New Roman"/>
                <w:b/>
                <w:bCs/>
                <w:noProof/>
                <w:sz w:val="22"/>
                <w:szCs w:val="22"/>
                <w:lang w:val="sq-AL"/>
              </w:rPr>
            </w:pPr>
            <w:r w:rsidRPr="00641640">
              <w:rPr>
                <w:rFonts w:ascii="Times New Roman" w:eastAsiaTheme="minorHAnsi" w:hAnsi="Times New Roman" w:cs="Times New Roman"/>
                <w:noProof/>
                <w:sz w:val="22"/>
                <w:szCs w:val="22"/>
                <w:lang w:val="sq-AL"/>
              </w:rPr>
              <w:t>të</w:t>
            </w:r>
            <w:r w:rsidRPr="00641640">
              <w:rPr>
                <w:rFonts w:ascii="Times New Roman" w:eastAsiaTheme="minorHAnsi" w:hAnsi="Times New Roman" w:cs="Times New Roman"/>
                <w:b/>
                <w:noProof/>
                <w:sz w:val="22"/>
                <w:szCs w:val="22"/>
                <w:lang w:val="sq-AL"/>
              </w:rPr>
              <w:t xml:space="preserve">   </w:t>
            </w:r>
          </w:p>
        </w:tc>
        <w:tc>
          <w:tcPr>
            <w:tcW w:w="2160" w:type="dxa"/>
            <w:shd w:val="clear" w:color="auto" w:fill="auto"/>
          </w:tcPr>
          <w:p w14:paraId="0F7658D1" w14:textId="77777777" w:rsidR="007277CE" w:rsidRPr="00641640" w:rsidRDefault="007277CE" w:rsidP="003A395D">
            <w:pPr>
              <w:spacing w:line="276" w:lineRule="auto"/>
              <w:rPr>
                <w:rFonts w:ascii="Times New Roman" w:eastAsia="Arial" w:hAnsi="Times New Roman" w:cs="Times New Roman"/>
                <w:noProof/>
                <w:sz w:val="22"/>
                <w:szCs w:val="22"/>
                <w:lang w:val="sq-AL"/>
              </w:rPr>
            </w:pPr>
          </w:p>
          <w:p w14:paraId="4A3A15E7" w14:textId="1FCC5EE0" w:rsidR="007277CE" w:rsidRPr="00641640" w:rsidRDefault="00377072" w:rsidP="003A395D">
            <w:pPr>
              <w:spacing w:line="276" w:lineRule="auto"/>
              <w:rPr>
                <w:rFonts w:ascii="Times New Roman" w:eastAsia="Arial" w:hAnsi="Times New Roman" w:cs="Times New Roman"/>
                <w:b/>
                <w:bCs/>
                <w:noProof/>
                <w:sz w:val="22"/>
                <w:szCs w:val="22"/>
                <w:lang w:val="sq-AL"/>
              </w:rPr>
            </w:pPr>
            <w:r w:rsidRPr="00641640">
              <w:rPr>
                <w:rFonts w:ascii="Times New Roman" w:eastAsia="Arial" w:hAnsi="Times New Roman" w:cs="Times New Roman"/>
                <w:noProof/>
                <w:sz w:val="22"/>
                <w:szCs w:val="22"/>
                <w:lang w:val="sq-AL"/>
              </w:rPr>
              <w:t>Shërbimi civil dhe menaxhimi i burimeve njerëzore</w:t>
            </w:r>
          </w:p>
        </w:tc>
        <w:tc>
          <w:tcPr>
            <w:tcW w:w="2340" w:type="dxa"/>
            <w:shd w:val="clear" w:color="auto" w:fill="auto"/>
          </w:tcPr>
          <w:p w14:paraId="5D142717" w14:textId="77777777" w:rsidR="00492DB7" w:rsidRPr="00641640" w:rsidRDefault="00492DB7" w:rsidP="00377072">
            <w:pPr>
              <w:spacing w:line="276" w:lineRule="auto"/>
              <w:rPr>
                <w:rFonts w:ascii="Times New Roman" w:hAnsi="Times New Roman" w:cs="Times New Roman"/>
                <w:bCs/>
                <w:iCs/>
                <w:noProof/>
                <w:sz w:val="22"/>
                <w:szCs w:val="22"/>
                <w:lang w:val="sq-AL"/>
              </w:rPr>
            </w:pPr>
          </w:p>
          <w:p w14:paraId="2BFF86AA" w14:textId="53902CD1" w:rsidR="00377072" w:rsidRPr="00641640" w:rsidRDefault="00377072" w:rsidP="00377072">
            <w:pPr>
              <w:spacing w:line="276" w:lineRule="auto"/>
              <w:rPr>
                <w:rFonts w:ascii="Times New Roman" w:hAnsi="Times New Roman" w:cs="Times New Roman"/>
                <w:bCs/>
                <w:iCs/>
                <w:noProof/>
                <w:sz w:val="22"/>
                <w:szCs w:val="22"/>
                <w:lang w:val="sq-AL"/>
              </w:rPr>
            </w:pPr>
            <w:r w:rsidRPr="00641640">
              <w:rPr>
                <w:rFonts w:ascii="Times New Roman" w:hAnsi="Times New Roman" w:cs="Times New Roman"/>
                <w:bCs/>
                <w:iCs/>
                <w:noProof/>
                <w:sz w:val="22"/>
                <w:szCs w:val="22"/>
                <w:lang w:val="sq-AL"/>
              </w:rPr>
              <w:t>2.1 Pranimi në institucionet e administratës publike bazuar në konkurs të hapur, në parimin e meritës dhe</w:t>
            </w:r>
          </w:p>
          <w:p w14:paraId="5C3BCFFE" w14:textId="40711212" w:rsidR="007277CE" w:rsidRPr="00641640" w:rsidRDefault="00377072" w:rsidP="00377072">
            <w:pPr>
              <w:spacing w:line="276" w:lineRule="auto"/>
              <w:rPr>
                <w:rFonts w:ascii="Times New Roman" w:eastAsia="Arial" w:hAnsi="Times New Roman" w:cs="Times New Roman"/>
                <w:noProof/>
                <w:sz w:val="22"/>
                <w:szCs w:val="22"/>
                <w:lang w:val="sq-AL"/>
              </w:rPr>
            </w:pPr>
            <w:r w:rsidRPr="00641640">
              <w:rPr>
                <w:rFonts w:ascii="Times New Roman" w:hAnsi="Times New Roman" w:cs="Times New Roman"/>
                <w:bCs/>
                <w:iCs/>
                <w:noProof/>
                <w:sz w:val="22"/>
                <w:szCs w:val="22"/>
                <w:lang w:val="sq-AL"/>
              </w:rPr>
              <w:t>duke siguruar përzgjedhjen e kandidatëve më të mirë</w:t>
            </w:r>
            <w:r w:rsidR="003D3DB5">
              <w:rPr>
                <w:rFonts w:ascii="Times New Roman" w:hAnsi="Times New Roman" w:cs="Times New Roman"/>
                <w:bCs/>
                <w:iCs/>
                <w:noProof/>
                <w:sz w:val="22"/>
                <w:szCs w:val="22"/>
                <w:lang w:val="sq-AL"/>
              </w:rPr>
              <w:t>.</w:t>
            </w:r>
          </w:p>
        </w:tc>
        <w:tc>
          <w:tcPr>
            <w:tcW w:w="1890" w:type="dxa"/>
            <w:shd w:val="clear" w:color="auto" w:fill="auto"/>
            <w:tcMar>
              <w:top w:w="15" w:type="dxa"/>
              <w:left w:w="75" w:type="dxa"/>
              <w:bottom w:w="15" w:type="dxa"/>
              <w:right w:w="75" w:type="dxa"/>
            </w:tcMar>
          </w:tcPr>
          <w:p w14:paraId="6AC5C0BF" w14:textId="77777777" w:rsidR="00492DB7" w:rsidRPr="00641640" w:rsidRDefault="00492DB7" w:rsidP="003A395D">
            <w:pPr>
              <w:spacing w:line="276" w:lineRule="auto"/>
              <w:jc w:val="center"/>
              <w:rPr>
                <w:rFonts w:ascii="Times New Roman" w:eastAsia="Arial" w:hAnsi="Times New Roman" w:cs="Times New Roman"/>
                <w:noProof/>
                <w:sz w:val="22"/>
                <w:szCs w:val="22"/>
                <w:lang w:val="sq-AL"/>
              </w:rPr>
            </w:pPr>
          </w:p>
          <w:p w14:paraId="7DA718EA" w14:textId="692C7D09" w:rsidR="007277CE" w:rsidRPr="00641640" w:rsidRDefault="00664A86" w:rsidP="003A395D">
            <w:pPr>
              <w:spacing w:line="276" w:lineRule="auto"/>
              <w:jc w:val="center"/>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DAP</w:t>
            </w:r>
          </w:p>
          <w:p w14:paraId="08C4A7EB" w14:textId="77777777" w:rsidR="007277CE" w:rsidRPr="00641640" w:rsidRDefault="007277CE" w:rsidP="003A395D">
            <w:pPr>
              <w:spacing w:line="276" w:lineRule="auto"/>
              <w:jc w:val="center"/>
              <w:rPr>
                <w:rFonts w:ascii="Times New Roman" w:eastAsia="Arial" w:hAnsi="Times New Roman" w:cs="Times New Roman"/>
                <w:noProof/>
                <w:sz w:val="22"/>
                <w:szCs w:val="22"/>
                <w:lang w:val="sq-AL"/>
              </w:rPr>
            </w:pPr>
          </w:p>
        </w:tc>
      </w:tr>
      <w:tr w:rsidR="007277CE" w:rsidRPr="00641640" w14:paraId="11AB3A6F" w14:textId="77777777" w:rsidTr="002C31DE">
        <w:trPr>
          <w:trHeight w:val="473"/>
        </w:trPr>
        <w:tc>
          <w:tcPr>
            <w:tcW w:w="982" w:type="dxa"/>
            <w:tcMar>
              <w:top w:w="15" w:type="dxa"/>
              <w:left w:w="75" w:type="dxa"/>
              <w:bottom w:w="15" w:type="dxa"/>
              <w:right w:w="75" w:type="dxa"/>
            </w:tcMar>
          </w:tcPr>
          <w:p w14:paraId="1F542F2F" w14:textId="77777777" w:rsidR="00492DB7" w:rsidRPr="00641640" w:rsidRDefault="00492DB7" w:rsidP="003A395D">
            <w:pPr>
              <w:spacing w:line="276" w:lineRule="auto"/>
              <w:rPr>
                <w:rFonts w:ascii="Times New Roman" w:eastAsiaTheme="minorHAnsi" w:hAnsi="Times New Roman" w:cs="Times New Roman"/>
                <w:noProof/>
                <w:sz w:val="22"/>
                <w:szCs w:val="22"/>
                <w:lang w:val="sq-AL"/>
              </w:rPr>
            </w:pPr>
          </w:p>
          <w:p w14:paraId="45F7757E" w14:textId="28033D52" w:rsidR="007277CE" w:rsidRPr="00641640" w:rsidRDefault="00492DB7" w:rsidP="003A395D">
            <w:pPr>
              <w:spacing w:line="276" w:lineRule="auto"/>
              <w:rPr>
                <w:rFonts w:ascii="Times New Roman" w:eastAsiaTheme="minorHAnsi" w:hAnsi="Times New Roman" w:cs="Times New Roman"/>
                <w:noProof/>
                <w:color w:val="ED7D31" w:themeColor="accent2"/>
                <w:sz w:val="22"/>
                <w:szCs w:val="22"/>
                <w:lang w:val="sq-AL"/>
              </w:rPr>
            </w:pPr>
            <w:r w:rsidRPr="00641640">
              <w:rPr>
                <w:rFonts w:ascii="Times New Roman" w:eastAsiaTheme="minorHAnsi" w:hAnsi="Times New Roman" w:cs="Times New Roman"/>
                <w:noProof/>
                <w:sz w:val="22"/>
                <w:szCs w:val="22"/>
                <w:lang w:val="sq-AL"/>
              </w:rPr>
              <w:t>Rezultati</w:t>
            </w:r>
          </w:p>
        </w:tc>
        <w:tc>
          <w:tcPr>
            <w:tcW w:w="1980" w:type="dxa"/>
            <w:tcMar>
              <w:top w:w="15" w:type="dxa"/>
              <w:left w:w="75" w:type="dxa"/>
              <w:bottom w:w="15" w:type="dxa"/>
              <w:right w:w="75" w:type="dxa"/>
            </w:tcMar>
          </w:tcPr>
          <w:p w14:paraId="69421A99" w14:textId="77777777" w:rsidR="00492DB7" w:rsidRPr="00641640" w:rsidRDefault="00492DB7" w:rsidP="003A395D">
            <w:pPr>
              <w:spacing w:line="276" w:lineRule="auto"/>
              <w:rPr>
                <w:rFonts w:ascii="Times New Roman" w:hAnsi="Times New Roman" w:cs="Times New Roman"/>
                <w:noProof/>
                <w:sz w:val="22"/>
                <w:szCs w:val="22"/>
                <w:lang w:val="sq-AL"/>
              </w:rPr>
            </w:pPr>
          </w:p>
          <w:p w14:paraId="41633293" w14:textId="45517839" w:rsidR="007277CE" w:rsidRPr="00641640" w:rsidRDefault="00D80786"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 xml:space="preserve">2.1.3 </w:t>
            </w:r>
            <w:r w:rsidR="00443A35" w:rsidRPr="00641640">
              <w:rPr>
                <w:rFonts w:ascii="Times New Roman" w:hAnsi="Times New Roman" w:cs="Times New Roman"/>
                <w:noProof/>
                <w:sz w:val="22"/>
                <w:szCs w:val="22"/>
                <w:lang w:val="sq-AL"/>
              </w:rPr>
              <w:t>Niveli i plotësimit të pozicioneve vakante n</w:t>
            </w:r>
            <w:r w:rsidR="00492DB7" w:rsidRPr="00641640">
              <w:rPr>
                <w:rFonts w:ascii="Times New Roman" w:hAnsi="Times New Roman" w:cs="Times New Roman"/>
                <w:noProof/>
                <w:sz w:val="22"/>
                <w:szCs w:val="22"/>
                <w:lang w:val="sq-AL"/>
              </w:rPr>
              <w:t>ë</w:t>
            </w:r>
            <w:r w:rsidR="00443A35" w:rsidRPr="00641640">
              <w:rPr>
                <w:rFonts w:ascii="Times New Roman" w:hAnsi="Times New Roman" w:cs="Times New Roman"/>
                <w:noProof/>
                <w:sz w:val="22"/>
                <w:szCs w:val="22"/>
                <w:lang w:val="sq-AL"/>
              </w:rPr>
              <w:t xml:space="preserve"> sh</w:t>
            </w:r>
            <w:r w:rsidR="00492DB7" w:rsidRPr="00641640">
              <w:rPr>
                <w:rFonts w:ascii="Times New Roman" w:hAnsi="Times New Roman" w:cs="Times New Roman"/>
                <w:noProof/>
                <w:sz w:val="22"/>
                <w:szCs w:val="22"/>
                <w:lang w:val="sq-AL"/>
              </w:rPr>
              <w:t>ë</w:t>
            </w:r>
            <w:r w:rsidR="00443A35" w:rsidRPr="00641640">
              <w:rPr>
                <w:rFonts w:ascii="Times New Roman" w:hAnsi="Times New Roman" w:cs="Times New Roman"/>
                <w:noProof/>
                <w:sz w:val="22"/>
                <w:szCs w:val="22"/>
                <w:lang w:val="sq-AL"/>
              </w:rPr>
              <w:t>rbimin civil n</w:t>
            </w:r>
            <w:r w:rsidR="00492DB7" w:rsidRPr="00641640">
              <w:rPr>
                <w:rFonts w:ascii="Times New Roman" w:hAnsi="Times New Roman" w:cs="Times New Roman"/>
                <w:noProof/>
                <w:sz w:val="22"/>
                <w:szCs w:val="22"/>
                <w:lang w:val="sq-AL"/>
              </w:rPr>
              <w:t>ë</w:t>
            </w:r>
            <w:r w:rsidR="00443A35" w:rsidRPr="00641640">
              <w:rPr>
                <w:rFonts w:ascii="Times New Roman" w:hAnsi="Times New Roman" w:cs="Times New Roman"/>
                <w:noProof/>
                <w:sz w:val="22"/>
                <w:szCs w:val="22"/>
                <w:lang w:val="sq-AL"/>
              </w:rPr>
              <w:t>p</w:t>
            </w:r>
            <w:r w:rsidR="00492DB7" w:rsidRPr="00641640">
              <w:rPr>
                <w:rFonts w:ascii="Times New Roman" w:hAnsi="Times New Roman" w:cs="Times New Roman"/>
                <w:noProof/>
                <w:sz w:val="22"/>
                <w:szCs w:val="22"/>
                <w:lang w:val="sq-AL"/>
              </w:rPr>
              <w:t>ë</w:t>
            </w:r>
            <w:r w:rsidR="00443A35" w:rsidRPr="00641640">
              <w:rPr>
                <w:rFonts w:ascii="Times New Roman" w:hAnsi="Times New Roman" w:cs="Times New Roman"/>
                <w:noProof/>
                <w:sz w:val="22"/>
                <w:szCs w:val="22"/>
                <w:lang w:val="sq-AL"/>
              </w:rPr>
              <w:t>rmjet procedurave t</w:t>
            </w:r>
            <w:r w:rsidR="00492DB7" w:rsidRPr="00641640">
              <w:rPr>
                <w:rFonts w:ascii="Times New Roman" w:hAnsi="Times New Roman" w:cs="Times New Roman"/>
                <w:noProof/>
                <w:sz w:val="22"/>
                <w:szCs w:val="22"/>
                <w:lang w:val="sq-AL"/>
              </w:rPr>
              <w:t>ë</w:t>
            </w:r>
            <w:r w:rsidR="00443A35" w:rsidRPr="00641640">
              <w:rPr>
                <w:rFonts w:ascii="Times New Roman" w:hAnsi="Times New Roman" w:cs="Times New Roman"/>
                <w:noProof/>
                <w:sz w:val="22"/>
                <w:szCs w:val="22"/>
                <w:lang w:val="sq-AL"/>
              </w:rPr>
              <w:t xml:space="preserve"> konkurrimit</w:t>
            </w:r>
            <w:r w:rsidR="00256B1D">
              <w:rPr>
                <w:rFonts w:ascii="Times New Roman" w:hAnsi="Times New Roman" w:cs="Times New Roman"/>
                <w:noProof/>
                <w:sz w:val="22"/>
                <w:szCs w:val="22"/>
                <w:lang w:val="sq-AL"/>
              </w:rPr>
              <w:t>.</w:t>
            </w:r>
          </w:p>
        </w:tc>
        <w:tc>
          <w:tcPr>
            <w:tcW w:w="2160" w:type="dxa"/>
          </w:tcPr>
          <w:p w14:paraId="329E0541" w14:textId="77777777" w:rsidR="00492DB7" w:rsidRPr="00641640" w:rsidRDefault="00492DB7" w:rsidP="00377072">
            <w:pPr>
              <w:spacing w:line="276" w:lineRule="auto"/>
              <w:rPr>
                <w:rFonts w:ascii="Times New Roman" w:eastAsia="Arial" w:hAnsi="Times New Roman" w:cs="Times New Roman"/>
                <w:noProof/>
                <w:sz w:val="22"/>
                <w:szCs w:val="22"/>
                <w:lang w:val="sq-AL"/>
              </w:rPr>
            </w:pPr>
          </w:p>
          <w:p w14:paraId="1597F60A" w14:textId="7BA2E0FB" w:rsidR="007277CE" w:rsidRPr="00641640" w:rsidRDefault="00377072" w:rsidP="00377072">
            <w:pPr>
              <w:spacing w:line="276" w:lineRule="auto"/>
              <w:rPr>
                <w:rFonts w:ascii="Times New Roman" w:eastAsia="Arial" w:hAnsi="Times New Roman" w:cs="Times New Roman"/>
                <w:b/>
                <w:bCs/>
                <w:noProof/>
                <w:sz w:val="22"/>
                <w:szCs w:val="22"/>
                <w:lang w:val="sq-AL"/>
              </w:rPr>
            </w:pPr>
            <w:r w:rsidRPr="00641640">
              <w:rPr>
                <w:rFonts w:ascii="Times New Roman" w:eastAsia="Arial" w:hAnsi="Times New Roman" w:cs="Times New Roman"/>
                <w:noProof/>
                <w:sz w:val="22"/>
                <w:szCs w:val="22"/>
                <w:lang w:val="sq-AL"/>
              </w:rPr>
              <w:t>Shërbimi civil dhe menaxhimi i burimeve njerëzore</w:t>
            </w:r>
          </w:p>
        </w:tc>
        <w:tc>
          <w:tcPr>
            <w:tcW w:w="2340" w:type="dxa"/>
          </w:tcPr>
          <w:p w14:paraId="6EB1051F" w14:textId="77777777" w:rsidR="00492DB7" w:rsidRPr="00641640" w:rsidRDefault="00492DB7" w:rsidP="00377072">
            <w:pPr>
              <w:spacing w:line="276" w:lineRule="auto"/>
              <w:rPr>
                <w:rFonts w:ascii="Times New Roman" w:hAnsi="Times New Roman" w:cs="Times New Roman"/>
                <w:bCs/>
                <w:iCs/>
                <w:noProof/>
                <w:sz w:val="22"/>
                <w:szCs w:val="22"/>
                <w:lang w:val="sq-AL"/>
              </w:rPr>
            </w:pPr>
          </w:p>
          <w:p w14:paraId="01C69FCC" w14:textId="4CCF078B" w:rsidR="007277CE" w:rsidRPr="00641640" w:rsidRDefault="00377072" w:rsidP="00377072">
            <w:pPr>
              <w:spacing w:line="276" w:lineRule="auto"/>
              <w:rPr>
                <w:rFonts w:ascii="Times New Roman" w:hAnsi="Times New Roman" w:cs="Times New Roman"/>
                <w:bCs/>
                <w:iCs/>
                <w:noProof/>
                <w:sz w:val="22"/>
                <w:szCs w:val="22"/>
                <w:lang w:val="sq-AL"/>
              </w:rPr>
            </w:pPr>
            <w:r w:rsidRPr="00641640">
              <w:rPr>
                <w:rFonts w:ascii="Times New Roman" w:hAnsi="Times New Roman" w:cs="Times New Roman"/>
                <w:bCs/>
                <w:iCs/>
                <w:noProof/>
                <w:sz w:val="22"/>
                <w:szCs w:val="22"/>
                <w:lang w:val="sq-AL"/>
              </w:rPr>
              <w:t>2.1 Pranimi në institucionet e administratës publike bazuar në konkurs të hapur, në parimin e meritës dhe duke siguruar përzgjedhjen e kandidatëve më të mirë</w:t>
            </w:r>
            <w:r w:rsidR="003D3DB5">
              <w:rPr>
                <w:rFonts w:ascii="Times New Roman" w:hAnsi="Times New Roman" w:cs="Times New Roman"/>
                <w:bCs/>
                <w:iCs/>
                <w:noProof/>
                <w:sz w:val="22"/>
                <w:szCs w:val="22"/>
                <w:lang w:val="sq-AL"/>
              </w:rPr>
              <w:t>.</w:t>
            </w:r>
          </w:p>
        </w:tc>
        <w:tc>
          <w:tcPr>
            <w:tcW w:w="1890" w:type="dxa"/>
            <w:tcMar>
              <w:top w:w="15" w:type="dxa"/>
              <w:left w:w="75" w:type="dxa"/>
              <w:bottom w:w="15" w:type="dxa"/>
              <w:right w:w="75" w:type="dxa"/>
            </w:tcMar>
          </w:tcPr>
          <w:p w14:paraId="62211715" w14:textId="77777777" w:rsidR="00492DB7" w:rsidRPr="00641640" w:rsidRDefault="00492DB7" w:rsidP="003A395D">
            <w:pPr>
              <w:spacing w:line="276" w:lineRule="auto"/>
              <w:jc w:val="center"/>
              <w:rPr>
                <w:rFonts w:ascii="Times New Roman" w:eastAsia="Arial" w:hAnsi="Times New Roman" w:cs="Times New Roman"/>
                <w:noProof/>
                <w:sz w:val="22"/>
                <w:szCs w:val="22"/>
                <w:lang w:val="sq-AL"/>
              </w:rPr>
            </w:pPr>
          </w:p>
          <w:p w14:paraId="3BED177F" w14:textId="181E6BFA" w:rsidR="007277CE" w:rsidRPr="00641640" w:rsidRDefault="00664A86" w:rsidP="003A395D">
            <w:pPr>
              <w:spacing w:line="276" w:lineRule="auto"/>
              <w:jc w:val="center"/>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DAP</w:t>
            </w:r>
          </w:p>
        </w:tc>
      </w:tr>
    </w:tbl>
    <w:p w14:paraId="5826FD45" w14:textId="77777777" w:rsidR="001161DE" w:rsidRPr="00641640" w:rsidRDefault="001161DE" w:rsidP="003A395D">
      <w:pPr>
        <w:spacing w:line="276" w:lineRule="auto"/>
        <w:jc w:val="both"/>
        <w:rPr>
          <w:rFonts w:ascii="Times New Roman" w:hAnsi="Times New Roman" w:cs="Times New Roman"/>
          <w:b/>
          <w:bCs/>
          <w:noProof/>
          <w:lang w:val="sq-AL"/>
        </w:rPr>
      </w:pPr>
    </w:p>
    <w:p w14:paraId="01A6DEA6" w14:textId="391032AF" w:rsidR="00453BE1" w:rsidRPr="00942650" w:rsidRDefault="001161DE" w:rsidP="003A395D">
      <w:pPr>
        <w:spacing w:line="276" w:lineRule="auto"/>
        <w:jc w:val="both"/>
        <w:rPr>
          <w:rFonts w:ascii="Times New Roman" w:hAnsi="Times New Roman" w:cs="Times New Roman"/>
          <w:b/>
          <w:bCs/>
          <w:i/>
          <w:iCs/>
          <w:noProof/>
          <w:sz w:val="24"/>
          <w:szCs w:val="24"/>
          <w:lang w:val="sq-AL"/>
        </w:rPr>
      </w:pPr>
      <w:r w:rsidRPr="00641640">
        <w:rPr>
          <w:rFonts w:ascii="Times New Roman" w:hAnsi="Times New Roman" w:cs="Times New Roman"/>
          <w:b/>
          <w:bCs/>
          <w:i/>
          <w:iCs/>
          <w:noProof/>
          <w:sz w:val="24"/>
          <w:szCs w:val="24"/>
          <w:lang w:val="sq-AL"/>
        </w:rPr>
        <w:t>Komponenti 2.2</w:t>
      </w:r>
      <w:r w:rsidR="000F3EE5" w:rsidRPr="00641640">
        <w:rPr>
          <w:rFonts w:ascii="Times New Roman" w:hAnsi="Times New Roman" w:cs="Times New Roman"/>
          <w:b/>
          <w:bCs/>
          <w:i/>
          <w:iCs/>
          <w:noProof/>
          <w:sz w:val="24"/>
          <w:szCs w:val="24"/>
          <w:lang w:val="sq-AL"/>
        </w:rPr>
        <w:t>:</w:t>
      </w:r>
      <w:r w:rsidRPr="00641640">
        <w:rPr>
          <w:rFonts w:ascii="Times New Roman" w:hAnsi="Times New Roman" w:cs="Times New Roman"/>
          <w:b/>
          <w:bCs/>
          <w:i/>
          <w:iCs/>
          <w:noProof/>
          <w:sz w:val="24"/>
          <w:szCs w:val="24"/>
          <w:lang w:val="sq-AL"/>
        </w:rPr>
        <w:t xml:space="preserve"> Pozicionimi i a</w:t>
      </w:r>
      <w:r w:rsidRPr="00641640">
        <w:rPr>
          <w:rFonts w:ascii="Times New Roman" w:hAnsi="Times New Roman" w:cs="Times New Roman"/>
          <w:b/>
          <w:i/>
          <w:noProof/>
          <w:sz w:val="24"/>
          <w:szCs w:val="24"/>
          <w:lang w:val="sq-AL"/>
        </w:rPr>
        <w:t>dministratës publike si një punëdhënës i besueshëm, tërheqës dhe konkurrues në tregun e punës.</w:t>
      </w:r>
      <w:r w:rsidRPr="00641640">
        <w:rPr>
          <w:rFonts w:ascii="Times New Roman" w:hAnsi="Times New Roman" w:cs="Times New Roman"/>
          <w:b/>
          <w:bCs/>
          <w:i/>
          <w:iCs/>
          <w:noProof/>
          <w:sz w:val="24"/>
          <w:szCs w:val="24"/>
          <w:lang w:val="sq-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E4"/>
        <w:tblLook w:val="04A0" w:firstRow="1" w:lastRow="0" w:firstColumn="1" w:lastColumn="0" w:noHBand="0" w:noVBand="1"/>
      </w:tblPr>
      <w:tblGrid>
        <w:gridCol w:w="535"/>
        <w:gridCol w:w="8815"/>
      </w:tblGrid>
      <w:tr w:rsidR="000F3EE5" w:rsidRPr="00641640" w14:paraId="602F31BB" w14:textId="77777777" w:rsidTr="000F3EE5">
        <w:tc>
          <w:tcPr>
            <w:tcW w:w="535" w:type="dxa"/>
            <w:shd w:val="clear" w:color="auto" w:fill="EAF4E4"/>
          </w:tcPr>
          <w:p w14:paraId="06E37129" w14:textId="7327B2BB" w:rsidR="000F3EE5" w:rsidRPr="00641640" w:rsidRDefault="000F3EE5" w:rsidP="003A395D">
            <w:pPr>
              <w:spacing w:line="276" w:lineRule="auto"/>
              <w:jc w:val="both"/>
              <w:rPr>
                <w:rFonts w:ascii="Times New Roman" w:hAnsi="Times New Roman" w:cs="Times New Roman"/>
                <w:b/>
                <w:bCs/>
                <w:noProof/>
                <w:color w:val="003300"/>
                <w:sz w:val="24"/>
                <w:szCs w:val="24"/>
                <w:lang w:val="sq-AL"/>
              </w:rPr>
            </w:pPr>
            <w:r w:rsidRPr="00641640">
              <w:rPr>
                <w:rFonts w:ascii="Times New Roman" w:hAnsi="Times New Roman" w:cs="Times New Roman"/>
                <w:b/>
                <w:bCs/>
                <w:noProof/>
                <w:color w:val="003300"/>
                <w:sz w:val="24"/>
                <w:szCs w:val="24"/>
                <w:lang w:val="sq-AL"/>
              </w:rPr>
              <w:t>2.2</w:t>
            </w:r>
          </w:p>
        </w:tc>
        <w:tc>
          <w:tcPr>
            <w:tcW w:w="8815" w:type="dxa"/>
            <w:shd w:val="clear" w:color="auto" w:fill="EAF4E4"/>
          </w:tcPr>
          <w:p w14:paraId="5E78ED29" w14:textId="2875F88E" w:rsidR="000F3EE5" w:rsidRPr="00641640" w:rsidRDefault="000F3EE5" w:rsidP="003A395D">
            <w:pPr>
              <w:spacing w:line="276" w:lineRule="auto"/>
              <w:jc w:val="both"/>
              <w:rPr>
                <w:rFonts w:ascii="Times New Roman" w:hAnsi="Times New Roman" w:cs="Times New Roman"/>
                <w:b/>
                <w:bCs/>
                <w:i/>
                <w:iCs/>
                <w:noProof/>
                <w:color w:val="003300"/>
                <w:sz w:val="24"/>
                <w:szCs w:val="24"/>
                <w:lang w:val="sq-AL"/>
              </w:rPr>
            </w:pPr>
            <w:r w:rsidRPr="00641640">
              <w:rPr>
                <w:rFonts w:ascii="Times New Roman" w:hAnsi="Times New Roman" w:cs="Times New Roman"/>
                <w:b/>
                <w:bCs/>
                <w:noProof/>
                <w:color w:val="003300"/>
                <w:sz w:val="24"/>
                <w:szCs w:val="24"/>
                <w:lang w:val="sq-AL"/>
              </w:rPr>
              <w:t>Objektivi Specifik 2.2: Investimi në motivimin dhe mirëqenien e nëpunësve publikë, me synim rritjen e atraksionit dhe forcimin e pozitës së sektorit publik si punëmarrës i besueshëm, tërheqës dhe konkurrues në tregun e punës</w:t>
            </w:r>
          </w:p>
        </w:tc>
      </w:tr>
    </w:tbl>
    <w:p w14:paraId="79430A62" w14:textId="77777777" w:rsidR="000F3EE5" w:rsidRPr="00641640" w:rsidRDefault="000F3EE5" w:rsidP="003A395D">
      <w:pPr>
        <w:spacing w:after="0" w:line="276" w:lineRule="auto"/>
        <w:jc w:val="both"/>
        <w:rPr>
          <w:rFonts w:ascii="Times New Roman" w:hAnsi="Times New Roman" w:cs="Times New Roman"/>
          <w:b/>
          <w:bCs/>
          <w:noProof/>
          <w:color w:val="000000" w:themeColor="text1"/>
          <w:sz w:val="24"/>
          <w:szCs w:val="24"/>
          <w:lang w:val="sq-AL"/>
        </w:rPr>
      </w:pPr>
    </w:p>
    <w:p w14:paraId="20DA5FF9" w14:textId="26B14223" w:rsidR="001161DE" w:rsidRPr="00641640" w:rsidRDefault="001161DE" w:rsidP="003A395D">
      <w:pPr>
        <w:spacing w:line="276" w:lineRule="auto"/>
        <w:jc w:val="both"/>
        <w:rPr>
          <w:rFonts w:ascii="Times New Roman" w:hAnsi="Times New Roman" w:cs="Times New Roman"/>
          <w:b/>
          <w:bCs/>
          <w:noProof/>
          <w:color w:val="000000" w:themeColor="text1"/>
          <w:sz w:val="24"/>
          <w:szCs w:val="24"/>
          <w:lang w:val="sq-AL"/>
        </w:rPr>
      </w:pPr>
      <w:r w:rsidRPr="00641640">
        <w:rPr>
          <w:rFonts w:ascii="Times New Roman" w:hAnsi="Times New Roman" w:cs="Times New Roman"/>
          <w:b/>
          <w:bCs/>
          <w:noProof/>
          <w:color w:val="000000" w:themeColor="text1"/>
          <w:sz w:val="24"/>
          <w:szCs w:val="24"/>
          <w:lang w:val="sq-AL"/>
        </w:rPr>
        <w:t>Prioritetet</w:t>
      </w:r>
    </w:p>
    <w:p w14:paraId="74A0946B" w14:textId="77777777" w:rsidR="001161DE" w:rsidRPr="00641640" w:rsidRDefault="001161D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Rritja e nivelit të motivimit, tërheqja dhe mbajtja e nëpunësve publikë në administratën publike përbëjnë një parakusht jetik për suksesin e përgjithshëm të reformës në administratën publike, duke qenë kështu një prioritet i vazhdueshëm për Qeverinë Shqiptare. Integrimi evropian i vendit kërkon një administratë publike të motivuar në të cilën investohet vazhdimisht në drejtim të përmirësimit të kushteve të punës. Për pasojë, është thelbësore që administrata publike të tërheqë punëmarrës të kualifikuar dhe të mbajë të angazhuar pranë vetes punëmarrësit aktualë, duke konkurruar bindshëm në një treg pune gjithnjë e më agresiv në kërkimin e kandidatëve të përshtatshëm. Krahas </w:t>
      </w:r>
      <w:r w:rsidRPr="00641640">
        <w:rPr>
          <w:rFonts w:ascii="Times New Roman" w:hAnsi="Times New Roman" w:cs="Times New Roman"/>
          <w:noProof/>
          <w:sz w:val="24"/>
          <w:szCs w:val="24"/>
          <w:lang w:val="sq-AL"/>
        </w:rPr>
        <w:lastRenderedPageBreak/>
        <w:t xml:space="preserve">angazhimit për të rekrutuar talente të reja, është po aq prioritare rritja e nivelit të motivimit të nëpunësve ekzistues, me synim fuqizimin e tyre për përballimin me sukses të përgjegjësive dhe intensitetit që sjell procesi i anëtarësimit në BE. </w:t>
      </w:r>
    </w:p>
    <w:p w14:paraId="4F6AB938" w14:textId="4B6FA908" w:rsidR="001161DE" w:rsidRPr="00641640" w:rsidRDefault="001161D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Në drejtim të përmirësimit të shpërblimit financiar, do të vijojë adresimi i elementeve të tjera të reformës. Krahas rritjes së pagave në vlerë tashmë të realizuar, </w:t>
      </w:r>
      <w:r w:rsidR="004321A4" w:rsidRPr="00641640">
        <w:rPr>
          <w:rFonts w:ascii="Times New Roman" w:hAnsi="Times New Roman" w:cs="Times New Roman"/>
          <w:noProof/>
          <w:sz w:val="24"/>
          <w:szCs w:val="24"/>
          <w:lang w:val="sq-AL"/>
        </w:rPr>
        <w:t>përmes ndryshimit të ligjit nr. 152/2013 “</w:t>
      </w:r>
      <w:r w:rsidR="004321A4" w:rsidRPr="00E03A30">
        <w:rPr>
          <w:rFonts w:ascii="Times New Roman" w:hAnsi="Times New Roman" w:cs="Times New Roman"/>
          <w:i/>
          <w:iCs/>
          <w:noProof/>
          <w:sz w:val="24"/>
          <w:szCs w:val="24"/>
          <w:lang w:val="sq-AL"/>
        </w:rPr>
        <w:t>Për nëpunësin civil</w:t>
      </w:r>
      <w:r w:rsidR="004321A4" w:rsidRPr="00641640">
        <w:rPr>
          <w:rFonts w:ascii="Times New Roman" w:hAnsi="Times New Roman" w:cs="Times New Roman"/>
          <w:noProof/>
          <w:sz w:val="24"/>
          <w:szCs w:val="24"/>
          <w:lang w:val="sq-AL"/>
        </w:rPr>
        <w:t xml:space="preserve">”, i ndryshuar, </w:t>
      </w:r>
      <w:r w:rsidRPr="00641640">
        <w:rPr>
          <w:rFonts w:ascii="Times New Roman" w:hAnsi="Times New Roman" w:cs="Times New Roman"/>
          <w:noProof/>
          <w:sz w:val="24"/>
          <w:szCs w:val="24"/>
          <w:lang w:val="sq-AL"/>
        </w:rPr>
        <w:t>do të</w:t>
      </w:r>
      <w:r w:rsidR="004321A4" w:rsidRPr="00641640">
        <w:rPr>
          <w:rFonts w:ascii="Times New Roman" w:hAnsi="Times New Roman" w:cs="Times New Roman"/>
          <w:noProof/>
          <w:sz w:val="24"/>
          <w:szCs w:val="24"/>
          <w:lang w:val="sq-AL"/>
        </w:rPr>
        <w:t>: (i)</w:t>
      </w:r>
      <w:r w:rsidRPr="00641640">
        <w:rPr>
          <w:rFonts w:ascii="Times New Roman" w:hAnsi="Times New Roman" w:cs="Times New Roman"/>
          <w:noProof/>
          <w:sz w:val="24"/>
          <w:szCs w:val="24"/>
          <w:lang w:val="sq-AL"/>
        </w:rPr>
        <w:t xml:space="preserve"> ndryshohet struktura e pagës</w:t>
      </w:r>
      <w:r w:rsidR="004321A4" w:rsidRPr="00641640">
        <w:rPr>
          <w:rFonts w:ascii="Times New Roman" w:hAnsi="Times New Roman" w:cs="Times New Roman"/>
          <w:noProof/>
          <w:sz w:val="24"/>
          <w:szCs w:val="24"/>
          <w:lang w:val="sq-AL"/>
        </w:rPr>
        <w:t xml:space="preserve">; (ii) </w:t>
      </w:r>
      <w:r w:rsidR="006F42CE" w:rsidRPr="00641640">
        <w:rPr>
          <w:rFonts w:ascii="Times New Roman" w:hAnsi="Times New Roman" w:cs="Times New Roman"/>
          <w:noProof/>
          <w:sz w:val="24"/>
          <w:szCs w:val="24"/>
          <w:lang w:val="sq-AL"/>
        </w:rPr>
        <w:t xml:space="preserve">parashikohet mundësia e </w:t>
      </w:r>
      <w:r w:rsidRPr="00641640">
        <w:rPr>
          <w:rFonts w:ascii="Times New Roman" w:hAnsi="Times New Roman" w:cs="Times New Roman"/>
          <w:noProof/>
          <w:sz w:val="24"/>
          <w:szCs w:val="24"/>
          <w:lang w:val="sq-AL"/>
        </w:rPr>
        <w:t>shpërblimi</w:t>
      </w:r>
      <w:r w:rsidR="006F42CE" w:rsidRPr="00641640">
        <w:rPr>
          <w:rFonts w:ascii="Times New Roman" w:hAnsi="Times New Roman" w:cs="Times New Roman"/>
          <w:noProof/>
          <w:sz w:val="24"/>
          <w:szCs w:val="24"/>
          <w:lang w:val="sq-AL"/>
        </w:rPr>
        <w:t>t</w:t>
      </w:r>
      <w:r w:rsidRPr="00641640">
        <w:rPr>
          <w:rFonts w:ascii="Times New Roman" w:hAnsi="Times New Roman" w:cs="Times New Roman"/>
          <w:noProof/>
          <w:sz w:val="24"/>
          <w:szCs w:val="24"/>
          <w:lang w:val="sq-AL"/>
        </w:rPr>
        <w:t xml:space="preserve"> </w:t>
      </w:r>
      <w:r w:rsidR="006F42CE" w:rsidRPr="00641640">
        <w:rPr>
          <w:rFonts w:ascii="Times New Roman" w:hAnsi="Times New Roman" w:cs="Times New Roman"/>
          <w:noProof/>
          <w:sz w:val="24"/>
          <w:szCs w:val="24"/>
          <w:lang w:val="sq-AL"/>
        </w:rPr>
        <w:t>për</w:t>
      </w:r>
      <w:r w:rsidRPr="00641640">
        <w:rPr>
          <w:rFonts w:ascii="Times New Roman" w:hAnsi="Times New Roman" w:cs="Times New Roman"/>
          <w:noProof/>
          <w:sz w:val="24"/>
          <w:szCs w:val="24"/>
          <w:lang w:val="sq-AL"/>
        </w:rPr>
        <w:t xml:space="preserve"> performancë në punë. Në përputhje me këtë qasje, procesi i vlerësimit të performancës individuale të nëpunësve do të rishikohet dhe do të zbatohet praktikisht, duke u harmonizuar me objektivat e përgjithshme të performancës institucionale.</w:t>
      </w:r>
    </w:p>
    <w:p w14:paraId="4C5065FF" w14:textId="77777777" w:rsidR="001161DE" w:rsidRPr="00641640" w:rsidRDefault="001161D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Përmirësimi i transparencës në shpërblimin financiar të nëpunësve publikë do të jetë një tjetër drejtim i rëndësishëm i masave drejt ndërtimit të një administrate të drejtë dhe të besueshme. Ndërhyrjet do të përfshijnë jo vetëm komunikimin e qartë dhe të detajuar të pagave dhe përfitimeve periodikisht për secilin punonjës, por edhe përfshirjen e informacionit të saktë mbi pagën e pritshme në njoftimet për aplikimet për vendet vakante. Kjo masë do të ndihmojë në tërheqjen e kandidatëve më të mirëinformuar për pozicionin e punës, do të rrisë besimin në procesin e rekrutimit dhe do të promovojë edhe më tej kulturën e transparencës dhe llogaridhënies në administratën publike.</w:t>
      </w:r>
    </w:p>
    <w:p w14:paraId="4365BA82" w14:textId="77777777" w:rsidR="001161DE" w:rsidRPr="00641640" w:rsidRDefault="001161D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Për të vijuar rritjen e motivimit të nëpunësve publikë, do të zbatohet një model i punës hibride (mes punës në zyrë dhe asaj në distancë), me modalitete të mirëpërcaktuara për të garantuar zbatimin e tij efikas. Gjithashtu, do të vijohet me konsolidimin e punës fleksibël që është në zbatim prej gushtit 2024, si një mekanizëm i rregullt dhe lehtësisht i aplikueshëm që synon balancën më të mirë mes jetës profesionale dhe asaj personale për nëpunësit publikë. Në po të njëjtin drejtim, do të vlerësohet edhe mundësia për të minimizuar orarin e punës për disa institucione/pozicione specifike, me qëllim tërheqjen e personave nga sektori privat që nuk mund të punësohen me kohë të plotë në administratë, si dhe të kategorive të tjera të personave që nuk mund të angazhohen sipas orarit standard.</w:t>
      </w:r>
    </w:p>
    <w:p w14:paraId="30B0E305" w14:textId="378E8FF0" w:rsidR="001161DE" w:rsidRPr="00641640" w:rsidRDefault="001161D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Me synim tërheqjen e talenteve të reja në administratën publike, do të vijohet me zbatimin me prioritet të programeve për tërheqjen e kandidatëve të rinj të kualifikuar, përfshirë këtu Programin e Ekselencës dhe Programin “Qelizat e Reja”. Paralelisht, në kuadër të përpjekjeve për rritjen e besueshmërisë në profesionalizmin dhe integritetin e stafeve dhe procese institucionale, janë planifikuar masa të rëndësishme që synojnë përmirësimin e kuadrit rregullator dhe fuqizimin e kapaciteteve institucionale për zbatimin praktik të rregullave etike. Si pjesë e këtyre përpjekjeve, do të plotësohet kuadri rregullator për etikën në përputhje me ligjin nr. 152/2013 dhe </w:t>
      </w:r>
      <w:r w:rsidR="00416664" w:rsidRPr="00641640">
        <w:rPr>
          <w:rFonts w:ascii="Times New Roman" w:hAnsi="Times New Roman" w:cs="Times New Roman"/>
          <w:noProof/>
          <w:sz w:val="24"/>
          <w:szCs w:val="24"/>
          <w:lang w:val="sq-AL"/>
        </w:rPr>
        <w:t>v</w:t>
      </w:r>
      <w:r w:rsidRPr="00641640">
        <w:rPr>
          <w:rFonts w:ascii="Times New Roman" w:hAnsi="Times New Roman" w:cs="Times New Roman"/>
          <w:noProof/>
          <w:sz w:val="24"/>
          <w:szCs w:val="24"/>
          <w:lang w:val="sq-AL"/>
        </w:rPr>
        <w:t xml:space="preserve">endimin </w:t>
      </w:r>
      <w:r w:rsidR="00416664" w:rsidRPr="00641640">
        <w:rPr>
          <w:rFonts w:ascii="Times New Roman" w:hAnsi="Times New Roman" w:cs="Times New Roman"/>
          <w:noProof/>
          <w:sz w:val="24"/>
          <w:szCs w:val="24"/>
          <w:lang w:val="sq-AL"/>
        </w:rPr>
        <w:t>nr. 874/2021, të</w:t>
      </w:r>
      <w:r w:rsidRPr="00641640">
        <w:rPr>
          <w:rFonts w:ascii="Times New Roman" w:hAnsi="Times New Roman" w:cs="Times New Roman"/>
          <w:noProof/>
          <w:sz w:val="24"/>
          <w:szCs w:val="24"/>
          <w:lang w:val="sq-AL"/>
        </w:rPr>
        <w:t xml:space="preserve"> Këshillit të Ministrave. Kjo përfshin miratimin e Manualit të Rregullave Etike për Punonjësit e Administratës Publike, i cili do të shërbejë si një dokument orientues i detajuar për sjelljen etike të punonjësve. Për të garantuar një qasje unifikuese dhe transparente ndaj rasteve të shkeljeve disiplinore, do të hartohet dhe miratohet një udhëzues i ri mbi elementet kryesore procedural</w:t>
      </w:r>
      <w:r w:rsidR="00760E9E" w:rsidRPr="00641640">
        <w:rPr>
          <w:rFonts w:ascii="Times New Roman" w:hAnsi="Times New Roman" w:cs="Times New Roman"/>
          <w:noProof/>
          <w:sz w:val="24"/>
          <w:szCs w:val="24"/>
          <w:lang w:val="sq-AL"/>
        </w:rPr>
        <w:t xml:space="preserve">ë </w:t>
      </w:r>
      <w:r w:rsidRPr="00641640">
        <w:rPr>
          <w:rFonts w:ascii="Times New Roman" w:hAnsi="Times New Roman" w:cs="Times New Roman"/>
          <w:noProof/>
          <w:sz w:val="24"/>
          <w:szCs w:val="24"/>
          <w:lang w:val="sq-AL"/>
        </w:rPr>
        <w:t>dhe material</w:t>
      </w:r>
      <w:r w:rsidR="00760E9E"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për shqyrtimin e tyre. Gjithashtu, do të zhvillohet një metodologji për </w:t>
      </w:r>
      <w:r w:rsidRPr="00641640">
        <w:rPr>
          <w:rFonts w:ascii="Times New Roman" w:hAnsi="Times New Roman" w:cs="Times New Roman"/>
          <w:noProof/>
          <w:sz w:val="24"/>
          <w:szCs w:val="24"/>
          <w:lang w:val="sq-AL"/>
        </w:rPr>
        <w:lastRenderedPageBreak/>
        <w:t>monitorimin e zbatimit të rregullave etike në institucionet publike, e cila do të mundësojë vlerësimin e efektivitetit të rregullave ekzistuese dhe identifikimin e hapësirave për përmirësim në zbatimin e tyre brenda institucioneve.</w:t>
      </w:r>
    </w:p>
    <w:p w14:paraId="0D020FD6" w14:textId="77777777" w:rsidR="001161DE" w:rsidRPr="00641640" w:rsidRDefault="001161D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Për të mbështetur zbatimin praktik të rregullave të etikës, Departamenti i Administratës Publike (DAP) dhe institucionet publike do të fuqizojnë kapacitetet e tyre për monitorim, përmes rritjes së ndërgjegjësimit dhe aftësive të nëpunësve për të vepruar në përputhje me detyrimet ligjore dhe rregullatore për etikën dhe integritetin. Paralelisht, në zbatim të Udhërrëfyesit për Reformën e Administratës Publike, këshilltarë të dedikuar për etikën do të caktohen në të gjitha institucionet publike, duke ofruar mbështetje dhe mbikëqyrje të vazhdueshme për promovimin e standardeve etike, duke reflektuar më tej përkushtimin ndaj një administrate publike me integritet të lartë. Këto masa janë të orientuara drejt forcimit të një kulture etike dhe transparente në administratën publike, duke përmirësuar jo vetëm menaxhimin e burimeve njerëzore, por edhe perceptimin e institucioneve publike nga qytetarët dhe partnerët ndërkombëtarë. </w:t>
      </w:r>
    </w:p>
    <w:p w14:paraId="23263021" w14:textId="2226D0AD" w:rsidR="001161DE" w:rsidRPr="00641640" w:rsidRDefault="001161D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Një nga prioritetet kryesore për forcimin e administratës publike është krijimi i mekanizmave të q</w:t>
      </w:r>
      <w:r w:rsidR="00906360" w:rsidRPr="00641640">
        <w:rPr>
          <w:rFonts w:ascii="Times New Roman" w:hAnsi="Times New Roman" w:cs="Times New Roman"/>
          <w:noProof/>
          <w:sz w:val="24"/>
          <w:szCs w:val="24"/>
          <w:lang w:val="sq-AL"/>
        </w:rPr>
        <w:t>e</w:t>
      </w:r>
      <w:r w:rsidRPr="00641640">
        <w:rPr>
          <w:rFonts w:ascii="Times New Roman" w:hAnsi="Times New Roman" w:cs="Times New Roman"/>
          <w:noProof/>
          <w:sz w:val="24"/>
          <w:szCs w:val="24"/>
          <w:lang w:val="sq-AL"/>
        </w:rPr>
        <w:t>ndrueshëm për promovimin e kapitalit njerëzor profesional dhe me integritet. Përmes masave të parashikuara do të institucionalizohen praktikat e rregullta që garantojnë vlerësimin dhe avancimin në karrierë të nëpunësve publikë të cilët shquhen për aftësitë, përkushtimin dhe etikën e tyre profesionale</w:t>
      </w:r>
      <w:r w:rsidR="005803AE"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Këto praktika do të ndihmojnë ndërtimin e mëtejshëm të një sistemi meritokratik dhe transparent, ku përformanca e lartë dhe integriteti shpërblehen dhe motivojnë zhvillimin profesional të të gjithë nëpunësve.</w:t>
      </w:r>
    </w:p>
    <w:p w14:paraId="0B111BFD" w14:textId="77777777" w:rsidR="001161DE" w:rsidRPr="00641640" w:rsidRDefault="001161D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Gjithashtu, në kuadër të zbatimit vijues të Paketës së Motivimit me synim tërheqjen e talenteve më të mira dhe mbajtjen e burimeve njerëzore ekzistuese në administratën publike, do të sigurohet akses preferencial në shërbime dhe aktivitete për nëpunësit, përfshirë përfitime sociale, profesionale dhe kulturore. Këto masa do të rrisin motivimin, kënaqësinë në punë dhe ndjenjën e përkatësisë, duke forcuar vlerësimin për rolin e administratës publike në shërbimin cilësor ndaj qytetarëve.</w:t>
      </w:r>
    </w:p>
    <w:p w14:paraId="2A6B5CA7" w14:textId="77777777" w:rsidR="001161DE" w:rsidRPr="00641640" w:rsidRDefault="001161D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Vizioni madhor i të gjitha këtyre masave është pozicionimi i administratës publike si një punëdhënës i besueshëm, tërheqës dhe konkurrues. Për këtë qëllim, do të punohet në mënyrë të dedikuar për promovimin e saj, duke ndërmarrë një sërë nismash konkrete që përfshijnë organizimin e rregullt të Javës së Administratës Publike njëherësh si një mundësi për të treguar vlerësim për punën e përditshme të nëpunësve publike, si edhe për t’i sjellë institucionet më pranë publikut. Në të njëjtën linjë pune, do të rritet prezenca e DAP dhe institucioneve publike në panairet kombëtare të punës, si dhe bashkëpunimi me partnerë akademikë dhe jo vetëm. Këto masa do të garantojnë pozitën gjithnjë e më të fuqishme dhe dinamike të administratës publike si një zgjedhje e mirë karriere për talentet, duke forcuar imazhin e saj si një strukturë moderne, efikase dhe të orientuar drejt rezultateve.</w:t>
      </w:r>
    </w:p>
    <w:p w14:paraId="295C3EFE" w14:textId="77777777" w:rsidR="00C05154" w:rsidRPr="00641640" w:rsidRDefault="00C05154" w:rsidP="00F863ED">
      <w:pPr>
        <w:spacing w:after="0" w:line="276" w:lineRule="auto"/>
        <w:jc w:val="both"/>
        <w:rPr>
          <w:rFonts w:ascii="Times New Roman" w:hAnsi="Times New Roman" w:cs="Times New Roman"/>
          <w:noProof/>
          <w:sz w:val="24"/>
          <w:szCs w:val="24"/>
          <w:lang w:val="sq-AL"/>
        </w:rPr>
      </w:pPr>
    </w:p>
    <w:p w14:paraId="265CB075" w14:textId="77777777" w:rsidR="00A4187D" w:rsidRPr="00641640" w:rsidRDefault="00A4187D" w:rsidP="00F863ED">
      <w:p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imes New Roman" w:hAnsi="Times New Roman" w:cs="Times New Roman"/>
          <w:b/>
          <w:bCs/>
          <w:noProof/>
          <w:sz w:val="24"/>
          <w:szCs w:val="24"/>
          <w:lang w:val="sq-AL"/>
        </w:rPr>
        <w:lastRenderedPageBreak/>
        <w:t>Rezultatet e pritshme nga zbatimi i masave që lidhen me Objektivin Specifik</w:t>
      </w:r>
    </w:p>
    <w:p w14:paraId="563345CE" w14:textId="11D4B134" w:rsidR="00AE0463" w:rsidRPr="00641640" w:rsidRDefault="00A4187D"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 xml:space="preserve">Objektivi Specifik </w:t>
      </w:r>
      <w:r w:rsidR="00AE0463" w:rsidRPr="00641640">
        <w:rPr>
          <w:rFonts w:ascii="Times New Roman" w:eastAsia="Times New Roman" w:hAnsi="Times New Roman" w:cs="Times New Roman"/>
          <w:noProof/>
          <w:sz w:val="24"/>
          <w:szCs w:val="24"/>
          <w:lang w:val="sq-AL"/>
        </w:rPr>
        <w:t>2.2</w:t>
      </w:r>
      <w:r w:rsidRPr="00641640">
        <w:rPr>
          <w:rFonts w:ascii="Times New Roman" w:eastAsia="Times New Roman" w:hAnsi="Times New Roman" w:cs="Times New Roman"/>
          <w:noProof/>
          <w:sz w:val="24"/>
          <w:szCs w:val="24"/>
          <w:lang w:val="sq-AL"/>
        </w:rPr>
        <w:t>,</w:t>
      </w:r>
      <w:r w:rsidR="00D94137" w:rsidRPr="00641640">
        <w:rPr>
          <w:rFonts w:ascii="Times New Roman" w:eastAsia="Times New Roman" w:hAnsi="Times New Roman" w:cs="Times New Roman"/>
          <w:noProof/>
          <w:sz w:val="24"/>
          <w:szCs w:val="24"/>
          <w:lang w:val="sq-AL"/>
        </w:rPr>
        <w:t xml:space="preserve"> </w:t>
      </w:r>
      <w:r w:rsidR="00325B09" w:rsidRPr="00641640">
        <w:rPr>
          <w:rFonts w:ascii="Times New Roman" w:eastAsia="Times New Roman" w:hAnsi="Times New Roman" w:cs="Times New Roman"/>
          <w:noProof/>
          <w:sz w:val="24"/>
          <w:szCs w:val="24"/>
          <w:lang w:val="sq-AL"/>
        </w:rPr>
        <w:t>duke patur</w:t>
      </w:r>
      <w:r w:rsidR="00D94137" w:rsidRPr="00641640">
        <w:rPr>
          <w:rFonts w:ascii="Times New Roman" w:eastAsia="Times New Roman" w:hAnsi="Times New Roman" w:cs="Times New Roman"/>
          <w:noProof/>
          <w:sz w:val="24"/>
          <w:szCs w:val="24"/>
          <w:lang w:val="sq-AL"/>
        </w:rPr>
        <w:t xml:space="preserve"> s</w:t>
      </w:r>
      <w:r w:rsidR="005803AE" w:rsidRPr="00641640">
        <w:rPr>
          <w:rFonts w:ascii="Times New Roman" w:eastAsia="Times New Roman" w:hAnsi="Times New Roman" w:cs="Times New Roman"/>
          <w:noProof/>
          <w:sz w:val="24"/>
          <w:szCs w:val="24"/>
          <w:lang w:val="sq-AL"/>
        </w:rPr>
        <w:t>i</w:t>
      </w:r>
      <w:r w:rsidR="00D94137" w:rsidRPr="00641640">
        <w:rPr>
          <w:rFonts w:ascii="Times New Roman" w:eastAsia="Times New Roman" w:hAnsi="Times New Roman" w:cs="Times New Roman"/>
          <w:noProof/>
          <w:sz w:val="24"/>
          <w:szCs w:val="24"/>
          <w:lang w:val="sq-AL"/>
        </w:rPr>
        <w:t xml:space="preserve"> </w:t>
      </w:r>
      <w:r w:rsidR="00325B09" w:rsidRPr="00641640">
        <w:rPr>
          <w:rFonts w:ascii="Times New Roman" w:eastAsia="Times New Roman" w:hAnsi="Times New Roman" w:cs="Times New Roman"/>
          <w:noProof/>
          <w:sz w:val="24"/>
          <w:szCs w:val="24"/>
          <w:lang w:val="sq-AL"/>
        </w:rPr>
        <w:t>synim</w:t>
      </w:r>
      <w:r w:rsidR="00D94137" w:rsidRPr="00641640">
        <w:rPr>
          <w:rFonts w:ascii="Times New Roman" w:eastAsia="Times New Roman" w:hAnsi="Times New Roman" w:cs="Times New Roman"/>
          <w:noProof/>
          <w:sz w:val="24"/>
          <w:szCs w:val="24"/>
          <w:lang w:val="sq-AL"/>
        </w:rPr>
        <w:t xml:space="preserve"> </w:t>
      </w:r>
      <w:r w:rsidR="00325B09" w:rsidRPr="00641640">
        <w:rPr>
          <w:rFonts w:ascii="Times New Roman" w:eastAsia="Times New Roman" w:hAnsi="Times New Roman" w:cs="Times New Roman"/>
          <w:noProof/>
          <w:sz w:val="24"/>
          <w:szCs w:val="24"/>
          <w:lang w:val="sq-AL"/>
        </w:rPr>
        <w:t xml:space="preserve">parësor </w:t>
      </w:r>
      <w:r w:rsidR="00D94137" w:rsidRPr="00641640">
        <w:rPr>
          <w:rFonts w:ascii="Times New Roman" w:eastAsia="Times New Roman" w:hAnsi="Times New Roman" w:cs="Times New Roman"/>
          <w:noProof/>
          <w:sz w:val="24"/>
          <w:szCs w:val="24"/>
          <w:lang w:val="sq-AL"/>
        </w:rPr>
        <w:t xml:space="preserve">pozicionimin e </w:t>
      </w:r>
      <w:r w:rsidR="00AE0463" w:rsidRPr="00641640">
        <w:rPr>
          <w:rFonts w:ascii="Times New Roman" w:hAnsi="Times New Roman" w:cs="Times New Roman"/>
          <w:noProof/>
          <w:sz w:val="24"/>
          <w:szCs w:val="24"/>
          <w:lang w:val="sq-AL"/>
        </w:rPr>
        <w:t>administratës publike si një punëdhënës i besueshëm, tërheqës dhe konkurues në tregun e punës</w:t>
      </w:r>
      <w:r w:rsidR="009C76EA" w:rsidRPr="00641640">
        <w:rPr>
          <w:rFonts w:ascii="Times New Roman" w:hAnsi="Times New Roman" w:cs="Times New Roman"/>
          <w:noProof/>
          <w:sz w:val="24"/>
          <w:szCs w:val="24"/>
          <w:lang w:val="sq-AL"/>
        </w:rPr>
        <w:t>, pritet t</w:t>
      </w:r>
      <w:r w:rsidR="001E02B8" w:rsidRPr="00641640">
        <w:rPr>
          <w:rFonts w:ascii="Times New Roman" w:hAnsi="Times New Roman" w:cs="Times New Roman"/>
          <w:noProof/>
          <w:sz w:val="24"/>
          <w:szCs w:val="24"/>
          <w:lang w:val="sq-AL"/>
        </w:rPr>
        <w:t>ë</w:t>
      </w:r>
      <w:r w:rsidR="009C76EA" w:rsidRPr="00641640">
        <w:rPr>
          <w:rFonts w:ascii="Times New Roman" w:hAnsi="Times New Roman" w:cs="Times New Roman"/>
          <w:noProof/>
          <w:sz w:val="24"/>
          <w:szCs w:val="24"/>
          <w:lang w:val="sq-AL"/>
        </w:rPr>
        <w:t xml:space="preserve"> jap</w:t>
      </w:r>
      <w:r w:rsidR="001E02B8" w:rsidRPr="00641640">
        <w:rPr>
          <w:rFonts w:ascii="Times New Roman" w:hAnsi="Times New Roman" w:cs="Times New Roman"/>
          <w:noProof/>
          <w:sz w:val="24"/>
          <w:szCs w:val="24"/>
          <w:lang w:val="sq-AL"/>
        </w:rPr>
        <w:t>ë</w:t>
      </w:r>
      <w:r w:rsidR="009C76EA" w:rsidRPr="00641640">
        <w:rPr>
          <w:rFonts w:ascii="Times New Roman" w:hAnsi="Times New Roman" w:cs="Times New Roman"/>
          <w:noProof/>
          <w:sz w:val="24"/>
          <w:szCs w:val="24"/>
          <w:lang w:val="sq-AL"/>
        </w:rPr>
        <w:t xml:space="preserve"> k</w:t>
      </w:r>
      <w:r w:rsidR="001E02B8" w:rsidRPr="00641640">
        <w:rPr>
          <w:rFonts w:ascii="Times New Roman" w:hAnsi="Times New Roman" w:cs="Times New Roman"/>
          <w:noProof/>
          <w:sz w:val="24"/>
          <w:szCs w:val="24"/>
          <w:lang w:val="sq-AL"/>
        </w:rPr>
        <w:t>ë</w:t>
      </w:r>
      <w:r w:rsidR="009C76EA" w:rsidRPr="00641640">
        <w:rPr>
          <w:rFonts w:ascii="Times New Roman" w:hAnsi="Times New Roman" w:cs="Times New Roman"/>
          <w:noProof/>
          <w:sz w:val="24"/>
          <w:szCs w:val="24"/>
          <w:lang w:val="sq-AL"/>
        </w:rPr>
        <w:t>to rezultate:</w:t>
      </w:r>
    </w:p>
    <w:p w14:paraId="024AE88E" w14:textId="70AD7C9B" w:rsidR="00A4187D" w:rsidRPr="00641640" w:rsidRDefault="00A4187D" w:rsidP="00F863ED">
      <w:pPr>
        <w:spacing w:line="276" w:lineRule="auto"/>
        <w:jc w:val="both"/>
        <w:rPr>
          <w:rFonts w:ascii="Times New Roman" w:eastAsiaTheme="minorHAnsi"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1:</w:t>
      </w:r>
      <w:r w:rsidRPr="00641640">
        <w:rPr>
          <w:rFonts w:ascii="Times New Roman" w:eastAsia="Times New Roman" w:hAnsi="Times New Roman" w:cs="Times New Roman"/>
          <w:noProof/>
          <w:sz w:val="24"/>
          <w:szCs w:val="24"/>
          <w:lang w:val="sq-AL"/>
        </w:rPr>
        <w:t xml:space="preserve"> </w:t>
      </w:r>
      <w:r w:rsidR="00A22B9F" w:rsidRPr="00641640">
        <w:rPr>
          <w:rFonts w:ascii="Times New Roman" w:hAnsi="Times New Roman" w:cs="Times New Roman"/>
          <w:bCs/>
          <w:noProof/>
          <w:sz w:val="24"/>
          <w:szCs w:val="24"/>
          <w:lang w:val="sq-AL"/>
        </w:rPr>
        <w:t>Aplikimi</w:t>
      </w:r>
      <w:r w:rsidR="00467ED9" w:rsidRPr="00641640">
        <w:rPr>
          <w:rFonts w:ascii="Times New Roman" w:hAnsi="Times New Roman" w:cs="Times New Roman"/>
          <w:bCs/>
          <w:noProof/>
          <w:sz w:val="24"/>
          <w:szCs w:val="24"/>
          <w:lang w:val="sq-AL"/>
        </w:rPr>
        <w:t xml:space="preserve">n e </w:t>
      </w:r>
      <w:r w:rsidR="00A22B9F" w:rsidRPr="00641640">
        <w:rPr>
          <w:rFonts w:ascii="Times New Roman" w:hAnsi="Times New Roman" w:cs="Times New Roman"/>
          <w:bCs/>
          <w:noProof/>
          <w:sz w:val="24"/>
          <w:szCs w:val="24"/>
          <w:lang w:val="sq-AL"/>
        </w:rPr>
        <w:t xml:space="preserve">strukturës së thjeshtëzuar të pagave dhe rritjes së </w:t>
      </w:r>
      <w:r w:rsidR="00A22B9F" w:rsidRPr="00641640">
        <w:rPr>
          <w:rFonts w:ascii="Times New Roman" w:hAnsi="Times New Roman" w:cs="Times New Roman"/>
          <w:noProof/>
          <w:sz w:val="24"/>
          <w:szCs w:val="24"/>
          <w:lang w:val="sq-AL"/>
        </w:rPr>
        <w:t>elementeve motivuese në shpërblimin financiar</w:t>
      </w:r>
      <w:r w:rsidR="00467ED9" w:rsidRPr="00641640">
        <w:rPr>
          <w:rFonts w:ascii="Times New Roman" w:hAnsi="Times New Roman" w:cs="Times New Roman"/>
          <w:noProof/>
          <w:sz w:val="24"/>
          <w:szCs w:val="24"/>
          <w:lang w:val="sq-AL"/>
        </w:rPr>
        <w:t>.</w:t>
      </w:r>
    </w:p>
    <w:p w14:paraId="0EC83AE6" w14:textId="04E279F9" w:rsidR="00A4187D" w:rsidRPr="00641640" w:rsidRDefault="00A4187D" w:rsidP="00F863ED">
      <w:pPr>
        <w:spacing w:line="276" w:lineRule="auto"/>
        <w:jc w:val="both"/>
        <w:rPr>
          <w:rFonts w:ascii="Times New Roman" w:eastAsiaTheme="minorHAnsi" w:hAnsi="Times New Roman" w:cs="Times New Roman"/>
          <w:bCs/>
          <w:noProof/>
          <w:sz w:val="24"/>
          <w:szCs w:val="24"/>
          <w:lang w:val="sq-AL"/>
        </w:rPr>
      </w:pPr>
      <w:r w:rsidRPr="00641640">
        <w:rPr>
          <w:rFonts w:ascii="Times New Roman" w:eastAsia="Times New Roman" w:hAnsi="Times New Roman" w:cs="Times New Roman"/>
          <w:b/>
          <w:bCs/>
          <w:noProof/>
          <w:sz w:val="24"/>
          <w:szCs w:val="24"/>
          <w:lang w:val="sq-AL"/>
        </w:rPr>
        <w:t>Rezultati 2:</w:t>
      </w:r>
      <w:r w:rsidRPr="00641640">
        <w:rPr>
          <w:rFonts w:ascii="Times New Roman" w:eastAsia="Times New Roman" w:hAnsi="Times New Roman" w:cs="Times New Roman"/>
          <w:noProof/>
          <w:sz w:val="24"/>
          <w:szCs w:val="24"/>
          <w:lang w:val="sq-AL"/>
        </w:rPr>
        <w:t xml:space="preserve"> </w:t>
      </w:r>
      <w:r w:rsidR="00F84234" w:rsidRPr="00641640">
        <w:rPr>
          <w:rFonts w:ascii="Times New Roman" w:eastAsiaTheme="minorHAnsi" w:hAnsi="Times New Roman" w:cs="Times New Roman"/>
          <w:bCs/>
          <w:noProof/>
          <w:sz w:val="24"/>
          <w:szCs w:val="24"/>
          <w:lang w:val="sq-AL"/>
        </w:rPr>
        <w:t>Rritjen e transparenc</w:t>
      </w:r>
      <w:r w:rsidR="001E02B8" w:rsidRPr="00641640">
        <w:rPr>
          <w:rFonts w:ascii="Times New Roman" w:eastAsiaTheme="minorHAnsi" w:hAnsi="Times New Roman" w:cs="Times New Roman"/>
          <w:bCs/>
          <w:noProof/>
          <w:sz w:val="24"/>
          <w:szCs w:val="24"/>
          <w:lang w:val="sq-AL"/>
        </w:rPr>
        <w:t>ë</w:t>
      </w:r>
      <w:r w:rsidR="00F84234" w:rsidRPr="00641640">
        <w:rPr>
          <w:rFonts w:ascii="Times New Roman" w:eastAsiaTheme="minorHAnsi" w:hAnsi="Times New Roman" w:cs="Times New Roman"/>
          <w:bCs/>
          <w:noProof/>
          <w:sz w:val="24"/>
          <w:szCs w:val="24"/>
          <w:lang w:val="sq-AL"/>
        </w:rPr>
        <w:t xml:space="preserve">s </w:t>
      </w:r>
      <w:r w:rsidR="00C45894" w:rsidRPr="00641640">
        <w:rPr>
          <w:rFonts w:ascii="Times New Roman" w:hAnsi="Times New Roman" w:cs="Times New Roman"/>
          <w:bCs/>
          <w:noProof/>
          <w:sz w:val="24"/>
          <w:szCs w:val="24"/>
          <w:lang w:val="sq-AL"/>
        </w:rPr>
        <w:t>së pagave për nëpunësit publikë, përfshirë edhe në njoftimet për aplikime për vendet vakante</w:t>
      </w:r>
      <w:r w:rsidR="00745191" w:rsidRPr="00641640">
        <w:rPr>
          <w:rFonts w:ascii="Times New Roman" w:eastAsiaTheme="minorHAnsi" w:hAnsi="Times New Roman" w:cs="Times New Roman"/>
          <w:noProof/>
          <w:sz w:val="24"/>
          <w:szCs w:val="24"/>
          <w:lang w:val="sq-AL"/>
        </w:rPr>
        <w:t xml:space="preserve"> në shërbimin civil</w:t>
      </w:r>
      <w:r w:rsidR="00A3423C" w:rsidRPr="00641640">
        <w:rPr>
          <w:rFonts w:ascii="Times New Roman" w:eastAsiaTheme="minorHAnsi" w:hAnsi="Times New Roman" w:cs="Times New Roman"/>
          <w:noProof/>
          <w:sz w:val="24"/>
          <w:szCs w:val="24"/>
          <w:lang w:val="sq-AL"/>
        </w:rPr>
        <w:t>.</w:t>
      </w:r>
    </w:p>
    <w:p w14:paraId="32883C96" w14:textId="3773FBC3" w:rsidR="00A4187D" w:rsidRPr="00641640" w:rsidRDefault="00A4187D" w:rsidP="00F863ED">
      <w:pPr>
        <w:spacing w:line="276" w:lineRule="auto"/>
        <w:jc w:val="both"/>
        <w:rPr>
          <w:rFonts w:ascii="Times New Roman" w:eastAsiaTheme="minorHAnsi"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3:</w:t>
      </w:r>
      <w:r w:rsidRPr="00641640">
        <w:rPr>
          <w:rFonts w:ascii="Times New Roman" w:eastAsia="Times New Roman" w:hAnsi="Times New Roman" w:cs="Times New Roman"/>
          <w:noProof/>
          <w:sz w:val="24"/>
          <w:szCs w:val="24"/>
          <w:lang w:val="sq-AL"/>
        </w:rPr>
        <w:t xml:space="preserve"> </w:t>
      </w:r>
      <w:r w:rsidR="00AC12D8" w:rsidRPr="00641640">
        <w:rPr>
          <w:rFonts w:ascii="Times New Roman" w:eastAsia="Times New Roman" w:hAnsi="Times New Roman" w:cs="Times New Roman"/>
          <w:noProof/>
          <w:sz w:val="24"/>
          <w:szCs w:val="24"/>
          <w:lang w:val="sq-AL"/>
        </w:rPr>
        <w:t xml:space="preserve">Hartimit, </w:t>
      </w:r>
      <w:r w:rsidR="00AC12D8" w:rsidRPr="00641640">
        <w:rPr>
          <w:rFonts w:ascii="Times New Roman" w:hAnsi="Times New Roman" w:cs="Times New Roman"/>
          <w:noProof/>
          <w:sz w:val="24"/>
          <w:szCs w:val="24"/>
          <w:lang w:val="sq-AL"/>
        </w:rPr>
        <w:t>m</w:t>
      </w:r>
      <w:r w:rsidR="003B4173" w:rsidRPr="00641640">
        <w:rPr>
          <w:rFonts w:ascii="Times New Roman" w:hAnsi="Times New Roman" w:cs="Times New Roman"/>
          <w:noProof/>
          <w:sz w:val="24"/>
          <w:szCs w:val="24"/>
          <w:lang w:val="sq-AL"/>
        </w:rPr>
        <w:t>iratimi</w:t>
      </w:r>
      <w:r w:rsidR="00AC12D8" w:rsidRPr="00641640">
        <w:rPr>
          <w:rFonts w:ascii="Times New Roman" w:hAnsi="Times New Roman" w:cs="Times New Roman"/>
          <w:noProof/>
          <w:sz w:val="24"/>
          <w:szCs w:val="24"/>
          <w:lang w:val="sq-AL"/>
        </w:rPr>
        <w:t>t</w:t>
      </w:r>
      <w:r w:rsidR="003B4173" w:rsidRPr="00641640">
        <w:rPr>
          <w:rFonts w:ascii="Times New Roman" w:hAnsi="Times New Roman" w:cs="Times New Roman"/>
          <w:noProof/>
          <w:sz w:val="24"/>
          <w:szCs w:val="24"/>
          <w:lang w:val="sq-AL"/>
        </w:rPr>
        <w:t xml:space="preserve"> dhe zbatimi</w:t>
      </w:r>
      <w:r w:rsidR="00AC12D8" w:rsidRPr="00641640">
        <w:rPr>
          <w:rFonts w:ascii="Times New Roman" w:hAnsi="Times New Roman" w:cs="Times New Roman"/>
          <w:noProof/>
          <w:sz w:val="24"/>
          <w:szCs w:val="24"/>
          <w:lang w:val="sq-AL"/>
        </w:rPr>
        <w:t>t</w:t>
      </w:r>
      <w:r w:rsidR="003B4173" w:rsidRPr="00641640">
        <w:rPr>
          <w:rFonts w:ascii="Times New Roman" w:hAnsi="Times New Roman" w:cs="Times New Roman"/>
          <w:noProof/>
          <w:sz w:val="24"/>
          <w:szCs w:val="24"/>
          <w:lang w:val="sq-AL"/>
        </w:rPr>
        <w:t xml:space="preserve"> </w:t>
      </w:r>
      <w:r w:rsidR="00AC12D8" w:rsidRPr="00641640">
        <w:rPr>
          <w:rFonts w:ascii="Times New Roman" w:hAnsi="Times New Roman" w:cs="Times New Roman"/>
          <w:noProof/>
          <w:sz w:val="24"/>
          <w:szCs w:val="24"/>
          <w:lang w:val="sq-AL"/>
        </w:rPr>
        <w:t>t</w:t>
      </w:r>
      <w:r w:rsidR="001E02B8" w:rsidRPr="00641640">
        <w:rPr>
          <w:rFonts w:ascii="Times New Roman" w:hAnsi="Times New Roman" w:cs="Times New Roman"/>
          <w:noProof/>
          <w:sz w:val="24"/>
          <w:szCs w:val="24"/>
          <w:lang w:val="sq-AL"/>
        </w:rPr>
        <w:t>ë</w:t>
      </w:r>
      <w:r w:rsidR="003B4173" w:rsidRPr="00641640">
        <w:rPr>
          <w:rFonts w:ascii="Times New Roman" w:hAnsi="Times New Roman" w:cs="Times New Roman"/>
          <w:noProof/>
          <w:sz w:val="24"/>
          <w:szCs w:val="24"/>
          <w:lang w:val="sq-AL"/>
        </w:rPr>
        <w:t xml:space="preserve"> metodologjisë së re për vlerësimin e pozicioneve të punës në administratën publike</w:t>
      </w:r>
      <w:r w:rsidR="00AC12D8" w:rsidRPr="00641640">
        <w:rPr>
          <w:rFonts w:ascii="Times New Roman" w:eastAsiaTheme="minorHAnsi" w:hAnsi="Times New Roman" w:cs="Times New Roman"/>
          <w:noProof/>
          <w:sz w:val="24"/>
          <w:szCs w:val="24"/>
          <w:lang w:val="sq-AL"/>
        </w:rPr>
        <w:t>.</w:t>
      </w:r>
    </w:p>
    <w:p w14:paraId="4A5D4417" w14:textId="6259CD68" w:rsidR="00F07BF0" w:rsidRPr="00641640" w:rsidRDefault="00F07BF0" w:rsidP="00F863ED">
      <w:pPr>
        <w:spacing w:after="0" w:line="276" w:lineRule="auto"/>
        <w:jc w:val="both"/>
        <w:rPr>
          <w:rFonts w:ascii="Times New Roman" w:eastAsia="Times New Roman" w:hAnsi="Times New Roman" w:cs="Times New Roman"/>
          <w:b/>
          <w:bCs/>
          <w:noProof/>
          <w:sz w:val="24"/>
          <w:szCs w:val="24"/>
          <w:lang w:val="sq-AL"/>
        </w:rPr>
      </w:pPr>
      <w:r w:rsidRPr="00641640">
        <w:rPr>
          <w:rFonts w:ascii="Times New Roman" w:eastAsia="Times New Roman" w:hAnsi="Times New Roman" w:cs="Times New Roman"/>
          <w:b/>
          <w:bCs/>
          <w:noProof/>
          <w:sz w:val="24"/>
          <w:szCs w:val="24"/>
          <w:lang w:val="sq-AL"/>
        </w:rPr>
        <w:t>Rezultati 4:</w:t>
      </w:r>
      <w:r w:rsidR="00BA526D" w:rsidRPr="00641640">
        <w:rPr>
          <w:rFonts w:ascii="Times New Roman" w:eastAsia="Times New Roman" w:hAnsi="Times New Roman" w:cs="Times New Roman"/>
          <w:b/>
          <w:bCs/>
          <w:noProof/>
          <w:sz w:val="24"/>
          <w:szCs w:val="24"/>
          <w:lang w:val="sq-AL"/>
        </w:rPr>
        <w:t xml:space="preserve"> </w:t>
      </w:r>
      <w:r w:rsidR="003262B3" w:rsidRPr="00641640">
        <w:rPr>
          <w:rFonts w:ascii="Times New Roman" w:hAnsi="Times New Roman" w:cs="Times New Roman"/>
          <w:noProof/>
          <w:sz w:val="24"/>
          <w:szCs w:val="24"/>
          <w:lang w:val="sq-AL"/>
        </w:rPr>
        <w:t>Forcimi i kapaciteteve institucional</w:t>
      </w:r>
      <w:r w:rsidR="007B3A37" w:rsidRPr="00641640">
        <w:rPr>
          <w:rFonts w:ascii="Times New Roman" w:hAnsi="Times New Roman" w:cs="Times New Roman"/>
          <w:noProof/>
          <w:sz w:val="24"/>
          <w:szCs w:val="24"/>
          <w:lang w:val="sq-AL"/>
        </w:rPr>
        <w:t>e</w:t>
      </w:r>
      <w:r w:rsidR="003262B3" w:rsidRPr="00641640">
        <w:rPr>
          <w:rFonts w:ascii="Times New Roman" w:hAnsi="Times New Roman" w:cs="Times New Roman"/>
          <w:noProof/>
          <w:sz w:val="24"/>
          <w:szCs w:val="24"/>
          <w:lang w:val="sq-AL"/>
        </w:rPr>
        <w:t xml:space="preserve"> për zbatimin në praktikë të rregullave të etikës nga nëpunësit e administratës publike</w:t>
      </w:r>
      <w:r w:rsidR="001521D1" w:rsidRPr="00641640">
        <w:rPr>
          <w:rFonts w:ascii="Times New Roman" w:hAnsi="Times New Roman" w:cs="Times New Roman"/>
          <w:bCs/>
          <w:noProof/>
          <w:sz w:val="24"/>
          <w:szCs w:val="24"/>
          <w:lang w:val="sq-AL"/>
        </w:rPr>
        <w:t xml:space="preserve"> n</w:t>
      </w:r>
      <w:r w:rsidR="001E02B8" w:rsidRPr="00641640">
        <w:rPr>
          <w:rFonts w:ascii="Times New Roman" w:hAnsi="Times New Roman" w:cs="Times New Roman"/>
          <w:bCs/>
          <w:noProof/>
          <w:sz w:val="24"/>
          <w:szCs w:val="24"/>
          <w:lang w:val="sq-AL"/>
        </w:rPr>
        <w:t>ë</w:t>
      </w:r>
      <w:r w:rsidR="001521D1" w:rsidRPr="00641640">
        <w:rPr>
          <w:rFonts w:ascii="Times New Roman" w:hAnsi="Times New Roman" w:cs="Times New Roman"/>
          <w:bCs/>
          <w:noProof/>
          <w:sz w:val="24"/>
          <w:szCs w:val="24"/>
          <w:lang w:val="sq-AL"/>
        </w:rPr>
        <w:t>p</w:t>
      </w:r>
      <w:r w:rsidR="001E02B8" w:rsidRPr="00641640">
        <w:rPr>
          <w:rFonts w:ascii="Times New Roman" w:hAnsi="Times New Roman" w:cs="Times New Roman"/>
          <w:bCs/>
          <w:noProof/>
          <w:sz w:val="24"/>
          <w:szCs w:val="24"/>
          <w:lang w:val="sq-AL"/>
        </w:rPr>
        <w:t>ë</w:t>
      </w:r>
      <w:r w:rsidR="001521D1" w:rsidRPr="00641640">
        <w:rPr>
          <w:rFonts w:ascii="Times New Roman" w:hAnsi="Times New Roman" w:cs="Times New Roman"/>
          <w:bCs/>
          <w:noProof/>
          <w:sz w:val="24"/>
          <w:szCs w:val="24"/>
          <w:lang w:val="sq-AL"/>
        </w:rPr>
        <w:t>rmjet:</w:t>
      </w:r>
    </w:p>
    <w:p w14:paraId="60AAFDCA" w14:textId="15FE1E27" w:rsidR="001521D1" w:rsidRPr="00641640" w:rsidRDefault="00651534" w:rsidP="00F863ED">
      <w:pPr>
        <w:pStyle w:val="ListParagraph"/>
        <w:numPr>
          <w:ilvl w:val="0"/>
          <w:numId w:val="5"/>
        </w:num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imes New Roman" w:hAnsi="Times New Roman" w:cs="Times New Roman"/>
          <w:noProof/>
          <w:sz w:val="24"/>
          <w:szCs w:val="24"/>
          <w:lang w:val="sq-AL"/>
        </w:rPr>
        <w:t>Miratimit t</w:t>
      </w:r>
      <w:r w:rsidR="001E02B8"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 xml:space="preserve"> manualit </w:t>
      </w:r>
      <w:r w:rsidR="00510481" w:rsidRPr="00641640">
        <w:rPr>
          <w:rFonts w:ascii="Times New Roman" w:hAnsi="Times New Roman" w:cs="Times New Roman"/>
          <w:noProof/>
          <w:sz w:val="24"/>
          <w:szCs w:val="24"/>
          <w:lang w:val="sq-AL"/>
        </w:rPr>
        <w:t>praktik</w:t>
      </w:r>
      <w:r w:rsidR="00510481" w:rsidRPr="00641640">
        <w:rPr>
          <w:rFonts w:ascii="Times New Roman" w:hAnsi="Times New Roman" w:cs="Times New Roman"/>
          <w:bCs/>
          <w:noProof/>
          <w:sz w:val="24"/>
          <w:szCs w:val="24"/>
          <w:lang w:val="sq-AL"/>
        </w:rPr>
        <w:t xml:space="preserve"> t</w:t>
      </w:r>
      <w:r w:rsidR="001E02B8" w:rsidRPr="00641640">
        <w:rPr>
          <w:rFonts w:ascii="Times New Roman" w:hAnsi="Times New Roman" w:cs="Times New Roman"/>
          <w:bCs/>
          <w:noProof/>
          <w:sz w:val="24"/>
          <w:szCs w:val="24"/>
          <w:lang w:val="sq-AL"/>
        </w:rPr>
        <w:t>ë</w:t>
      </w:r>
      <w:r w:rsidR="00510481" w:rsidRPr="00641640">
        <w:rPr>
          <w:rFonts w:ascii="Times New Roman" w:hAnsi="Times New Roman" w:cs="Times New Roman"/>
          <w:bCs/>
          <w:noProof/>
          <w:sz w:val="24"/>
          <w:szCs w:val="24"/>
          <w:lang w:val="sq-AL"/>
        </w:rPr>
        <w:t xml:space="preserve"> Rregullave të Etikës për Nëpunësit e Administratës Publike</w:t>
      </w:r>
      <w:r w:rsidR="007C3815" w:rsidRPr="00641640">
        <w:rPr>
          <w:rFonts w:ascii="Times New Roman" w:hAnsi="Times New Roman" w:cs="Times New Roman"/>
          <w:bCs/>
          <w:noProof/>
          <w:sz w:val="24"/>
          <w:szCs w:val="24"/>
          <w:lang w:val="sq-AL"/>
        </w:rPr>
        <w:t>;</w:t>
      </w:r>
    </w:p>
    <w:p w14:paraId="293151D7" w14:textId="7A6B60CC" w:rsidR="008C6512" w:rsidRPr="00641640" w:rsidRDefault="007C3815" w:rsidP="00F863ED">
      <w:pPr>
        <w:pStyle w:val="ListParagraph"/>
        <w:numPr>
          <w:ilvl w:val="0"/>
          <w:numId w:val="5"/>
        </w:numPr>
        <w:spacing w:line="276" w:lineRule="auto"/>
        <w:jc w:val="both"/>
        <w:rPr>
          <w:rFonts w:ascii="Times New Roman" w:eastAsia="Times New Roman" w:hAnsi="Times New Roman" w:cs="Times New Roman"/>
          <w:b/>
          <w:bCs/>
          <w:noProof/>
          <w:sz w:val="24"/>
          <w:szCs w:val="24"/>
          <w:lang w:val="sq-AL"/>
        </w:rPr>
      </w:pPr>
      <w:r w:rsidRPr="00641640">
        <w:rPr>
          <w:rFonts w:ascii="Times New Roman" w:hAnsi="Times New Roman" w:cs="Times New Roman"/>
          <w:bCs/>
          <w:noProof/>
          <w:sz w:val="24"/>
          <w:szCs w:val="24"/>
          <w:lang w:val="sq-AL"/>
        </w:rPr>
        <w:t>Miratimit t</w:t>
      </w:r>
      <w:r w:rsidR="001E02B8"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Udhëzimit t</w:t>
      </w:r>
      <w:r w:rsidR="001E02B8"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ri për “</w:t>
      </w:r>
      <w:r w:rsidRPr="00641640">
        <w:rPr>
          <w:rFonts w:ascii="Times New Roman" w:hAnsi="Times New Roman" w:cs="Times New Roman"/>
          <w:bCs/>
          <w:i/>
          <w:iCs/>
          <w:noProof/>
          <w:sz w:val="24"/>
          <w:szCs w:val="24"/>
          <w:lang w:val="sq-AL"/>
        </w:rPr>
        <w:t>Organet Disiplinore dhe procedurën e shqyrtimit të shkeljeve disiplinore</w:t>
      </w:r>
      <w:r w:rsidRPr="00641640">
        <w:rPr>
          <w:rFonts w:ascii="Times New Roman" w:hAnsi="Times New Roman" w:cs="Times New Roman"/>
          <w:bCs/>
          <w:noProof/>
          <w:sz w:val="24"/>
          <w:szCs w:val="24"/>
          <w:lang w:val="sq-AL"/>
        </w:rPr>
        <w:t>”;</w:t>
      </w:r>
    </w:p>
    <w:p w14:paraId="5829C181" w14:textId="766551C5" w:rsidR="00E23C2E" w:rsidRPr="00641640" w:rsidRDefault="00E23C2E" w:rsidP="00F863ED">
      <w:pPr>
        <w:pStyle w:val="ListParagraph"/>
        <w:numPr>
          <w:ilvl w:val="0"/>
          <w:numId w:val="5"/>
        </w:numPr>
        <w:spacing w:line="276" w:lineRule="auto"/>
        <w:jc w:val="both"/>
        <w:rPr>
          <w:rFonts w:ascii="Times New Roman" w:eastAsia="Times New Roman" w:hAnsi="Times New Roman" w:cs="Times New Roman"/>
          <w:b/>
          <w:bCs/>
          <w:noProof/>
          <w:sz w:val="24"/>
          <w:szCs w:val="24"/>
          <w:lang w:val="sq-AL"/>
        </w:rPr>
      </w:pPr>
      <w:r w:rsidRPr="00641640">
        <w:rPr>
          <w:rFonts w:ascii="Times New Roman" w:hAnsi="Times New Roman" w:cs="Times New Roman"/>
          <w:bCs/>
          <w:noProof/>
          <w:sz w:val="24"/>
          <w:szCs w:val="24"/>
          <w:lang w:val="sq-AL"/>
        </w:rPr>
        <w:t>Miratimit t</w:t>
      </w:r>
      <w:r w:rsidR="001E02B8"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Udhëzimit për “</w:t>
      </w:r>
      <w:r w:rsidRPr="00641640">
        <w:rPr>
          <w:rFonts w:ascii="Times New Roman" w:hAnsi="Times New Roman" w:cs="Times New Roman"/>
          <w:bCs/>
          <w:i/>
          <w:iCs/>
          <w:noProof/>
          <w:sz w:val="24"/>
          <w:szCs w:val="24"/>
          <w:lang w:val="sq-AL"/>
        </w:rPr>
        <w:t>Rolin e njësive të burimeve njerëzore në zbatimin e legjislacionit për etikën dhe përcaktimin e procedurave të mbikëqyrjes nga Departamenti i Administratës Publike</w:t>
      </w:r>
      <w:r w:rsidRPr="00641640">
        <w:rPr>
          <w:rFonts w:ascii="Times New Roman" w:hAnsi="Times New Roman" w:cs="Times New Roman"/>
          <w:bCs/>
          <w:noProof/>
          <w:sz w:val="24"/>
          <w:szCs w:val="24"/>
          <w:lang w:val="sq-AL"/>
        </w:rPr>
        <w:t>”.</w:t>
      </w:r>
    </w:p>
    <w:p w14:paraId="6A8B4866" w14:textId="75876790" w:rsidR="00F07BF0" w:rsidRPr="00641640" w:rsidRDefault="00F07BF0" w:rsidP="00F863ED">
      <w:pPr>
        <w:spacing w:after="0" w:line="276" w:lineRule="auto"/>
        <w:jc w:val="both"/>
        <w:rPr>
          <w:rFonts w:ascii="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5:</w:t>
      </w:r>
      <w:r w:rsidR="00073F9C" w:rsidRPr="00641640">
        <w:rPr>
          <w:rFonts w:ascii="Times New Roman" w:hAnsi="Times New Roman" w:cs="Times New Roman"/>
          <w:noProof/>
          <w:sz w:val="24"/>
          <w:szCs w:val="24"/>
          <w:lang w:val="sq-AL"/>
        </w:rPr>
        <w:t xml:space="preserve"> Zbatimit t</w:t>
      </w:r>
      <w:r w:rsidR="001E02B8" w:rsidRPr="00641640">
        <w:rPr>
          <w:rFonts w:ascii="Times New Roman" w:hAnsi="Times New Roman" w:cs="Times New Roman"/>
          <w:noProof/>
          <w:sz w:val="24"/>
          <w:szCs w:val="24"/>
          <w:lang w:val="sq-AL"/>
        </w:rPr>
        <w:t>ë</w:t>
      </w:r>
      <w:r w:rsidR="00073F9C" w:rsidRPr="00641640">
        <w:rPr>
          <w:rFonts w:ascii="Times New Roman" w:hAnsi="Times New Roman" w:cs="Times New Roman"/>
          <w:noProof/>
          <w:sz w:val="24"/>
          <w:szCs w:val="24"/>
          <w:lang w:val="sq-AL"/>
        </w:rPr>
        <w:t xml:space="preserve"> programeve të posaçme me synim tërheqjen e nëpunësve civilë të kualifikuar</w:t>
      </w:r>
      <w:r w:rsidR="00F31331" w:rsidRPr="00641640">
        <w:rPr>
          <w:rFonts w:ascii="Times New Roman" w:hAnsi="Times New Roman" w:cs="Times New Roman"/>
          <w:noProof/>
          <w:sz w:val="24"/>
          <w:szCs w:val="24"/>
          <w:lang w:val="sq-AL"/>
        </w:rPr>
        <w:t xml:space="preserve"> n</w:t>
      </w:r>
      <w:r w:rsidR="001E02B8" w:rsidRPr="00641640">
        <w:rPr>
          <w:rFonts w:ascii="Times New Roman" w:hAnsi="Times New Roman" w:cs="Times New Roman"/>
          <w:noProof/>
          <w:sz w:val="24"/>
          <w:szCs w:val="24"/>
          <w:lang w:val="sq-AL"/>
        </w:rPr>
        <w:t>ë</w:t>
      </w:r>
      <w:r w:rsidR="00F31331" w:rsidRPr="00641640">
        <w:rPr>
          <w:rFonts w:ascii="Times New Roman" w:hAnsi="Times New Roman" w:cs="Times New Roman"/>
          <w:noProof/>
          <w:sz w:val="24"/>
          <w:szCs w:val="24"/>
          <w:lang w:val="sq-AL"/>
        </w:rPr>
        <w:t>p</w:t>
      </w:r>
      <w:r w:rsidR="001E02B8" w:rsidRPr="00641640">
        <w:rPr>
          <w:rFonts w:ascii="Times New Roman" w:hAnsi="Times New Roman" w:cs="Times New Roman"/>
          <w:noProof/>
          <w:sz w:val="24"/>
          <w:szCs w:val="24"/>
          <w:lang w:val="sq-AL"/>
        </w:rPr>
        <w:t>ë</w:t>
      </w:r>
      <w:r w:rsidR="00F31331" w:rsidRPr="00641640">
        <w:rPr>
          <w:rFonts w:ascii="Times New Roman" w:hAnsi="Times New Roman" w:cs="Times New Roman"/>
          <w:noProof/>
          <w:sz w:val="24"/>
          <w:szCs w:val="24"/>
          <w:lang w:val="sq-AL"/>
        </w:rPr>
        <w:t>rmjet:</w:t>
      </w:r>
    </w:p>
    <w:p w14:paraId="5008CAC3" w14:textId="30277F48" w:rsidR="00F31331" w:rsidRPr="00641640" w:rsidRDefault="00F31331" w:rsidP="00F863ED">
      <w:pPr>
        <w:pStyle w:val="ListParagraph"/>
        <w:numPr>
          <w:ilvl w:val="0"/>
          <w:numId w:val="5"/>
        </w:num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Miratimit t</w:t>
      </w:r>
      <w:r w:rsidR="001E02B8"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 xml:space="preserve"> nj</w:t>
      </w:r>
      <w:r w:rsidR="001E02B8"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 xml:space="preserve"> Manuali Orientues;</w:t>
      </w:r>
    </w:p>
    <w:p w14:paraId="40764B1B" w14:textId="16A3D00F" w:rsidR="00F31331" w:rsidRPr="00641640" w:rsidRDefault="00B3767C" w:rsidP="00F863ED">
      <w:pPr>
        <w:pStyle w:val="ListParagraph"/>
        <w:numPr>
          <w:ilvl w:val="0"/>
          <w:numId w:val="5"/>
        </w:numPr>
        <w:spacing w:line="276" w:lineRule="auto"/>
        <w:jc w:val="both"/>
        <w:rPr>
          <w:rFonts w:ascii="Times New Roman" w:eastAsia="Times New Roman" w:hAnsi="Times New Roman" w:cs="Times New Roman"/>
          <w:b/>
          <w:bCs/>
          <w:noProof/>
          <w:sz w:val="24"/>
          <w:szCs w:val="24"/>
          <w:lang w:val="sq-AL"/>
        </w:rPr>
      </w:pPr>
      <w:r w:rsidRPr="00641640">
        <w:rPr>
          <w:rFonts w:ascii="Times New Roman" w:hAnsi="Times New Roman" w:cs="Times New Roman"/>
          <w:noProof/>
          <w:sz w:val="24"/>
          <w:szCs w:val="24"/>
          <w:lang w:val="sq-AL"/>
        </w:rPr>
        <w:t>Aplikimit dhe pilotimit t</w:t>
      </w:r>
      <w:r w:rsidR="001E02B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pun</w:t>
      </w:r>
      <w:r w:rsidR="001E02B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s hibride në institucionet e administratës publike.</w:t>
      </w:r>
    </w:p>
    <w:p w14:paraId="1AC368AF" w14:textId="0F25CADC" w:rsidR="003340B6" w:rsidRPr="00641640" w:rsidRDefault="003340B6" w:rsidP="00F863ED">
      <w:p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imes New Roman" w:hAnsi="Times New Roman" w:cs="Times New Roman"/>
          <w:b/>
          <w:bCs/>
          <w:noProof/>
          <w:sz w:val="24"/>
          <w:szCs w:val="24"/>
          <w:lang w:val="sq-AL"/>
        </w:rPr>
        <w:t>Rezultati 6:</w:t>
      </w:r>
      <w:r w:rsidRPr="00641640">
        <w:rPr>
          <w:rFonts w:ascii="Times New Roman" w:hAnsi="Times New Roman" w:cs="Times New Roman"/>
          <w:noProof/>
          <w:sz w:val="24"/>
          <w:szCs w:val="24"/>
          <w:lang w:val="sq-AL"/>
        </w:rPr>
        <w:t xml:space="preserve"> Promovimit t</w:t>
      </w:r>
      <w:r w:rsidR="001E02B8"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rolit të shërbimit civil dhe administratës publike si punëdhënës i besueshëm, tërheqës dhe konkurrues.</w:t>
      </w:r>
    </w:p>
    <w:p w14:paraId="2F89055C" w14:textId="7D20EA50" w:rsidR="00A4187D" w:rsidRPr="00641640" w:rsidRDefault="00A4187D"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kryesore:</w:t>
      </w:r>
      <w:r w:rsidRPr="00641640">
        <w:rPr>
          <w:rFonts w:ascii="Times New Roman" w:eastAsia="Times New Roman" w:hAnsi="Times New Roman" w:cs="Times New Roman"/>
          <w:noProof/>
          <w:sz w:val="24"/>
          <w:szCs w:val="24"/>
          <w:lang w:val="sq-AL"/>
        </w:rPr>
        <w:t xml:space="preserve"> </w:t>
      </w:r>
      <w:r w:rsidR="00EC717B">
        <w:rPr>
          <w:rFonts w:ascii="Times New Roman" w:eastAsia="Times New Roman" w:hAnsi="Times New Roman" w:cs="Times New Roman"/>
          <w:noProof/>
          <w:sz w:val="24"/>
          <w:szCs w:val="24"/>
          <w:lang w:val="sq-AL"/>
        </w:rPr>
        <w:t>DAP</w:t>
      </w:r>
      <w:r w:rsidR="00DB79DC" w:rsidRPr="00641640">
        <w:rPr>
          <w:rFonts w:ascii="Times New Roman" w:eastAsia="Times New Roman" w:hAnsi="Times New Roman" w:cs="Times New Roman"/>
          <w:noProof/>
          <w:sz w:val="24"/>
          <w:szCs w:val="24"/>
          <w:lang w:val="sq-AL"/>
        </w:rPr>
        <w:t>, MAPA</w:t>
      </w:r>
      <w:r w:rsidR="00EC717B">
        <w:rPr>
          <w:rFonts w:ascii="Times New Roman" w:eastAsia="Times New Roman" w:hAnsi="Times New Roman" w:cs="Times New Roman"/>
          <w:noProof/>
          <w:sz w:val="24"/>
          <w:szCs w:val="24"/>
          <w:lang w:val="sq-AL"/>
        </w:rPr>
        <w:t>, ASPA, Këshilli i Ministrave</w:t>
      </w:r>
      <w:r w:rsidR="00226701" w:rsidRPr="00641640">
        <w:rPr>
          <w:rFonts w:ascii="Times New Roman" w:eastAsia="Times New Roman" w:hAnsi="Times New Roman" w:cs="Times New Roman"/>
          <w:noProof/>
          <w:sz w:val="24"/>
          <w:szCs w:val="24"/>
          <w:lang w:val="sq-AL"/>
        </w:rPr>
        <w:t>.</w:t>
      </w:r>
    </w:p>
    <w:p w14:paraId="369F5D1C" w14:textId="61F7CDFB" w:rsidR="00A4187D" w:rsidRPr="00641640" w:rsidDel="001914E6" w:rsidRDefault="00A4187D"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kontributore:</w:t>
      </w:r>
      <w:r w:rsidRPr="00641640">
        <w:rPr>
          <w:rFonts w:ascii="Times New Roman" w:eastAsia="Times New Roman" w:hAnsi="Times New Roman" w:cs="Times New Roman"/>
          <w:noProof/>
          <w:sz w:val="24"/>
          <w:szCs w:val="24"/>
          <w:lang w:val="sq-AL"/>
        </w:rPr>
        <w:t xml:space="preserve"> </w:t>
      </w:r>
      <w:r w:rsidR="00DC24D6" w:rsidRPr="00DC24D6">
        <w:rPr>
          <w:rFonts w:ascii="Times New Roman" w:eastAsia="Times New Roman" w:hAnsi="Times New Roman" w:cs="Times New Roman"/>
          <w:noProof/>
          <w:sz w:val="24"/>
          <w:szCs w:val="24"/>
          <w:lang w:val="sq-AL"/>
        </w:rPr>
        <w:t>Ministritë e Linjës</w:t>
      </w:r>
      <w:r w:rsidR="00DC24D6">
        <w:rPr>
          <w:rFonts w:ascii="Times New Roman" w:eastAsia="Times New Roman" w:hAnsi="Times New Roman" w:cs="Times New Roman"/>
          <w:noProof/>
          <w:sz w:val="24"/>
          <w:szCs w:val="24"/>
          <w:lang w:val="sq-AL"/>
        </w:rPr>
        <w:t xml:space="preserve">, </w:t>
      </w:r>
      <w:r w:rsidR="00DC24D6" w:rsidRPr="00DC24D6">
        <w:rPr>
          <w:rFonts w:ascii="Times New Roman" w:eastAsia="Times New Roman" w:hAnsi="Times New Roman" w:cs="Times New Roman"/>
          <w:noProof/>
          <w:sz w:val="24"/>
          <w:szCs w:val="24"/>
          <w:lang w:val="sq-AL"/>
        </w:rPr>
        <w:t>Institucionet e Administratës Publike</w:t>
      </w:r>
      <w:r w:rsidR="008C2575" w:rsidRPr="00641640">
        <w:rPr>
          <w:rFonts w:ascii="Times New Roman" w:eastAsia="Times New Roman" w:hAnsi="Times New Roman" w:cs="Times New Roman"/>
          <w:noProof/>
          <w:sz w:val="24"/>
          <w:szCs w:val="24"/>
          <w:lang w:val="sq-AL"/>
        </w:rPr>
        <w:t>,</w:t>
      </w:r>
      <w:r w:rsidR="00CE470B">
        <w:rPr>
          <w:rFonts w:ascii="Times New Roman" w:eastAsia="Times New Roman" w:hAnsi="Times New Roman" w:cs="Times New Roman"/>
          <w:noProof/>
          <w:sz w:val="24"/>
          <w:szCs w:val="24"/>
          <w:lang w:val="sq-AL"/>
        </w:rPr>
        <w:t xml:space="preserve"> MAPA,</w:t>
      </w:r>
      <w:r w:rsidR="005B64CD" w:rsidRPr="00641640">
        <w:rPr>
          <w:rFonts w:ascii="Times New Roman" w:eastAsia="Times New Roman" w:hAnsi="Times New Roman" w:cs="Times New Roman"/>
          <w:noProof/>
          <w:sz w:val="24"/>
          <w:szCs w:val="24"/>
          <w:lang w:val="sq-AL"/>
        </w:rPr>
        <w:t xml:space="preserve"> </w:t>
      </w:r>
      <w:r w:rsidR="00CE470B">
        <w:rPr>
          <w:rFonts w:ascii="Times New Roman" w:eastAsia="Times New Roman" w:hAnsi="Times New Roman" w:cs="Times New Roman"/>
          <w:noProof/>
          <w:sz w:val="24"/>
          <w:szCs w:val="24"/>
          <w:lang w:val="sq-AL"/>
        </w:rPr>
        <w:t xml:space="preserve">DAP, </w:t>
      </w:r>
      <w:r w:rsidR="005B64CD" w:rsidRPr="00641640">
        <w:rPr>
          <w:rFonts w:ascii="Times New Roman" w:eastAsia="Times New Roman" w:hAnsi="Times New Roman" w:cs="Times New Roman"/>
          <w:noProof/>
          <w:sz w:val="24"/>
          <w:szCs w:val="24"/>
          <w:lang w:val="sq-AL"/>
        </w:rPr>
        <w:t>ASPA</w:t>
      </w:r>
      <w:r w:rsidR="00226701" w:rsidRPr="00641640">
        <w:rPr>
          <w:rFonts w:ascii="Times New Roman" w:eastAsia="Times New Roman" w:hAnsi="Times New Roman" w:cs="Times New Roman"/>
          <w:noProof/>
          <w:sz w:val="24"/>
          <w:szCs w:val="24"/>
          <w:lang w:val="sq-AL"/>
        </w:rPr>
        <w:t>.</w:t>
      </w:r>
    </w:p>
    <w:p w14:paraId="1AC3C7FA" w14:textId="77777777" w:rsidR="00A4187D" w:rsidRPr="00641640" w:rsidRDefault="00A4187D" w:rsidP="003A395D">
      <w:pPr>
        <w:spacing w:after="0" w:line="276" w:lineRule="auto"/>
        <w:jc w:val="both"/>
        <w:rPr>
          <w:rFonts w:ascii="Times New Roman" w:hAnsi="Times New Roman" w:cs="Times New Roman"/>
          <w:noProof/>
          <w:sz w:val="24"/>
          <w:szCs w:val="24"/>
          <w:lang w:val="sq-AL"/>
        </w:rPr>
      </w:pPr>
    </w:p>
    <w:p w14:paraId="2495EAC8" w14:textId="7C12A141" w:rsidR="00A4187D" w:rsidRPr="00641640" w:rsidRDefault="00A4187D"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Masat dhe aktivitetet</w:t>
      </w:r>
    </w:p>
    <w:p w14:paraId="73CE3ECB" w14:textId="034FFEF7" w:rsidR="001161DE" w:rsidRPr="00641640" w:rsidRDefault="001161DE" w:rsidP="003A395D">
      <w:pPr>
        <w:shd w:val="clear" w:color="auto" w:fill="FFFFFF" w:themeFill="background1"/>
        <w:spacing w:beforeAutospacing="1" w:after="0" w:line="276" w:lineRule="auto"/>
        <w:jc w:val="both"/>
        <w:textAlignment w:val="baseline"/>
        <w:rPr>
          <w:rFonts w:ascii="Times New Roman" w:hAnsi="Times New Roman" w:cs="Times New Roman"/>
          <w:bCs/>
          <w:noProof/>
          <w:color w:val="000000" w:themeColor="text1"/>
          <w:sz w:val="24"/>
          <w:szCs w:val="24"/>
          <w:lang w:val="sq-AL"/>
        </w:rPr>
      </w:pPr>
      <w:r w:rsidRPr="00641640">
        <w:rPr>
          <w:rFonts w:ascii="Times New Roman" w:hAnsi="Times New Roman" w:cs="Times New Roman"/>
          <w:bCs/>
          <w:noProof/>
          <w:color w:val="000000" w:themeColor="text1"/>
          <w:sz w:val="24"/>
          <w:szCs w:val="24"/>
          <w:lang w:val="sq-AL"/>
        </w:rPr>
        <w:t xml:space="preserve">Ky </w:t>
      </w:r>
      <w:r w:rsidR="0012690A" w:rsidRPr="00641640">
        <w:rPr>
          <w:rFonts w:ascii="Times New Roman" w:hAnsi="Times New Roman" w:cs="Times New Roman"/>
          <w:bCs/>
          <w:noProof/>
          <w:color w:val="000000" w:themeColor="text1"/>
          <w:sz w:val="24"/>
          <w:szCs w:val="24"/>
          <w:lang w:val="sq-AL"/>
        </w:rPr>
        <w:t>o</w:t>
      </w:r>
      <w:r w:rsidRPr="00641640">
        <w:rPr>
          <w:rFonts w:ascii="Times New Roman" w:hAnsi="Times New Roman" w:cs="Times New Roman"/>
          <w:bCs/>
          <w:noProof/>
          <w:color w:val="000000" w:themeColor="text1"/>
          <w:sz w:val="24"/>
          <w:szCs w:val="24"/>
          <w:lang w:val="sq-AL"/>
        </w:rPr>
        <w:t xml:space="preserve">bjektiv </w:t>
      </w:r>
      <w:r w:rsidR="0012690A" w:rsidRPr="00641640">
        <w:rPr>
          <w:rFonts w:ascii="Times New Roman" w:hAnsi="Times New Roman" w:cs="Times New Roman"/>
          <w:bCs/>
          <w:noProof/>
          <w:color w:val="000000" w:themeColor="text1"/>
          <w:sz w:val="24"/>
          <w:szCs w:val="24"/>
          <w:lang w:val="sq-AL"/>
        </w:rPr>
        <w:t>s</w:t>
      </w:r>
      <w:r w:rsidRPr="00641640">
        <w:rPr>
          <w:rFonts w:ascii="Times New Roman" w:hAnsi="Times New Roman" w:cs="Times New Roman"/>
          <w:bCs/>
          <w:noProof/>
          <w:color w:val="000000" w:themeColor="text1"/>
          <w:sz w:val="24"/>
          <w:szCs w:val="24"/>
          <w:lang w:val="sq-AL"/>
        </w:rPr>
        <w:t>pecifik do të zbatohet përmes masave të mëposhtme, teksa aktivitetet konkrete për periudhën e parë të zbatimit të SNRAP 202</w:t>
      </w:r>
      <w:r w:rsidR="00C05154" w:rsidRPr="00641640">
        <w:rPr>
          <w:rFonts w:ascii="Times New Roman" w:hAnsi="Times New Roman" w:cs="Times New Roman"/>
          <w:bCs/>
          <w:noProof/>
          <w:color w:val="000000" w:themeColor="text1"/>
          <w:sz w:val="24"/>
          <w:szCs w:val="24"/>
          <w:lang w:val="sq-AL"/>
        </w:rPr>
        <w:t>5</w:t>
      </w:r>
      <w:r w:rsidRPr="00641640">
        <w:rPr>
          <w:rFonts w:ascii="Times New Roman" w:hAnsi="Times New Roman" w:cs="Times New Roman"/>
          <w:bCs/>
          <w:noProof/>
          <w:color w:val="000000" w:themeColor="text1"/>
          <w:sz w:val="24"/>
          <w:szCs w:val="24"/>
          <w:lang w:val="sq-AL"/>
        </w:rPr>
        <w:t>-2030 mund të gjenden në Planin e Veprimit 202</w:t>
      </w:r>
      <w:r w:rsidR="00C05154" w:rsidRPr="00641640">
        <w:rPr>
          <w:rFonts w:ascii="Times New Roman" w:hAnsi="Times New Roman" w:cs="Times New Roman"/>
          <w:bCs/>
          <w:noProof/>
          <w:color w:val="000000" w:themeColor="text1"/>
          <w:sz w:val="24"/>
          <w:szCs w:val="24"/>
          <w:lang w:val="sq-AL"/>
        </w:rPr>
        <w:t>5</w:t>
      </w:r>
      <w:r w:rsidRPr="00641640">
        <w:rPr>
          <w:rFonts w:ascii="Times New Roman" w:hAnsi="Times New Roman" w:cs="Times New Roman"/>
          <w:bCs/>
          <w:noProof/>
          <w:color w:val="000000" w:themeColor="text1"/>
          <w:sz w:val="24"/>
          <w:szCs w:val="24"/>
          <w:lang w:val="sq-AL"/>
        </w:rPr>
        <w:t>-202</w:t>
      </w:r>
      <w:r w:rsidR="00C05154" w:rsidRPr="00641640">
        <w:rPr>
          <w:rFonts w:ascii="Times New Roman" w:hAnsi="Times New Roman" w:cs="Times New Roman"/>
          <w:bCs/>
          <w:noProof/>
          <w:color w:val="000000" w:themeColor="text1"/>
          <w:sz w:val="24"/>
          <w:szCs w:val="24"/>
          <w:lang w:val="sq-AL"/>
        </w:rPr>
        <w:t>7</w:t>
      </w:r>
      <w:r w:rsidRPr="00641640">
        <w:rPr>
          <w:rFonts w:ascii="Times New Roman" w:hAnsi="Times New Roman" w:cs="Times New Roman"/>
          <w:bCs/>
          <w:noProof/>
          <w:color w:val="000000" w:themeColor="text1"/>
          <w:sz w:val="24"/>
          <w:szCs w:val="24"/>
          <w:lang w:val="sq-AL"/>
        </w:rPr>
        <w:t xml:space="preserve"> (Aneksi nr. 1).</w:t>
      </w:r>
    </w:p>
    <w:tbl>
      <w:tblPr>
        <w:tblStyle w:val="TableGridIDEA2"/>
        <w:tblpPr w:leftFromText="180" w:rightFromText="180" w:vertAnchor="text" w:tblpY="238"/>
        <w:tblW w:w="0" w:type="auto"/>
        <w:tblLook w:val="04A0" w:firstRow="1" w:lastRow="0" w:firstColumn="1" w:lastColumn="0" w:noHBand="0" w:noVBand="1"/>
      </w:tblPr>
      <w:tblGrid>
        <w:gridCol w:w="805"/>
        <w:gridCol w:w="8545"/>
      </w:tblGrid>
      <w:tr w:rsidR="001161DE" w:rsidRPr="00641640" w14:paraId="1095D4E8" w14:textId="77777777" w:rsidTr="00E37EC1">
        <w:trPr>
          <w:trHeight w:val="744"/>
        </w:trPr>
        <w:tc>
          <w:tcPr>
            <w:tcW w:w="9350" w:type="dxa"/>
            <w:gridSpan w:val="2"/>
            <w:shd w:val="clear" w:color="auto" w:fill="C5E0B3" w:themeFill="accent6" w:themeFillTint="66"/>
          </w:tcPr>
          <w:p w14:paraId="4A4BE091" w14:textId="77777777" w:rsidR="001161DE" w:rsidRPr="00641640" w:rsidRDefault="001161DE" w:rsidP="003A395D">
            <w:pPr>
              <w:spacing w:line="276" w:lineRule="auto"/>
              <w:jc w:val="center"/>
              <w:textAlignment w:val="baseline"/>
              <w:rPr>
                <w:rFonts w:ascii="Times New Roman" w:hAnsi="Times New Roman" w:cs="Times New Roman"/>
                <w:b/>
                <w:i/>
                <w:noProof/>
                <w:sz w:val="22"/>
                <w:szCs w:val="22"/>
                <w:lang w:val="sq-AL"/>
              </w:rPr>
            </w:pPr>
          </w:p>
          <w:p w14:paraId="5BF2E707" w14:textId="4BA0714F" w:rsidR="001161DE" w:rsidRPr="00641640" w:rsidRDefault="001161DE" w:rsidP="003A395D">
            <w:pPr>
              <w:spacing w:line="276" w:lineRule="auto"/>
              <w:jc w:val="center"/>
              <w:textAlignment w:val="baseline"/>
              <w:rPr>
                <w:rFonts w:ascii="Times New Roman" w:hAnsi="Times New Roman" w:cs="Times New Roman"/>
                <w:b/>
                <w:i/>
                <w:noProof/>
                <w:sz w:val="22"/>
                <w:szCs w:val="22"/>
                <w:lang w:val="sq-AL"/>
              </w:rPr>
            </w:pPr>
            <w:r w:rsidRPr="00641640">
              <w:rPr>
                <w:rFonts w:ascii="Times New Roman" w:hAnsi="Times New Roman" w:cs="Times New Roman"/>
                <w:b/>
                <w:i/>
                <w:noProof/>
                <w:sz w:val="22"/>
                <w:szCs w:val="22"/>
                <w:lang w:val="sq-AL"/>
              </w:rPr>
              <w:t xml:space="preserve">Objektivi Specifik </w:t>
            </w:r>
            <w:r w:rsidR="00C56AE9" w:rsidRPr="00641640">
              <w:rPr>
                <w:rFonts w:ascii="Times New Roman" w:hAnsi="Times New Roman" w:cs="Times New Roman"/>
                <w:b/>
                <w:i/>
                <w:noProof/>
                <w:sz w:val="22"/>
                <w:szCs w:val="22"/>
                <w:lang w:val="sq-AL"/>
              </w:rPr>
              <w:t>2</w:t>
            </w:r>
            <w:r w:rsidRPr="00641640">
              <w:rPr>
                <w:rFonts w:ascii="Times New Roman" w:hAnsi="Times New Roman" w:cs="Times New Roman"/>
                <w:b/>
                <w:i/>
                <w:noProof/>
                <w:sz w:val="22"/>
                <w:szCs w:val="22"/>
                <w:lang w:val="sq-AL"/>
              </w:rPr>
              <w:t xml:space="preserve">.2: </w:t>
            </w:r>
            <w:r w:rsidRPr="00641640">
              <w:rPr>
                <w:rFonts w:ascii="Times New Roman" w:hAnsi="Times New Roman" w:cs="Times New Roman"/>
                <w:noProof/>
                <w:sz w:val="22"/>
                <w:szCs w:val="22"/>
                <w:lang w:val="sq-AL"/>
              </w:rPr>
              <w:t xml:space="preserve"> </w:t>
            </w:r>
            <w:r w:rsidRPr="00641640">
              <w:rPr>
                <w:rFonts w:ascii="Times New Roman" w:hAnsi="Times New Roman" w:cs="Times New Roman"/>
                <w:b/>
                <w:i/>
                <w:noProof/>
                <w:sz w:val="22"/>
                <w:szCs w:val="22"/>
                <w:lang w:val="sq-AL"/>
              </w:rPr>
              <w:t>Investimi në motivimin dhe mirëqenien e nëpunësve publikë, me synim rritjen e atraksionit dhe forcimin e pozitës së sektorit publik si punëmarrës i besueshëm, tërheqës dhe konkurrues në tregun e punës.</w:t>
            </w:r>
          </w:p>
        </w:tc>
      </w:tr>
      <w:tr w:rsidR="001161DE" w:rsidRPr="00641640" w14:paraId="7B779C0A" w14:textId="77777777" w:rsidTr="006512B8">
        <w:trPr>
          <w:trHeight w:val="706"/>
        </w:trPr>
        <w:tc>
          <w:tcPr>
            <w:tcW w:w="805" w:type="dxa"/>
            <w:shd w:val="clear" w:color="auto" w:fill="C5E0B3" w:themeFill="accent6" w:themeFillTint="66"/>
          </w:tcPr>
          <w:p w14:paraId="5F158832" w14:textId="41B5FC43"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C56AE9"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.2.1</w:t>
            </w:r>
          </w:p>
        </w:tc>
        <w:tc>
          <w:tcPr>
            <w:tcW w:w="8545" w:type="dxa"/>
            <w:shd w:val="clear" w:color="auto" w:fill="auto"/>
          </w:tcPr>
          <w:p w14:paraId="5816BDAE" w14:textId="33ABDFC0" w:rsidR="006512B8" w:rsidRPr="00641640" w:rsidRDefault="00A233BB" w:rsidP="006512B8">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Ndryshimi i strukturës së pagave, duke synuar thjeshtëzimin e saj dhe rritjen e elementeve motivues në shpërblimin financiar.</w:t>
            </w:r>
          </w:p>
        </w:tc>
      </w:tr>
      <w:tr w:rsidR="001161DE" w:rsidRPr="00641640" w14:paraId="7D5321D0" w14:textId="77777777" w:rsidTr="006512B8">
        <w:trPr>
          <w:trHeight w:val="706"/>
        </w:trPr>
        <w:tc>
          <w:tcPr>
            <w:tcW w:w="805" w:type="dxa"/>
            <w:shd w:val="clear" w:color="auto" w:fill="C5E0B3" w:themeFill="accent6" w:themeFillTint="66"/>
          </w:tcPr>
          <w:p w14:paraId="36AA380D" w14:textId="4CB022F7"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C56AE9"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 xml:space="preserve">.2.2 </w:t>
            </w:r>
          </w:p>
        </w:tc>
        <w:tc>
          <w:tcPr>
            <w:tcW w:w="8545" w:type="dxa"/>
            <w:shd w:val="clear" w:color="auto" w:fill="auto"/>
          </w:tcPr>
          <w:p w14:paraId="3B350D7C" w14:textId="2A19CE90" w:rsidR="001161DE" w:rsidRPr="00641640" w:rsidRDefault="00BB0318"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Rritja e transparencës së pagave për nëpunësit publikë, përfshirë edhe në njoftimet për aplikime për vendet vakante.</w:t>
            </w:r>
          </w:p>
        </w:tc>
      </w:tr>
      <w:tr w:rsidR="001161DE" w:rsidRPr="00641640" w14:paraId="38ECDA8E" w14:textId="77777777" w:rsidTr="006512B8">
        <w:trPr>
          <w:trHeight w:val="715"/>
        </w:trPr>
        <w:tc>
          <w:tcPr>
            <w:tcW w:w="805" w:type="dxa"/>
            <w:shd w:val="clear" w:color="auto" w:fill="C5E0B3" w:themeFill="accent6" w:themeFillTint="66"/>
          </w:tcPr>
          <w:p w14:paraId="79452B9C" w14:textId="7EE5FF8E"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C56AE9"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.2.3</w:t>
            </w:r>
          </w:p>
        </w:tc>
        <w:tc>
          <w:tcPr>
            <w:tcW w:w="8545" w:type="dxa"/>
            <w:shd w:val="clear" w:color="auto" w:fill="auto"/>
          </w:tcPr>
          <w:p w14:paraId="6DA6F408" w14:textId="31ED2AE7" w:rsidR="001161DE" w:rsidRPr="00641640" w:rsidRDefault="00BB0318"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Miratimi dhe zbatimi i metodologjisë së re për vlerësimin e pozicioneve të punës në administratën publike.</w:t>
            </w:r>
          </w:p>
        </w:tc>
      </w:tr>
      <w:tr w:rsidR="001161DE" w:rsidRPr="00641640" w14:paraId="1CEC225E" w14:textId="77777777" w:rsidTr="006512B8">
        <w:trPr>
          <w:trHeight w:val="796"/>
        </w:trPr>
        <w:tc>
          <w:tcPr>
            <w:tcW w:w="805" w:type="dxa"/>
            <w:shd w:val="clear" w:color="auto" w:fill="C5E0B3" w:themeFill="accent6" w:themeFillTint="66"/>
          </w:tcPr>
          <w:p w14:paraId="718958F8" w14:textId="3CED258C"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C56AE9"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.2.4</w:t>
            </w:r>
          </w:p>
        </w:tc>
        <w:tc>
          <w:tcPr>
            <w:tcW w:w="8545" w:type="dxa"/>
            <w:shd w:val="clear" w:color="auto" w:fill="auto"/>
          </w:tcPr>
          <w:p w14:paraId="3D2704B3" w14:textId="1B4565F8" w:rsidR="001161DE" w:rsidRPr="00641640" w:rsidRDefault="001F71F5"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Rishikimi dhe zbatimi praktik i procesit të vlerësimit të performancës individuale, duke garantuar harmonizim me performancën institucionale.</w:t>
            </w:r>
          </w:p>
        </w:tc>
      </w:tr>
      <w:tr w:rsidR="001161DE" w:rsidRPr="00641640" w14:paraId="216793FE" w14:textId="77777777" w:rsidTr="006512B8">
        <w:trPr>
          <w:trHeight w:val="715"/>
        </w:trPr>
        <w:tc>
          <w:tcPr>
            <w:tcW w:w="805" w:type="dxa"/>
            <w:shd w:val="clear" w:color="auto" w:fill="C5E0B3" w:themeFill="accent6" w:themeFillTint="66"/>
          </w:tcPr>
          <w:p w14:paraId="29EF33BC" w14:textId="012516E9"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79713B"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.2.5</w:t>
            </w:r>
          </w:p>
        </w:tc>
        <w:tc>
          <w:tcPr>
            <w:tcW w:w="8545" w:type="dxa"/>
            <w:shd w:val="clear" w:color="auto" w:fill="auto"/>
          </w:tcPr>
          <w:p w14:paraId="58A086FE" w14:textId="792A1443" w:rsidR="001161DE" w:rsidRPr="00641640" w:rsidRDefault="001F71F5"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 xml:space="preserve">Plotësimi i kuadrit rregullator për etikën, në zbatim të ligjit nr. 152/2013 dhe VKM nr. 874/2021.   </w:t>
            </w:r>
          </w:p>
        </w:tc>
      </w:tr>
      <w:tr w:rsidR="001161DE" w:rsidRPr="00641640" w14:paraId="728BA103" w14:textId="77777777" w:rsidTr="006512B8">
        <w:trPr>
          <w:trHeight w:val="796"/>
        </w:trPr>
        <w:tc>
          <w:tcPr>
            <w:tcW w:w="805" w:type="dxa"/>
            <w:shd w:val="clear" w:color="auto" w:fill="C5E0B3" w:themeFill="accent6" w:themeFillTint="66"/>
          </w:tcPr>
          <w:p w14:paraId="1DA54953" w14:textId="3F8FB307"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79713B"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.2.6</w:t>
            </w:r>
          </w:p>
        </w:tc>
        <w:tc>
          <w:tcPr>
            <w:tcW w:w="8545" w:type="dxa"/>
            <w:shd w:val="clear" w:color="auto" w:fill="auto"/>
          </w:tcPr>
          <w:p w14:paraId="68FAA4A8" w14:textId="1F9E29B4" w:rsidR="001161DE" w:rsidRPr="00641640" w:rsidRDefault="001F71F5"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Përmirësimi i kapaciteteve të DAP dhe institucioneve publike për monitorimin e zbatimit në praktikë të rregullave të etikës nga nëpunësit e administratës publike.</w:t>
            </w:r>
          </w:p>
        </w:tc>
      </w:tr>
      <w:tr w:rsidR="001161DE" w:rsidRPr="00641640" w14:paraId="4C242AA8" w14:textId="77777777" w:rsidTr="00E37EC1">
        <w:tc>
          <w:tcPr>
            <w:tcW w:w="805" w:type="dxa"/>
            <w:shd w:val="clear" w:color="auto" w:fill="C5E0B3" w:themeFill="accent6" w:themeFillTint="66"/>
          </w:tcPr>
          <w:p w14:paraId="71ACE413" w14:textId="0BB54543"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79713B"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.2.7</w:t>
            </w:r>
          </w:p>
        </w:tc>
        <w:tc>
          <w:tcPr>
            <w:tcW w:w="8545" w:type="dxa"/>
            <w:shd w:val="clear" w:color="auto" w:fill="auto"/>
          </w:tcPr>
          <w:p w14:paraId="10B6B400" w14:textId="6180F4E6" w:rsidR="001161DE" w:rsidRPr="00641640" w:rsidRDefault="00A5419B"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Zbatimi i programeve të posaçme me synim tërheqjen e nëpunësve civilë të kualifikuar.</w:t>
            </w:r>
          </w:p>
        </w:tc>
      </w:tr>
      <w:tr w:rsidR="001161DE" w:rsidRPr="00641640" w14:paraId="631734E4" w14:textId="77777777" w:rsidTr="006512B8">
        <w:trPr>
          <w:trHeight w:val="751"/>
        </w:trPr>
        <w:tc>
          <w:tcPr>
            <w:tcW w:w="805" w:type="dxa"/>
            <w:shd w:val="clear" w:color="auto" w:fill="C5E0B3" w:themeFill="accent6" w:themeFillTint="66"/>
          </w:tcPr>
          <w:p w14:paraId="228553E3" w14:textId="51624960"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79713B"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.2.8</w:t>
            </w:r>
          </w:p>
        </w:tc>
        <w:tc>
          <w:tcPr>
            <w:tcW w:w="8545" w:type="dxa"/>
            <w:shd w:val="clear" w:color="auto" w:fill="auto"/>
          </w:tcPr>
          <w:p w14:paraId="6FEFF1AC" w14:textId="3C8E5725" w:rsidR="001161DE" w:rsidRPr="00641640" w:rsidRDefault="00A5419B"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Konsolidimi i praktikave të rregullta promovuese të kapitalit njerëzor profesional dhe me integritet të administratës publike.</w:t>
            </w:r>
          </w:p>
        </w:tc>
      </w:tr>
      <w:tr w:rsidR="001161DE" w:rsidRPr="00641640" w14:paraId="6D8E9AB3" w14:textId="77777777" w:rsidTr="006512B8">
        <w:trPr>
          <w:trHeight w:val="796"/>
        </w:trPr>
        <w:tc>
          <w:tcPr>
            <w:tcW w:w="805" w:type="dxa"/>
            <w:shd w:val="clear" w:color="auto" w:fill="C5E0B3" w:themeFill="accent6" w:themeFillTint="66"/>
          </w:tcPr>
          <w:p w14:paraId="0C54EDC4" w14:textId="6C8F54F1"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79713B"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.2.9</w:t>
            </w:r>
          </w:p>
        </w:tc>
        <w:tc>
          <w:tcPr>
            <w:tcW w:w="8545" w:type="dxa"/>
            <w:shd w:val="clear" w:color="auto" w:fill="auto"/>
          </w:tcPr>
          <w:p w14:paraId="31323100" w14:textId="507EEF3C" w:rsidR="001161DE" w:rsidRPr="00641640" w:rsidRDefault="00A5419B"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Zbatimi gradual i modalitetit të punës hibride në institucionet publike, në përputhje me standardet evropiane dhe praktikat më të mira ndërkombëtare.</w:t>
            </w:r>
          </w:p>
        </w:tc>
      </w:tr>
      <w:tr w:rsidR="001161DE" w:rsidRPr="00641640" w14:paraId="6D38B4F3" w14:textId="77777777" w:rsidTr="006512B8">
        <w:trPr>
          <w:trHeight w:val="796"/>
        </w:trPr>
        <w:tc>
          <w:tcPr>
            <w:tcW w:w="805" w:type="dxa"/>
            <w:shd w:val="clear" w:color="auto" w:fill="C5E0B3" w:themeFill="accent6" w:themeFillTint="66"/>
          </w:tcPr>
          <w:p w14:paraId="12D1ACBB" w14:textId="7EE505FB"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79713B"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 xml:space="preserve">.2.10 </w:t>
            </w:r>
          </w:p>
        </w:tc>
        <w:tc>
          <w:tcPr>
            <w:tcW w:w="8545" w:type="dxa"/>
            <w:shd w:val="clear" w:color="auto" w:fill="auto"/>
          </w:tcPr>
          <w:p w14:paraId="10DC4466" w14:textId="13092B44" w:rsidR="001161DE" w:rsidRPr="00641640" w:rsidRDefault="002268F6" w:rsidP="003A395D">
            <w:pPr>
              <w:tabs>
                <w:tab w:val="left" w:pos="2169"/>
              </w:tabs>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Rritja e atraksionit të shërbimit në sektorin publik, përmes garantimit të aksesit preferencial në shërbime dhe aktivitete për nëpunësit e administratës publike.</w:t>
            </w:r>
          </w:p>
        </w:tc>
      </w:tr>
      <w:tr w:rsidR="001161DE" w:rsidRPr="00641640" w14:paraId="64E44A17" w14:textId="77777777" w:rsidTr="006512B8">
        <w:trPr>
          <w:trHeight w:val="796"/>
        </w:trPr>
        <w:tc>
          <w:tcPr>
            <w:tcW w:w="805" w:type="dxa"/>
            <w:shd w:val="clear" w:color="auto" w:fill="C5E0B3" w:themeFill="accent6" w:themeFillTint="66"/>
          </w:tcPr>
          <w:p w14:paraId="3382BB73" w14:textId="6DE7A4D2"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79713B"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.2.11</w:t>
            </w:r>
          </w:p>
        </w:tc>
        <w:tc>
          <w:tcPr>
            <w:tcW w:w="8545" w:type="dxa"/>
            <w:shd w:val="clear" w:color="auto" w:fill="auto"/>
          </w:tcPr>
          <w:p w14:paraId="395DF748" w14:textId="2835640E" w:rsidR="001161DE" w:rsidRPr="00641640" w:rsidRDefault="002268F6" w:rsidP="003A395D">
            <w:pPr>
              <w:tabs>
                <w:tab w:val="left" w:pos="2169"/>
              </w:tabs>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Promovimi i rolit të shërbimit civil dhe administratës publike si punëdhënës i besueshëm, tërheqës dhe konkurrues.</w:t>
            </w:r>
          </w:p>
        </w:tc>
      </w:tr>
    </w:tbl>
    <w:p w14:paraId="24FB3264" w14:textId="77777777" w:rsidR="001161DE" w:rsidRPr="00641640" w:rsidRDefault="001161DE" w:rsidP="003A395D">
      <w:pPr>
        <w:shd w:val="clear" w:color="auto" w:fill="FFFFFF"/>
        <w:spacing w:beforeAutospacing="1" w:after="0" w:line="276" w:lineRule="auto"/>
        <w:jc w:val="both"/>
        <w:textAlignment w:val="baseline"/>
        <w:rPr>
          <w:rFonts w:ascii="Times New Roman" w:hAnsi="Times New Roman" w:cs="Times New Roman"/>
          <w:bCs/>
          <w:i/>
          <w:noProof/>
          <w:sz w:val="24"/>
          <w:szCs w:val="24"/>
          <w:highlight w:val="yellow"/>
          <w:lang w:val="sq-AL"/>
        </w:rPr>
      </w:pPr>
    </w:p>
    <w:p w14:paraId="3939D862" w14:textId="082DE07F" w:rsidR="00EE7FD9" w:rsidRPr="00641640" w:rsidRDefault="00EE7FD9"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 xml:space="preserve">Lidhja e treguesve kryesorë të performancës më Qëllimin e Politikës </w:t>
      </w:r>
      <w:r w:rsidR="001760AB" w:rsidRPr="00641640">
        <w:rPr>
          <w:rFonts w:ascii="Times New Roman" w:hAnsi="Times New Roman" w:cs="Times New Roman"/>
          <w:b/>
          <w:bCs/>
          <w:noProof/>
          <w:sz w:val="24"/>
          <w:szCs w:val="24"/>
          <w:lang w:val="sq-AL"/>
        </w:rPr>
        <w:t>I</w:t>
      </w:r>
      <w:r w:rsidRPr="00641640">
        <w:rPr>
          <w:rFonts w:ascii="Times New Roman" w:hAnsi="Times New Roman" w:cs="Times New Roman"/>
          <w:b/>
          <w:bCs/>
          <w:noProof/>
          <w:sz w:val="24"/>
          <w:szCs w:val="24"/>
          <w:lang w:val="sq-AL"/>
        </w:rPr>
        <w:t xml:space="preserve">I, Objektivin Specifik </w:t>
      </w:r>
      <w:r w:rsidR="001760AB" w:rsidRPr="00641640">
        <w:rPr>
          <w:rFonts w:ascii="Times New Roman" w:hAnsi="Times New Roman" w:cs="Times New Roman"/>
          <w:b/>
          <w:bCs/>
          <w:noProof/>
          <w:sz w:val="24"/>
          <w:szCs w:val="24"/>
          <w:lang w:val="sq-AL"/>
        </w:rPr>
        <w:t>2</w:t>
      </w:r>
      <w:r w:rsidRPr="00641640">
        <w:rPr>
          <w:rFonts w:ascii="Times New Roman" w:hAnsi="Times New Roman" w:cs="Times New Roman"/>
          <w:b/>
          <w:bCs/>
          <w:noProof/>
          <w:sz w:val="24"/>
          <w:szCs w:val="24"/>
          <w:lang w:val="sq-AL"/>
        </w:rPr>
        <w:t>.2 dhe institucionet përgjegjëse.</w:t>
      </w:r>
    </w:p>
    <w:tbl>
      <w:tblPr>
        <w:tblStyle w:val="TableGrid"/>
        <w:tblW w:w="93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2"/>
        <w:gridCol w:w="1980"/>
        <w:gridCol w:w="2160"/>
        <w:gridCol w:w="2340"/>
        <w:gridCol w:w="1890"/>
      </w:tblGrid>
      <w:tr w:rsidR="00EE7FD9" w:rsidRPr="00641640" w14:paraId="610C0B39" w14:textId="77777777" w:rsidTr="00E07B21">
        <w:trPr>
          <w:trHeight w:val="15"/>
        </w:trPr>
        <w:tc>
          <w:tcPr>
            <w:tcW w:w="982" w:type="dxa"/>
            <w:shd w:val="clear" w:color="auto" w:fill="C5E0B3" w:themeFill="accent6" w:themeFillTint="66"/>
            <w:tcMar>
              <w:top w:w="15" w:type="dxa"/>
              <w:left w:w="75" w:type="dxa"/>
              <w:bottom w:w="15" w:type="dxa"/>
              <w:right w:w="75" w:type="dxa"/>
            </w:tcMar>
          </w:tcPr>
          <w:p w14:paraId="7B2EF333" w14:textId="77777777" w:rsidR="00EE7FD9" w:rsidRPr="00641640" w:rsidRDefault="00EE7FD9" w:rsidP="003A395D">
            <w:pPr>
              <w:spacing w:line="276" w:lineRule="auto"/>
              <w:jc w:val="center"/>
              <w:rPr>
                <w:rFonts w:ascii="Times New Roman" w:eastAsia="Arial" w:hAnsi="Times New Roman" w:cs="Times New Roman"/>
                <w:b/>
                <w:bCs/>
                <w:noProof/>
                <w:sz w:val="22"/>
                <w:szCs w:val="22"/>
                <w:lang w:val="sq-AL"/>
              </w:rPr>
            </w:pPr>
          </w:p>
          <w:p w14:paraId="5334F64B" w14:textId="77777777" w:rsidR="00EE7FD9" w:rsidRPr="00641640" w:rsidRDefault="00EE7FD9"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Lloji i treguesit</w:t>
            </w:r>
          </w:p>
        </w:tc>
        <w:tc>
          <w:tcPr>
            <w:tcW w:w="1980" w:type="dxa"/>
            <w:shd w:val="clear" w:color="auto" w:fill="C5E0B3" w:themeFill="accent6" w:themeFillTint="66"/>
            <w:tcMar>
              <w:top w:w="15" w:type="dxa"/>
              <w:left w:w="75" w:type="dxa"/>
              <w:bottom w:w="15" w:type="dxa"/>
              <w:right w:w="75" w:type="dxa"/>
            </w:tcMar>
          </w:tcPr>
          <w:p w14:paraId="31D9845F" w14:textId="77777777" w:rsidR="00EE7FD9" w:rsidRPr="00641640" w:rsidRDefault="00EE7FD9" w:rsidP="003A395D">
            <w:pPr>
              <w:spacing w:line="276" w:lineRule="auto"/>
              <w:jc w:val="center"/>
              <w:rPr>
                <w:rFonts w:ascii="Times New Roman" w:eastAsia="Arial" w:hAnsi="Times New Roman" w:cs="Times New Roman"/>
                <w:b/>
                <w:bCs/>
                <w:noProof/>
                <w:sz w:val="22"/>
                <w:szCs w:val="22"/>
                <w:lang w:val="sq-AL"/>
              </w:rPr>
            </w:pPr>
          </w:p>
          <w:p w14:paraId="00B80449" w14:textId="77777777" w:rsidR="00EE7FD9" w:rsidRPr="00641640" w:rsidRDefault="00EE7FD9"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Emërtimi i treguesit të performancës</w:t>
            </w:r>
          </w:p>
          <w:p w14:paraId="2E891AD8" w14:textId="77777777" w:rsidR="00EE7FD9" w:rsidRPr="00641640" w:rsidRDefault="00EE7FD9" w:rsidP="003A395D">
            <w:pPr>
              <w:spacing w:line="276" w:lineRule="auto"/>
              <w:jc w:val="center"/>
              <w:rPr>
                <w:rFonts w:ascii="Times New Roman" w:eastAsia="Arial" w:hAnsi="Times New Roman" w:cs="Times New Roman"/>
                <w:noProof/>
                <w:sz w:val="22"/>
                <w:szCs w:val="22"/>
                <w:lang w:val="sq-AL"/>
              </w:rPr>
            </w:pPr>
          </w:p>
        </w:tc>
        <w:tc>
          <w:tcPr>
            <w:tcW w:w="2160" w:type="dxa"/>
            <w:shd w:val="clear" w:color="auto" w:fill="C5E0B3" w:themeFill="accent6" w:themeFillTint="66"/>
          </w:tcPr>
          <w:p w14:paraId="5CD79E65" w14:textId="77777777" w:rsidR="00EE7FD9" w:rsidRPr="00641640" w:rsidRDefault="00EE7FD9" w:rsidP="003A395D">
            <w:pPr>
              <w:spacing w:line="276" w:lineRule="auto"/>
              <w:jc w:val="center"/>
              <w:rPr>
                <w:rFonts w:ascii="Times New Roman" w:eastAsia="Arial" w:hAnsi="Times New Roman" w:cs="Times New Roman"/>
                <w:b/>
                <w:bCs/>
                <w:noProof/>
                <w:sz w:val="22"/>
                <w:szCs w:val="22"/>
                <w:lang w:val="sq-AL"/>
              </w:rPr>
            </w:pPr>
          </w:p>
          <w:p w14:paraId="56E46A6F" w14:textId="77777777" w:rsidR="00EE7FD9" w:rsidRPr="00641640" w:rsidRDefault="00EE7FD9"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Qëllimin e Politikës</w:t>
            </w:r>
          </w:p>
        </w:tc>
        <w:tc>
          <w:tcPr>
            <w:tcW w:w="2340" w:type="dxa"/>
            <w:shd w:val="clear" w:color="auto" w:fill="C5E0B3" w:themeFill="accent6" w:themeFillTint="66"/>
          </w:tcPr>
          <w:p w14:paraId="13D40F7A" w14:textId="77777777" w:rsidR="00EE7FD9" w:rsidRPr="00641640" w:rsidRDefault="00EE7FD9" w:rsidP="003A395D">
            <w:pPr>
              <w:spacing w:line="276" w:lineRule="auto"/>
              <w:jc w:val="center"/>
              <w:rPr>
                <w:rFonts w:ascii="Times New Roman" w:eastAsia="Arial" w:hAnsi="Times New Roman" w:cs="Times New Roman"/>
                <w:b/>
                <w:bCs/>
                <w:noProof/>
                <w:sz w:val="22"/>
                <w:szCs w:val="22"/>
                <w:lang w:val="sq-AL"/>
              </w:rPr>
            </w:pPr>
          </w:p>
          <w:p w14:paraId="4962650E" w14:textId="77777777" w:rsidR="00EE7FD9" w:rsidRPr="00641640" w:rsidRDefault="00EE7FD9"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Objektivin Specifik</w:t>
            </w:r>
          </w:p>
        </w:tc>
        <w:tc>
          <w:tcPr>
            <w:tcW w:w="1890" w:type="dxa"/>
            <w:shd w:val="clear" w:color="auto" w:fill="C5E0B3" w:themeFill="accent6" w:themeFillTint="66"/>
            <w:tcMar>
              <w:top w:w="15" w:type="dxa"/>
              <w:left w:w="75" w:type="dxa"/>
              <w:bottom w:w="15" w:type="dxa"/>
              <w:right w:w="75" w:type="dxa"/>
            </w:tcMar>
          </w:tcPr>
          <w:p w14:paraId="5ECBAA98" w14:textId="77777777" w:rsidR="00EE7FD9" w:rsidRPr="00641640" w:rsidRDefault="00EE7FD9" w:rsidP="003A395D">
            <w:pPr>
              <w:spacing w:line="276" w:lineRule="auto"/>
              <w:jc w:val="center"/>
              <w:rPr>
                <w:rFonts w:ascii="Times New Roman" w:eastAsia="Arial" w:hAnsi="Times New Roman" w:cs="Times New Roman"/>
                <w:noProof/>
                <w:sz w:val="22"/>
                <w:szCs w:val="22"/>
                <w:lang w:val="sq-AL"/>
              </w:rPr>
            </w:pPr>
          </w:p>
          <w:p w14:paraId="465C6142" w14:textId="77777777" w:rsidR="00EE7FD9" w:rsidRPr="00641640" w:rsidRDefault="00EE7FD9"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Institucioni përgjegjës</w:t>
            </w:r>
          </w:p>
        </w:tc>
      </w:tr>
      <w:tr w:rsidR="00C56AE9" w:rsidRPr="00641640" w14:paraId="68426668" w14:textId="77777777" w:rsidTr="00E507A5">
        <w:trPr>
          <w:trHeight w:val="3089"/>
        </w:trPr>
        <w:tc>
          <w:tcPr>
            <w:tcW w:w="982" w:type="dxa"/>
            <w:shd w:val="clear" w:color="auto" w:fill="auto"/>
            <w:tcMar>
              <w:top w:w="15" w:type="dxa"/>
              <w:left w:w="75" w:type="dxa"/>
              <w:bottom w:w="15" w:type="dxa"/>
              <w:right w:w="75" w:type="dxa"/>
            </w:tcMar>
          </w:tcPr>
          <w:p w14:paraId="62B94603" w14:textId="4BCFFE7D" w:rsidR="00C56AE9" w:rsidRPr="00641640" w:rsidRDefault="00F47208" w:rsidP="00A20B02">
            <w:pPr>
              <w:spacing w:line="276" w:lineRule="auto"/>
              <w:jc w:val="center"/>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lastRenderedPageBreak/>
              <w:t>Rezultati</w:t>
            </w:r>
          </w:p>
        </w:tc>
        <w:tc>
          <w:tcPr>
            <w:tcW w:w="1980" w:type="dxa"/>
            <w:shd w:val="clear" w:color="auto" w:fill="auto"/>
            <w:tcMar>
              <w:top w:w="15" w:type="dxa"/>
              <w:left w:w="75" w:type="dxa"/>
              <w:bottom w:w="15" w:type="dxa"/>
              <w:right w:w="75" w:type="dxa"/>
            </w:tcMar>
          </w:tcPr>
          <w:p w14:paraId="78BFCD6E" w14:textId="013C071A" w:rsidR="00C56AE9" w:rsidRPr="00641640" w:rsidRDefault="00626B52"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 xml:space="preserve">2.2.1 </w:t>
            </w:r>
            <w:r w:rsidR="000C0D57" w:rsidRPr="00641640">
              <w:rPr>
                <w:rFonts w:ascii="Times New Roman" w:hAnsi="Times New Roman" w:cs="Times New Roman"/>
                <w:noProof/>
                <w:sz w:val="22"/>
                <w:szCs w:val="22"/>
                <w:lang w:val="sq-AL"/>
              </w:rPr>
              <w:t>Rritja e</w:t>
            </w:r>
            <w:r w:rsidR="001036B7" w:rsidRPr="00641640">
              <w:rPr>
                <w:rFonts w:ascii="Times New Roman" w:hAnsi="Times New Roman" w:cs="Times New Roman"/>
                <w:noProof/>
                <w:sz w:val="22"/>
                <w:szCs w:val="22"/>
                <w:lang w:val="sq-AL"/>
              </w:rPr>
              <w:t xml:space="preserve"> </w:t>
            </w:r>
            <w:r w:rsidRPr="00641640">
              <w:rPr>
                <w:rFonts w:ascii="Times New Roman" w:hAnsi="Times New Roman" w:cs="Times New Roman"/>
                <w:noProof/>
                <w:sz w:val="22"/>
                <w:szCs w:val="22"/>
                <w:lang w:val="sq-AL"/>
              </w:rPr>
              <w:t>kapaciteteve institucional</w:t>
            </w:r>
            <w:r w:rsidR="007B3A37" w:rsidRPr="00641640">
              <w:rPr>
                <w:rFonts w:ascii="Times New Roman" w:hAnsi="Times New Roman" w:cs="Times New Roman"/>
                <w:noProof/>
                <w:sz w:val="22"/>
                <w:szCs w:val="22"/>
                <w:lang w:val="sq-AL"/>
              </w:rPr>
              <w:t>e</w:t>
            </w:r>
            <w:r w:rsidRPr="00641640">
              <w:rPr>
                <w:rFonts w:ascii="Times New Roman" w:hAnsi="Times New Roman" w:cs="Times New Roman"/>
                <w:noProof/>
                <w:sz w:val="22"/>
                <w:szCs w:val="22"/>
                <w:lang w:val="sq-AL"/>
              </w:rPr>
              <w:t xml:space="preserve"> për zbatimin në praktikë të rregullave të etikës nga nëpunësit e administratës publike</w:t>
            </w:r>
            <w:r w:rsidR="0011718A" w:rsidRPr="00641640">
              <w:rPr>
                <w:rFonts w:ascii="Times New Roman" w:hAnsi="Times New Roman" w:cs="Times New Roman"/>
                <w:noProof/>
                <w:sz w:val="22"/>
                <w:szCs w:val="22"/>
                <w:lang w:val="sq-AL"/>
              </w:rPr>
              <w:t>.</w:t>
            </w:r>
          </w:p>
        </w:tc>
        <w:tc>
          <w:tcPr>
            <w:tcW w:w="2160" w:type="dxa"/>
            <w:shd w:val="clear" w:color="auto" w:fill="auto"/>
          </w:tcPr>
          <w:p w14:paraId="7138E02E" w14:textId="6D56C2E0" w:rsidR="00C56AE9" w:rsidRPr="00641640" w:rsidRDefault="00626B52"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Shërbimi civil dhe menaxhimi i burimeve njerëzore</w:t>
            </w:r>
          </w:p>
        </w:tc>
        <w:tc>
          <w:tcPr>
            <w:tcW w:w="2340" w:type="dxa"/>
            <w:shd w:val="clear" w:color="auto" w:fill="auto"/>
          </w:tcPr>
          <w:p w14:paraId="2DFD4238" w14:textId="1706654E" w:rsidR="00C56AE9" w:rsidRPr="00641640" w:rsidRDefault="00A20B02"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 xml:space="preserve">2.2 </w:t>
            </w:r>
            <w:r w:rsidR="00E507A5" w:rsidRPr="00641640">
              <w:rPr>
                <w:rFonts w:ascii="Times New Roman" w:eastAsia="Arial" w:hAnsi="Times New Roman" w:cs="Times New Roman"/>
                <w:noProof/>
                <w:sz w:val="22"/>
                <w:szCs w:val="22"/>
                <w:lang w:val="sq-AL"/>
              </w:rPr>
              <w:t>Investimi në motivimin dhe mirëqenien e nëpunësve publikë, me synim rritjen e atraksionit dhe forcimin e pozitës së sektorit publik si punëmarrës i besueshëm, tërheqës dhe konkurrues në tregun e punës.</w:t>
            </w:r>
          </w:p>
        </w:tc>
        <w:tc>
          <w:tcPr>
            <w:tcW w:w="1890" w:type="dxa"/>
            <w:shd w:val="clear" w:color="auto" w:fill="auto"/>
            <w:tcMar>
              <w:top w:w="15" w:type="dxa"/>
              <w:left w:w="75" w:type="dxa"/>
              <w:bottom w:w="15" w:type="dxa"/>
              <w:right w:w="75" w:type="dxa"/>
            </w:tcMar>
          </w:tcPr>
          <w:p w14:paraId="67E21B68" w14:textId="68BCD18A" w:rsidR="00C56AE9" w:rsidRPr="00641640" w:rsidRDefault="00E507A5" w:rsidP="003A395D">
            <w:pPr>
              <w:spacing w:line="276" w:lineRule="auto"/>
              <w:jc w:val="center"/>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ASPA</w:t>
            </w:r>
          </w:p>
        </w:tc>
      </w:tr>
      <w:tr w:rsidR="00EE7FD9" w:rsidRPr="00641640" w14:paraId="1F70C7C2" w14:textId="77777777" w:rsidTr="000C0D57">
        <w:trPr>
          <w:trHeight w:val="965"/>
        </w:trPr>
        <w:tc>
          <w:tcPr>
            <w:tcW w:w="982" w:type="dxa"/>
            <w:shd w:val="clear" w:color="auto" w:fill="auto"/>
            <w:tcMar>
              <w:top w:w="15" w:type="dxa"/>
              <w:left w:w="75" w:type="dxa"/>
              <w:bottom w:w="15" w:type="dxa"/>
              <w:right w:w="75" w:type="dxa"/>
            </w:tcMar>
          </w:tcPr>
          <w:p w14:paraId="6FF0687B" w14:textId="77777777" w:rsidR="00A20B02" w:rsidRPr="00641640" w:rsidRDefault="00A20B02" w:rsidP="00A20B02">
            <w:pPr>
              <w:spacing w:line="276" w:lineRule="auto"/>
              <w:jc w:val="center"/>
              <w:rPr>
                <w:rFonts w:ascii="Times New Roman" w:hAnsi="Times New Roman" w:cs="Times New Roman"/>
                <w:noProof/>
                <w:sz w:val="22"/>
                <w:szCs w:val="22"/>
                <w:lang w:val="sq-AL"/>
              </w:rPr>
            </w:pPr>
          </w:p>
          <w:p w14:paraId="006B534B" w14:textId="1BDC5D35" w:rsidR="00EE7FD9" w:rsidRPr="00641640" w:rsidRDefault="00A20B02" w:rsidP="00A20B02">
            <w:pPr>
              <w:spacing w:line="276" w:lineRule="auto"/>
              <w:jc w:val="center"/>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Rezultati</w:t>
            </w:r>
          </w:p>
        </w:tc>
        <w:tc>
          <w:tcPr>
            <w:tcW w:w="1980" w:type="dxa"/>
            <w:shd w:val="clear" w:color="auto" w:fill="auto"/>
            <w:tcMar>
              <w:top w:w="15" w:type="dxa"/>
              <w:left w:w="75" w:type="dxa"/>
              <w:bottom w:w="15" w:type="dxa"/>
              <w:right w:w="75" w:type="dxa"/>
            </w:tcMar>
          </w:tcPr>
          <w:p w14:paraId="6220B569" w14:textId="77777777" w:rsidR="00A20B02" w:rsidRPr="00641640" w:rsidRDefault="00A20B02" w:rsidP="003A395D">
            <w:pPr>
              <w:spacing w:line="276" w:lineRule="auto"/>
              <w:rPr>
                <w:rFonts w:ascii="Times New Roman" w:hAnsi="Times New Roman" w:cs="Times New Roman"/>
                <w:noProof/>
                <w:sz w:val="22"/>
                <w:szCs w:val="22"/>
                <w:lang w:val="sq-AL"/>
              </w:rPr>
            </w:pPr>
          </w:p>
          <w:p w14:paraId="30670524" w14:textId="40A86784" w:rsidR="00EE7FD9" w:rsidRPr="00641640" w:rsidRDefault="00B42898" w:rsidP="003A395D">
            <w:pPr>
              <w:spacing w:line="276" w:lineRule="auto"/>
              <w:rPr>
                <w:rFonts w:ascii="Times New Roman" w:hAnsi="Times New Roman" w:cs="Times New Roman"/>
                <w:noProof/>
                <w:sz w:val="22"/>
                <w:szCs w:val="22"/>
                <w:lang w:val="sq-AL"/>
              </w:rPr>
            </w:pPr>
            <w:r>
              <w:rPr>
                <w:rFonts w:ascii="Times New Roman" w:hAnsi="Times New Roman" w:cs="Times New Roman"/>
                <w:noProof/>
                <w:sz w:val="22"/>
                <w:szCs w:val="22"/>
                <w:lang w:val="sq-AL"/>
              </w:rPr>
              <w:t xml:space="preserve">2.2.2 </w:t>
            </w:r>
            <w:r w:rsidR="005F75C0" w:rsidRPr="00641640">
              <w:rPr>
                <w:rFonts w:ascii="Times New Roman" w:hAnsi="Times New Roman" w:cs="Times New Roman"/>
                <w:noProof/>
                <w:sz w:val="22"/>
                <w:szCs w:val="22"/>
                <w:lang w:val="sq-AL"/>
              </w:rPr>
              <w:t>Indeksi i qarkullimit (lëvizshmërisë) vjetor të stafit në shërbimin civil</w:t>
            </w:r>
            <w:r w:rsidR="00916198">
              <w:rPr>
                <w:rFonts w:ascii="Times New Roman" w:hAnsi="Times New Roman" w:cs="Times New Roman"/>
                <w:noProof/>
                <w:sz w:val="22"/>
                <w:szCs w:val="22"/>
                <w:lang w:val="sq-AL"/>
              </w:rPr>
              <w:t>.</w:t>
            </w:r>
          </w:p>
          <w:p w14:paraId="7B3D1173" w14:textId="306DF557" w:rsidR="00EE7FD9" w:rsidRPr="00641640" w:rsidRDefault="00EE7FD9" w:rsidP="003A395D">
            <w:pPr>
              <w:spacing w:line="276" w:lineRule="auto"/>
              <w:rPr>
                <w:rFonts w:ascii="Times New Roman" w:hAnsi="Times New Roman" w:cs="Times New Roman"/>
                <w:noProof/>
                <w:sz w:val="22"/>
                <w:szCs w:val="22"/>
                <w:lang w:val="sq-AL"/>
              </w:rPr>
            </w:pPr>
          </w:p>
          <w:p w14:paraId="70D35263" w14:textId="77777777" w:rsidR="00EE7FD9" w:rsidRPr="00641640" w:rsidRDefault="00EE7FD9" w:rsidP="003A395D">
            <w:pPr>
              <w:pStyle w:val="T-number"/>
              <w:spacing w:line="276" w:lineRule="auto"/>
              <w:ind w:left="0"/>
              <w:jc w:val="both"/>
              <w:rPr>
                <w:rFonts w:ascii="Times New Roman" w:eastAsiaTheme="minorHAnsi" w:hAnsi="Times New Roman" w:cs="Times New Roman"/>
                <w:b/>
                <w:bCs/>
                <w:noProof/>
                <w:sz w:val="22"/>
                <w:szCs w:val="22"/>
                <w:lang w:val="sq-AL"/>
              </w:rPr>
            </w:pPr>
            <w:r w:rsidRPr="00641640">
              <w:rPr>
                <w:rFonts w:ascii="Times New Roman" w:eastAsiaTheme="minorHAnsi" w:hAnsi="Times New Roman" w:cs="Times New Roman"/>
                <w:noProof/>
                <w:sz w:val="22"/>
                <w:szCs w:val="22"/>
                <w:lang w:val="sq-AL"/>
              </w:rPr>
              <w:t>të</w:t>
            </w:r>
            <w:r w:rsidRPr="00641640">
              <w:rPr>
                <w:rFonts w:ascii="Times New Roman" w:eastAsiaTheme="minorHAnsi" w:hAnsi="Times New Roman" w:cs="Times New Roman"/>
                <w:b/>
                <w:noProof/>
                <w:sz w:val="22"/>
                <w:szCs w:val="22"/>
                <w:lang w:val="sq-AL"/>
              </w:rPr>
              <w:t xml:space="preserve">   </w:t>
            </w:r>
          </w:p>
        </w:tc>
        <w:tc>
          <w:tcPr>
            <w:tcW w:w="2160" w:type="dxa"/>
            <w:shd w:val="clear" w:color="auto" w:fill="auto"/>
          </w:tcPr>
          <w:p w14:paraId="4ED4F8AD" w14:textId="77777777" w:rsidR="00A20B02" w:rsidRPr="00641640" w:rsidRDefault="00A20B02" w:rsidP="003A395D">
            <w:pPr>
              <w:spacing w:line="276" w:lineRule="auto"/>
              <w:rPr>
                <w:rFonts w:ascii="Times New Roman" w:eastAsia="Arial" w:hAnsi="Times New Roman" w:cs="Times New Roman"/>
                <w:noProof/>
                <w:sz w:val="22"/>
                <w:szCs w:val="22"/>
                <w:lang w:val="sq-AL"/>
              </w:rPr>
            </w:pPr>
          </w:p>
          <w:p w14:paraId="760C8DE2" w14:textId="1BDED66E" w:rsidR="00EE7FD9" w:rsidRPr="00641640" w:rsidRDefault="00A20B02"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Shërbimi civil dhe menaxhimi i burimeve njerëzore</w:t>
            </w:r>
          </w:p>
          <w:p w14:paraId="5AAC02EC" w14:textId="72559C1F" w:rsidR="00EE7FD9" w:rsidRPr="00641640" w:rsidRDefault="00EE7FD9" w:rsidP="003A395D">
            <w:pPr>
              <w:spacing w:line="276" w:lineRule="auto"/>
              <w:rPr>
                <w:rFonts w:ascii="Times New Roman" w:eastAsia="Arial" w:hAnsi="Times New Roman" w:cs="Times New Roman"/>
                <w:b/>
                <w:bCs/>
                <w:noProof/>
                <w:sz w:val="22"/>
                <w:szCs w:val="22"/>
                <w:lang w:val="sq-AL"/>
              </w:rPr>
            </w:pPr>
          </w:p>
        </w:tc>
        <w:tc>
          <w:tcPr>
            <w:tcW w:w="2340" w:type="dxa"/>
            <w:shd w:val="clear" w:color="auto" w:fill="auto"/>
          </w:tcPr>
          <w:p w14:paraId="13F90043" w14:textId="77777777" w:rsidR="00EE7FD9" w:rsidRPr="00641640" w:rsidRDefault="00EE7FD9" w:rsidP="003A395D">
            <w:pPr>
              <w:spacing w:line="276" w:lineRule="auto"/>
              <w:rPr>
                <w:rFonts w:ascii="Times New Roman" w:eastAsia="Arial" w:hAnsi="Times New Roman" w:cs="Times New Roman"/>
                <w:noProof/>
                <w:sz w:val="22"/>
                <w:szCs w:val="22"/>
                <w:lang w:val="sq-AL"/>
              </w:rPr>
            </w:pPr>
          </w:p>
          <w:p w14:paraId="528BCCBA" w14:textId="4548FB55" w:rsidR="00EE7FD9" w:rsidRPr="00641640" w:rsidRDefault="00A20B02"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2.2 Investimi në motivimin dhe mirëqenien e nëpunësve publikë, me synim rritjen e atraksionit dhe forcimin e pozitës së sektorit publik si punëmarrës i besueshëm, tërheqës dhe konkurrues në tregun e punës.</w:t>
            </w:r>
          </w:p>
        </w:tc>
        <w:tc>
          <w:tcPr>
            <w:tcW w:w="1890" w:type="dxa"/>
            <w:shd w:val="clear" w:color="auto" w:fill="auto"/>
            <w:tcMar>
              <w:top w:w="15" w:type="dxa"/>
              <w:left w:w="75" w:type="dxa"/>
              <w:bottom w:w="15" w:type="dxa"/>
              <w:right w:w="75" w:type="dxa"/>
            </w:tcMar>
          </w:tcPr>
          <w:p w14:paraId="5839D2DC" w14:textId="77777777" w:rsidR="00EE7FD9" w:rsidRPr="00641640" w:rsidRDefault="00EE7FD9" w:rsidP="003A395D">
            <w:pPr>
              <w:spacing w:line="276" w:lineRule="auto"/>
              <w:jc w:val="center"/>
              <w:rPr>
                <w:rFonts w:ascii="Times New Roman" w:eastAsia="Arial" w:hAnsi="Times New Roman" w:cs="Times New Roman"/>
                <w:noProof/>
                <w:sz w:val="22"/>
                <w:szCs w:val="22"/>
                <w:lang w:val="sq-AL"/>
              </w:rPr>
            </w:pPr>
          </w:p>
          <w:p w14:paraId="6EC89108" w14:textId="4025E813" w:rsidR="00EE7FD9" w:rsidRPr="00641640" w:rsidRDefault="00A20B02" w:rsidP="003A395D">
            <w:pPr>
              <w:spacing w:line="276" w:lineRule="auto"/>
              <w:jc w:val="center"/>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DAP</w:t>
            </w:r>
          </w:p>
        </w:tc>
      </w:tr>
      <w:tr w:rsidR="00EE7FD9" w:rsidRPr="00641640" w14:paraId="01F03E99" w14:textId="77777777" w:rsidTr="002C31DE">
        <w:trPr>
          <w:trHeight w:val="473"/>
        </w:trPr>
        <w:tc>
          <w:tcPr>
            <w:tcW w:w="982" w:type="dxa"/>
            <w:tcMar>
              <w:top w:w="15" w:type="dxa"/>
              <w:left w:w="75" w:type="dxa"/>
              <w:bottom w:w="15" w:type="dxa"/>
              <w:right w:w="75" w:type="dxa"/>
            </w:tcMar>
          </w:tcPr>
          <w:p w14:paraId="6AEEC7DC" w14:textId="77777777" w:rsidR="00A20B02" w:rsidRPr="00641640" w:rsidRDefault="00A20B02" w:rsidP="00A20B02">
            <w:pPr>
              <w:spacing w:line="276" w:lineRule="auto"/>
              <w:jc w:val="center"/>
              <w:rPr>
                <w:rFonts w:ascii="Times New Roman" w:eastAsiaTheme="minorHAnsi" w:hAnsi="Times New Roman" w:cs="Times New Roman"/>
                <w:noProof/>
                <w:sz w:val="22"/>
                <w:szCs w:val="22"/>
                <w:lang w:val="sq-AL"/>
              </w:rPr>
            </w:pPr>
          </w:p>
          <w:p w14:paraId="44AC2E06" w14:textId="1AD7FC17" w:rsidR="00EE7FD9" w:rsidRPr="00641640" w:rsidRDefault="00A20B02" w:rsidP="00A20B02">
            <w:pPr>
              <w:spacing w:line="276" w:lineRule="auto"/>
              <w:jc w:val="center"/>
              <w:rPr>
                <w:rFonts w:ascii="Times New Roman" w:eastAsiaTheme="minorHAnsi" w:hAnsi="Times New Roman" w:cs="Times New Roman"/>
                <w:noProof/>
                <w:sz w:val="22"/>
                <w:szCs w:val="22"/>
                <w:lang w:val="sq-AL"/>
              </w:rPr>
            </w:pPr>
            <w:r w:rsidRPr="00641640">
              <w:rPr>
                <w:rFonts w:ascii="Times New Roman" w:eastAsiaTheme="minorHAnsi" w:hAnsi="Times New Roman" w:cs="Times New Roman"/>
                <w:noProof/>
                <w:sz w:val="22"/>
                <w:szCs w:val="22"/>
                <w:lang w:val="sq-AL"/>
              </w:rPr>
              <w:t>Rezultati</w:t>
            </w:r>
          </w:p>
        </w:tc>
        <w:tc>
          <w:tcPr>
            <w:tcW w:w="1980" w:type="dxa"/>
            <w:tcMar>
              <w:top w:w="15" w:type="dxa"/>
              <w:left w:w="75" w:type="dxa"/>
              <w:bottom w:w="15" w:type="dxa"/>
              <w:right w:w="75" w:type="dxa"/>
            </w:tcMar>
          </w:tcPr>
          <w:p w14:paraId="0B5D7180" w14:textId="77777777" w:rsidR="00A20B02" w:rsidRPr="00641640" w:rsidRDefault="00A20B02" w:rsidP="003A395D">
            <w:pPr>
              <w:spacing w:line="276" w:lineRule="auto"/>
              <w:rPr>
                <w:rFonts w:ascii="Times New Roman" w:hAnsi="Times New Roman" w:cs="Times New Roman"/>
                <w:noProof/>
                <w:sz w:val="22"/>
                <w:szCs w:val="22"/>
                <w:lang w:val="sq-AL"/>
              </w:rPr>
            </w:pPr>
          </w:p>
          <w:p w14:paraId="1C6E8023" w14:textId="17981543" w:rsidR="00EE7FD9" w:rsidRPr="00641640" w:rsidRDefault="00B42898" w:rsidP="003A395D">
            <w:pPr>
              <w:spacing w:line="276" w:lineRule="auto"/>
              <w:rPr>
                <w:rFonts w:ascii="Times New Roman" w:hAnsi="Times New Roman" w:cs="Times New Roman"/>
                <w:noProof/>
                <w:sz w:val="22"/>
                <w:szCs w:val="22"/>
                <w:lang w:val="sq-AL"/>
              </w:rPr>
            </w:pPr>
            <w:r>
              <w:rPr>
                <w:rFonts w:ascii="Times New Roman" w:hAnsi="Times New Roman" w:cs="Times New Roman"/>
                <w:noProof/>
                <w:sz w:val="22"/>
                <w:szCs w:val="22"/>
                <w:lang w:val="sq-AL"/>
              </w:rPr>
              <w:t xml:space="preserve">2.2.3 </w:t>
            </w:r>
            <w:r w:rsidR="00162D36" w:rsidRPr="00641640">
              <w:rPr>
                <w:rFonts w:ascii="Times New Roman" w:hAnsi="Times New Roman" w:cs="Times New Roman"/>
                <w:noProof/>
                <w:sz w:val="22"/>
                <w:szCs w:val="22"/>
                <w:lang w:val="sq-AL"/>
              </w:rPr>
              <w:t>Niveli i kënaqësisë në punë të nëpunësve publikë</w:t>
            </w:r>
            <w:r w:rsidR="00916198">
              <w:rPr>
                <w:rFonts w:ascii="Times New Roman" w:hAnsi="Times New Roman" w:cs="Times New Roman"/>
                <w:noProof/>
                <w:sz w:val="22"/>
                <w:szCs w:val="22"/>
                <w:lang w:val="sq-AL"/>
              </w:rPr>
              <w:t>.</w:t>
            </w:r>
          </w:p>
        </w:tc>
        <w:tc>
          <w:tcPr>
            <w:tcW w:w="2160" w:type="dxa"/>
          </w:tcPr>
          <w:p w14:paraId="29DC8A23" w14:textId="77777777" w:rsidR="00A20B02" w:rsidRPr="00641640" w:rsidRDefault="00A20B02" w:rsidP="00A20B02">
            <w:pPr>
              <w:spacing w:line="276" w:lineRule="auto"/>
              <w:rPr>
                <w:rFonts w:ascii="Times New Roman" w:eastAsia="Arial" w:hAnsi="Times New Roman" w:cs="Times New Roman"/>
                <w:noProof/>
                <w:sz w:val="22"/>
                <w:szCs w:val="22"/>
                <w:lang w:val="sq-AL"/>
              </w:rPr>
            </w:pPr>
          </w:p>
          <w:p w14:paraId="56367E07" w14:textId="18E1CF5B" w:rsidR="00EE7FD9" w:rsidRPr="00641640" w:rsidRDefault="00A20B02" w:rsidP="00A20B02">
            <w:pPr>
              <w:spacing w:line="276" w:lineRule="auto"/>
              <w:rPr>
                <w:rFonts w:ascii="Times New Roman" w:eastAsia="Arial" w:hAnsi="Times New Roman" w:cs="Times New Roman"/>
                <w:b/>
                <w:bCs/>
                <w:noProof/>
                <w:sz w:val="22"/>
                <w:szCs w:val="22"/>
                <w:lang w:val="sq-AL"/>
              </w:rPr>
            </w:pPr>
            <w:r w:rsidRPr="00641640">
              <w:rPr>
                <w:rFonts w:ascii="Times New Roman" w:eastAsia="Arial" w:hAnsi="Times New Roman" w:cs="Times New Roman"/>
                <w:noProof/>
                <w:sz w:val="22"/>
                <w:szCs w:val="22"/>
                <w:lang w:val="sq-AL"/>
              </w:rPr>
              <w:t>Shërbimi civil dhe menaxhimi i burimeve njerëzore</w:t>
            </w:r>
          </w:p>
        </w:tc>
        <w:tc>
          <w:tcPr>
            <w:tcW w:w="2340" w:type="dxa"/>
          </w:tcPr>
          <w:p w14:paraId="41F0FD91" w14:textId="77777777" w:rsidR="00A20B02" w:rsidRPr="00641640" w:rsidRDefault="00A20B02" w:rsidP="00A20B02">
            <w:pPr>
              <w:spacing w:line="276" w:lineRule="auto"/>
              <w:rPr>
                <w:rFonts w:ascii="Times New Roman" w:eastAsia="Arial" w:hAnsi="Times New Roman" w:cs="Times New Roman"/>
                <w:noProof/>
                <w:sz w:val="22"/>
                <w:szCs w:val="22"/>
                <w:lang w:val="sq-AL"/>
              </w:rPr>
            </w:pPr>
          </w:p>
          <w:p w14:paraId="038DBF0B" w14:textId="0CAC1D69" w:rsidR="00EE7FD9" w:rsidRPr="00641640" w:rsidRDefault="00A20B02" w:rsidP="00A20B02">
            <w:pPr>
              <w:spacing w:line="276" w:lineRule="auto"/>
              <w:rPr>
                <w:rFonts w:ascii="Times New Roman" w:eastAsia="Arial" w:hAnsi="Times New Roman" w:cs="Times New Roman"/>
                <w:b/>
                <w:bCs/>
                <w:noProof/>
                <w:sz w:val="22"/>
                <w:szCs w:val="22"/>
                <w:lang w:val="sq-AL"/>
              </w:rPr>
            </w:pPr>
            <w:r w:rsidRPr="00641640">
              <w:rPr>
                <w:rFonts w:ascii="Times New Roman" w:eastAsia="Arial" w:hAnsi="Times New Roman" w:cs="Times New Roman"/>
                <w:noProof/>
                <w:sz w:val="22"/>
                <w:szCs w:val="22"/>
                <w:lang w:val="sq-AL"/>
              </w:rPr>
              <w:t>2.2 Investimi në motivimin dhe mirëqenien e nëpunësve publikë, me synim rritjen e atraksionit dhe forcimin e pozitës së sektorit publik si punëmarrës i besueshëm, tërheqës dhe konkurrues në tregun e punës.</w:t>
            </w:r>
          </w:p>
        </w:tc>
        <w:tc>
          <w:tcPr>
            <w:tcW w:w="1890" w:type="dxa"/>
            <w:tcMar>
              <w:top w:w="15" w:type="dxa"/>
              <w:left w:w="75" w:type="dxa"/>
              <w:bottom w:w="15" w:type="dxa"/>
              <w:right w:w="75" w:type="dxa"/>
            </w:tcMar>
          </w:tcPr>
          <w:p w14:paraId="38B58147" w14:textId="77777777" w:rsidR="00EE7FD9" w:rsidRPr="00641640" w:rsidRDefault="00EE7FD9" w:rsidP="003A395D">
            <w:pPr>
              <w:spacing w:line="276" w:lineRule="auto"/>
              <w:jc w:val="center"/>
              <w:rPr>
                <w:rFonts w:ascii="Times New Roman" w:eastAsia="Arial" w:hAnsi="Times New Roman" w:cs="Times New Roman"/>
                <w:b/>
                <w:bCs/>
                <w:noProof/>
                <w:sz w:val="22"/>
                <w:szCs w:val="22"/>
                <w:lang w:val="sq-AL"/>
              </w:rPr>
            </w:pPr>
          </w:p>
          <w:p w14:paraId="6FE6BD12" w14:textId="7679D00A" w:rsidR="00A20B02" w:rsidRPr="00641640" w:rsidRDefault="00A20B02" w:rsidP="003A395D">
            <w:pPr>
              <w:spacing w:line="276" w:lineRule="auto"/>
              <w:jc w:val="center"/>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DAP</w:t>
            </w:r>
          </w:p>
        </w:tc>
      </w:tr>
    </w:tbl>
    <w:p w14:paraId="53C8FE98" w14:textId="77777777" w:rsidR="001161DE" w:rsidRPr="00641640" w:rsidRDefault="001161DE" w:rsidP="003A395D">
      <w:pPr>
        <w:spacing w:line="276" w:lineRule="auto"/>
        <w:rPr>
          <w:rFonts w:ascii="Times New Roman" w:hAnsi="Times New Roman" w:cs="Times New Roman"/>
          <w:noProof/>
          <w:sz w:val="24"/>
          <w:szCs w:val="24"/>
          <w:highlight w:val="yellow"/>
          <w:lang w:val="sq-AL"/>
        </w:rPr>
      </w:pPr>
    </w:p>
    <w:p w14:paraId="5F27EA0D" w14:textId="77777777" w:rsidR="00EF265C" w:rsidRPr="00641640" w:rsidRDefault="00EF265C" w:rsidP="003A395D">
      <w:pPr>
        <w:spacing w:line="276" w:lineRule="auto"/>
        <w:rPr>
          <w:rFonts w:ascii="Times New Roman" w:hAnsi="Times New Roman" w:cs="Times New Roman"/>
          <w:noProof/>
          <w:sz w:val="24"/>
          <w:szCs w:val="24"/>
          <w:highlight w:val="yellow"/>
          <w:lang w:val="sq-AL"/>
        </w:rPr>
      </w:pPr>
    </w:p>
    <w:p w14:paraId="1BACA6C3" w14:textId="77777777" w:rsidR="008268F2" w:rsidRPr="00641640" w:rsidRDefault="008268F2" w:rsidP="003A395D">
      <w:pPr>
        <w:spacing w:line="276" w:lineRule="auto"/>
        <w:rPr>
          <w:rFonts w:ascii="Times New Roman" w:hAnsi="Times New Roman" w:cs="Times New Roman"/>
          <w:noProof/>
          <w:sz w:val="24"/>
          <w:szCs w:val="24"/>
          <w:highlight w:val="yellow"/>
          <w:lang w:val="sq-AL"/>
        </w:rPr>
      </w:pPr>
    </w:p>
    <w:p w14:paraId="40C800F2" w14:textId="77777777" w:rsidR="008268F2" w:rsidRPr="00641640" w:rsidRDefault="008268F2" w:rsidP="003A395D">
      <w:pPr>
        <w:spacing w:line="276" w:lineRule="auto"/>
        <w:rPr>
          <w:rFonts w:ascii="Times New Roman" w:hAnsi="Times New Roman" w:cs="Times New Roman"/>
          <w:noProof/>
          <w:sz w:val="24"/>
          <w:szCs w:val="24"/>
          <w:highlight w:val="yellow"/>
          <w:lang w:val="sq-AL"/>
        </w:rPr>
      </w:pPr>
    </w:p>
    <w:p w14:paraId="4D0F12FF" w14:textId="77777777" w:rsidR="008268F2" w:rsidRPr="00641640" w:rsidRDefault="008268F2" w:rsidP="003A395D">
      <w:pPr>
        <w:spacing w:line="276" w:lineRule="auto"/>
        <w:rPr>
          <w:rFonts w:ascii="Times New Roman" w:hAnsi="Times New Roman" w:cs="Times New Roman"/>
          <w:noProof/>
          <w:sz w:val="24"/>
          <w:szCs w:val="24"/>
          <w:highlight w:val="yellow"/>
          <w:lang w:val="sq-AL"/>
        </w:rPr>
      </w:pPr>
    </w:p>
    <w:p w14:paraId="05162D04" w14:textId="3B98F2E1" w:rsidR="001161DE" w:rsidRPr="00641640" w:rsidRDefault="001161DE" w:rsidP="003A395D">
      <w:pPr>
        <w:spacing w:line="276" w:lineRule="auto"/>
        <w:jc w:val="both"/>
        <w:rPr>
          <w:rFonts w:ascii="Times New Roman" w:hAnsi="Times New Roman" w:cs="Times New Roman"/>
          <w:b/>
          <w:bCs/>
          <w:i/>
          <w:iCs/>
          <w:noProof/>
          <w:sz w:val="24"/>
          <w:szCs w:val="24"/>
          <w:lang w:val="sq-AL"/>
        </w:rPr>
      </w:pPr>
      <w:r w:rsidRPr="00641640">
        <w:rPr>
          <w:rFonts w:ascii="Times New Roman" w:hAnsi="Times New Roman" w:cs="Times New Roman"/>
          <w:b/>
          <w:bCs/>
          <w:i/>
          <w:iCs/>
          <w:noProof/>
          <w:sz w:val="24"/>
          <w:szCs w:val="24"/>
          <w:lang w:val="sq-AL"/>
        </w:rPr>
        <w:lastRenderedPageBreak/>
        <w:t>Komponenti 2.3</w:t>
      </w:r>
      <w:r w:rsidR="00F30790" w:rsidRPr="00641640">
        <w:rPr>
          <w:rFonts w:ascii="Times New Roman" w:hAnsi="Times New Roman" w:cs="Times New Roman"/>
          <w:b/>
          <w:bCs/>
          <w:i/>
          <w:iCs/>
          <w:noProof/>
          <w:sz w:val="24"/>
          <w:szCs w:val="24"/>
          <w:lang w:val="sq-AL"/>
        </w:rPr>
        <w:t>:</w:t>
      </w:r>
      <w:r w:rsidRPr="00641640">
        <w:rPr>
          <w:rFonts w:ascii="Times New Roman" w:hAnsi="Times New Roman" w:cs="Times New Roman"/>
          <w:b/>
          <w:bCs/>
          <w:i/>
          <w:iCs/>
          <w:noProof/>
          <w:sz w:val="24"/>
          <w:szCs w:val="24"/>
          <w:lang w:val="sq-AL"/>
        </w:rPr>
        <w:t xml:space="preserve"> Rritja e kapaciteteve të administratës publike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E4"/>
        <w:tblLook w:val="04A0" w:firstRow="1" w:lastRow="0" w:firstColumn="1" w:lastColumn="0" w:noHBand="0" w:noVBand="1"/>
      </w:tblPr>
      <w:tblGrid>
        <w:gridCol w:w="535"/>
        <w:gridCol w:w="8815"/>
      </w:tblGrid>
      <w:tr w:rsidR="00F30790" w:rsidRPr="00641640" w14:paraId="651B58CA" w14:textId="77777777" w:rsidTr="00F30790">
        <w:tc>
          <w:tcPr>
            <w:tcW w:w="535" w:type="dxa"/>
            <w:shd w:val="clear" w:color="auto" w:fill="EAF4E4"/>
          </w:tcPr>
          <w:p w14:paraId="5CD1F596" w14:textId="2A5FE31F" w:rsidR="00F30790" w:rsidRPr="00641640" w:rsidRDefault="00F30790" w:rsidP="003A395D">
            <w:pPr>
              <w:spacing w:line="276" w:lineRule="auto"/>
              <w:jc w:val="both"/>
              <w:rPr>
                <w:rFonts w:ascii="Times New Roman" w:hAnsi="Times New Roman" w:cs="Times New Roman"/>
                <w:b/>
                <w:bCs/>
                <w:noProof/>
                <w:color w:val="003300"/>
                <w:sz w:val="24"/>
                <w:szCs w:val="24"/>
                <w:lang w:val="sq-AL"/>
              </w:rPr>
            </w:pPr>
            <w:r w:rsidRPr="00641640">
              <w:rPr>
                <w:rFonts w:ascii="Times New Roman" w:hAnsi="Times New Roman" w:cs="Times New Roman"/>
                <w:b/>
                <w:bCs/>
                <w:noProof/>
                <w:color w:val="003300"/>
                <w:sz w:val="24"/>
                <w:szCs w:val="24"/>
                <w:lang w:val="sq-AL"/>
              </w:rPr>
              <w:t>2.3</w:t>
            </w:r>
          </w:p>
        </w:tc>
        <w:tc>
          <w:tcPr>
            <w:tcW w:w="8815" w:type="dxa"/>
            <w:shd w:val="clear" w:color="auto" w:fill="EAF4E4"/>
          </w:tcPr>
          <w:p w14:paraId="7DC76284" w14:textId="1E0FE20C" w:rsidR="00F30790" w:rsidRPr="00641640" w:rsidRDefault="00F30790" w:rsidP="003A395D">
            <w:pPr>
              <w:spacing w:line="276" w:lineRule="auto"/>
              <w:jc w:val="both"/>
              <w:rPr>
                <w:rFonts w:ascii="Times New Roman" w:hAnsi="Times New Roman" w:cs="Times New Roman"/>
                <w:b/>
                <w:bCs/>
                <w:noProof/>
                <w:color w:val="003300"/>
                <w:sz w:val="24"/>
                <w:szCs w:val="24"/>
                <w:lang w:val="sq-AL"/>
              </w:rPr>
            </w:pPr>
            <w:r w:rsidRPr="00641640">
              <w:rPr>
                <w:rFonts w:ascii="Times New Roman" w:eastAsia="MS Mincho" w:hAnsi="Times New Roman" w:cs="Times New Roman"/>
                <w:b/>
                <w:noProof/>
                <w:color w:val="003300"/>
                <w:sz w:val="24"/>
                <w:szCs w:val="24"/>
                <w:lang w:val="sq-AL"/>
              </w:rPr>
              <w:t>Objektivi Specifik 2.3: Investimi në zhvillimin profesional dhe rritjen e kapaciteteve të nëpunësve të administratës publike, për të mbështetur dhe avancuar agjendën kombëtare të integrimit evropian të Shqipërisë</w:t>
            </w:r>
          </w:p>
        </w:tc>
      </w:tr>
    </w:tbl>
    <w:p w14:paraId="1BE4C354" w14:textId="77777777" w:rsidR="00555B93" w:rsidRPr="00641640" w:rsidRDefault="00555B93" w:rsidP="003A395D">
      <w:pPr>
        <w:spacing w:after="0" w:line="276" w:lineRule="auto"/>
        <w:jc w:val="both"/>
        <w:rPr>
          <w:rFonts w:ascii="Times New Roman" w:hAnsi="Times New Roman" w:cs="Times New Roman"/>
          <w:b/>
          <w:bCs/>
          <w:noProof/>
          <w:sz w:val="24"/>
          <w:szCs w:val="24"/>
          <w:lang w:val="sq-AL"/>
        </w:rPr>
      </w:pPr>
    </w:p>
    <w:p w14:paraId="6448BB96" w14:textId="5DBF7B79" w:rsidR="001161DE" w:rsidRPr="00641640" w:rsidRDefault="001161DE" w:rsidP="003A395D">
      <w:pPr>
        <w:spacing w:line="276" w:lineRule="auto"/>
        <w:jc w:val="both"/>
        <w:rPr>
          <w:rFonts w:ascii="Times New Roman" w:eastAsia="MS Mincho" w:hAnsi="Times New Roman" w:cs="Times New Roman"/>
          <w:noProof/>
          <w:sz w:val="24"/>
          <w:szCs w:val="24"/>
          <w:lang w:val="sq-AL"/>
        </w:rPr>
      </w:pPr>
      <w:r w:rsidRPr="00641640">
        <w:rPr>
          <w:rFonts w:ascii="Times New Roman" w:hAnsi="Times New Roman" w:cs="Times New Roman"/>
          <w:noProof/>
          <w:sz w:val="24"/>
          <w:szCs w:val="24"/>
          <w:lang w:val="sq-AL"/>
        </w:rPr>
        <w:t xml:space="preserve">Përmbushja e këtij </w:t>
      </w:r>
      <w:r w:rsidR="00F30790" w:rsidRPr="00641640">
        <w:rPr>
          <w:rFonts w:ascii="Times New Roman" w:hAnsi="Times New Roman" w:cs="Times New Roman"/>
          <w:noProof/>
          <w:sz w:val="24"/>
          <w:szCs w:val="24"/>
          <w:lang w:val="sq-AL"/>
        </w:rPr>
        <w:t>Objektivi Specifik</w:t>
      </w:r>
      <w:r w:rsidRPr="00641640">
        <w:rPr>
          <w:rFonts w:ascii="Times New Roman" w:hAnsi="Times New Roman" w:cs="Times New Roman"/>
          <w:noProof/>
          <w:sz w:val="24"/>
          <w:szCs w:val="24"/>
          <w:lang w:val="sq-AL"/>
        </w:rPr>
        <w:t xml:space="preserve"> synon zhvillimin e aftësive profesionale në të gjitha nivelet e administratës publike, me synim krijimin e kapaciteteve administrative të afta për të përmbushur dhe përparuar procesin e integrimit të Shqipërisë në Bashkimin Evropian. Në këtë drejtim, ridimensionimi i Shkollës Shqiptare të Administratës Publike (ASPA) do të jetë në fokus të veçantë, paralelisht me </w:t>
      </w:r>
      <w:r w:rsidRPr="00641640">
        <w:rPr>
          <w:rFonts w:ascii="Times New Roman" w:eastAsia="MS Mincho" w:hAnsi="Times New Roman" w:cs="Times New Roman"/>
          <w:noProof/>
          <w:sz w:val="24"/>
          <w:szCs w:val="24"/>
          <w:lang w:val="sq-AL"/>
        </w:rPr>
        <w:t>garantimin e infrastrukturës bashkëkohore dhe efikase të trajnimit, teksa ato ekzistueset u dëmtuan nga tërmeti i fundit të vitit 2019, duke e bërë të nevojshme zhvillimin e trajnimeve në rrugë digjitale ose në hapësira të marra me qera apo të mundësuara nga institucione të tjera.</w:t>
      </w:r>
    </w:p>
    <w:p w14:paraId="55515DEE" w14:textId="52E2B979" w:rsidR="001161DE" w:rsidRPr="00641640" w:rsidRDefault="001161DE" w:rsidP="003A395D">
      <w:pPr>
        <w:spacing w:line="276" w:lineRule="auto"/>
        <w:jc w:val="both"/>
        <w:rPr>
          <w:rFonts w:ascii="Times New Roman" w:hAnsi="Times New Roman" w:cs="Times New Roman"/>
          <w:noProof/>
          <w:sz w:val="24"/>
          <w:szCs w:val="24"/>
          <w:lang w:val="sq-AL"/>
        </w:rPr>
      </w:pPr>
      <w:r w:rsidRPr="00641640">
        <w:rPr>
          <w:rFonts w:ascii="Times New Roman" w:eastAsia="MS Mincho" w:hAnsi="Times New Roman" w:cs="Times New Roman"/>
          <w:noProof/>
          <w:sz w:val="24"/>
          <w:szCs w:val="24"/>
          <w:lang w:val="sq-AL"/>
        </w:rPr>
        <w:t>Me adresimin e nevojës për infrastrukturë të qendrueshme të ASPA-s, kjo e fundit do të vijojë të jetë institucioni udhëheqës në trajnimin e sektorit publik në Shqipëri dhe do të mundësojë rritjen dhe zhvillimin e kapaciteteve të nëpunësve publikë, në bashkëpunim me ofrues të tjerë të trajnimeve për fusha specifike. Përgjatë zbatimit të SNRAP 202</w:t>
      </w:r>
      <w:r w:rsidR="007A76BC">
        <w:rPr>
          <w:rFonts w:ascii="Times New Roman" w:eastAsia="MS Mincho" w:hAnsi="Times New Roman" w:cs="Times New Roman"/>
          <w:noProof/>
          <w:sz w:val="24"/>
          <w:szCs w:val="24"/>
          <w:lang w:val="sq-AL"/>
        </w:rPr>
        <w:t>5</w:t>
      </w:r>
      <w:r w:rsidRPr="00641640">
        <w:rPr>
          <w:rFonts w:ascii="Times New Roman" w:eastAsia="MS Mincho" w:hAnsi="Times New Roman" w:cs="Times New Roman"/>
          <w:noProof/>
          <w:sz w:val="24"/>
          <w:szCs w:val="24"/>
          <w:lang w:val="sq-AL"/>
        </w:rPr>
        <w:t xml:space="preserve">-2030, do të jetëzohet vizioni për ASPA-n si një qendër ekselence e formimit profesional publik. Modeli i saj i ristrukturuar organizativ do të mundësojë ndërveprim të shtuar dhe të përmirësuar me DAP, si dhe koordinim më të mirë në zhvillimin e rregullt të Vlerësimit të Nevojave për Trajnime (VNT) dhe ofrimin e tyre të dobishëm për nëpunësit publikë. Kjo qasje synon rritjen e efikasitetit të ASPA-s në ndërlidhjen e kërkesave për trajnime me politikat përkatëse të hartuara dhe zbatuara. </w:t>
      </w:r>
      <w:r w:rsidRPr="00641640">
        <w:rPr>
          <w:rFonts w:ascii="Times New Roman" w:hAnsi="Times New Roman" w:cs="Times New Roman"/>
          <w:noProof/>
          <w:sz w:val="24"/>
          <w:szCs w:val="24"/>
          <w:lang w:val="sq-AL"/>
        </w:rPr>
        <w:t>Gjithashtu, për të garantuar vetëqëndrueshmërinë financiare të ASPA-s, do të zbatohet një model i dedikuar ekonomik që mundëson ofrimin e trajnimeve për palë të treta kundrejt pagesës, në përputhje me kuadrin ligjor dhe rregullator në fuqi. Modulet e trajnimit për të tretët do të hartohen dhe zbatohen në dialog të vazhdueshëm me të tretët.</w:t>
      </w:r>
    </w:p>
    <w:p w14:paraId="226802CD" w14:textId="5652194C" w:rsidR="001161DE" w:rsidRPr="00641640" w:rsidRDefault="001161DE" w:rsidP="003A395D">
      <w:pPr>
        <w:spacing w:line="276" w:lineRule="auto"/>
        <w:jc w:val="both"/>
        <w:rPr>
          <w:rFonts w:ascii="Times New Roman" w:eastAsia="MS Mincho" w:hAnsi="Times New Roman" w:cs="Times New Roman"/>
          <w:noProof/>
          <w:sz w:val="24"/>
          <w:szCs w:val="24"/>
          <w:lang w:val="sq-AL"/>
        </w:rPr>
      </w:pPr>
      <w:r w:rsidRPr="00641640">
        <w:rPr>
          <w:rFonts w:ascii="Times New Roman" w:eastAsia="MS Mincho" w:hAnsi="Times New Roman" w:cs="Times New Roman"/>
          <w:noProof/>
          <w:sz w:val="24"/>
          <w:szCs w:val="24"/>
          <w:lang w:val="sq-AL"/>
        </w:rPr>
        <w:t>Gjithashtu, rishikimi i planifikuar i VKM-së nr. 138/2014 “</w:t>
      </w:r>
      <w:r w:rsidRPr="001A2F72">
        <w:rPr>
          <w:rFonts w:ascii="Times New Roman" w:eastAsia="MS Mincho" w:hAnsi="Times New Roman" w:cs="Times New Roman"/>
          <w:i/>
          <w:iCs/>
          <w:noProof/>
          <w:sz w:val="24"/>
          <w:szCs w:val="24"/>
          <w:lang w:val="sq-AL"/>
        </w:rPr>
        <w:t>Për rregullat e organizimit e të funksionimit të Shkollës Shqiptare të Administratës Publike dhe trajnimin e nëpunësve civilë</w:t>
      </w:r>
      <w:r w:rsidRPr="00641640">
        <w:rPr>
          <w:rFonts w:ascii="Times New Roman" w:eastAsia="MS Mincho" w:hAnsi="Times New Roman" w:cs="Times New Roman"/>
          <w:noProof/>
          <w:sz w:val="24"/>
          <w:szCs w:val="24"/>
          <w:lang w:val="sq-AL"/>
        </w:rPr>
        <w:t>”, i ndryshuar, do të targetojë edhe reformimin e sistemit të trajnimit të ofruar nga ASPA. Në këtë kuadër, do të rishikohen kriteret për përzgjedhjen e trajnerëve dhe përcaktimin e masës së pagesës së tyre, me qëllim tërheqjen e ekspertëve më të mirë (ku prioritet do të ketë trupa ekzistuese e ekspertizës sektoriale brenda administratës publike), si dhe rritjen e cilësisë dhe atraktivitetit të ofertës trajnuese të ASPA-s.</w:t>
      </w:r>
    </w:p>
    <w:p w14:paraId="37EE2216" w14:textId="6FAA891A" w:rsidR="001161DE" w:rsidRPr="00641640" w:rsidRDefault="001161DE" w:rsidP="003A395D">
      <w:pPr>
        <w:spacing w:line="276" w:lineRule="auto"/>
        <w:jc w:val="both"/>
        <w:rPr>
          <w:rFonts w:ascii="Times New Roman" w:eastAsia="MS Mincho" w:hAnsi="Times New Roman" w:cs="Times New Roman"/>
          <w:noProof/>
          <w:sz w:val="24"/>
          <w:szCs w:val="24"/>
          <w:lang w:val="sq-AL"/>
        </w:rPr>
      </w:pPr>
      <w:r w:rsidRPr="00641640">
        <w:rPr>
          <w:rFonts w:ascii="Times New Roman" w:eastAsia="MS Mincho" w:hAnsi="Times New Roman" w:cs="Times New Roman"/>
          <w:noProof/>
          <w:sz w:val="24"/>
          <w:szCs w:val="24"/>
          <w:lang w:val="sq-AL"/>
        </w:rPr>
        <w:t xml:space="preserve">Krahas pasurimit të fokusit të ofertës trajnuese, rritja e kapaciteteve administrative në drejtim të thellimit të përgatitjeve për zbatimin e suksesshëm të agjendës kombëtare për integrimin evropian mbetet thelbësore. Forcimi i kapaciteteve administrative do të prioritizohet në përputhje me zotimet e parashikuara në Udhërrëfyesin për Reformën në Administratën Publike 2023-2030. Në zbatim të këtyre angazhimeve, ASPA në bashkëpunim me DAP, do të zhvillojë një Vlerësim të </w:t>
      </w:r>
      <w:r w:rsidRPr="00641640">
        <w:rPr>
          <w:rFonts w:ascii="Times New Roman" w:eastAsia="MS Mincho" w:hAnsi="Times New Roman" w:cs="Times New Roman"/>
          <w:noProof/>
          <w:sz w:val="24"/>
          <w:szCs w:val="24"/>
          <w:lang w:val="sq-AL"/>
        </w:rPr>
        <w:lastRenderedPageBreak/>
        <w:t xml:space="preserve">Nevojave për Trajnim (VNT), pasuar nga hartimi i një Plani të detajuar Trajnimi për adresimin e këtyre nevojave. Prioritetet kryesore të trajnimit do të targetojnë (i) nevojat për rritje kapacitetesh për t’iu përgjigjur kërkesave dhe intensivitetit që sjell procesi negociues dhe (ii) përshtatjen e aftësive digjitale të administratës publike shqiptare për digjitalizimin e mëtejshëm me sukses të proceseve të punës dhe ofrimin e shërbimeve. </w:t>
      </w:r>
    </w:p>
    <w:p w14:paraId="459E7E7C" w14:textId="77777777" w:rsidR="001161DE" w:rsidRPr="00641640" w:rsidRDefault="001161DE" w:rsidP="003A395D">
      <w:pPr>
        <w:spacing w:after="0" w:line="276" w:lineRule="auto"/>
        <w:jc w:val="both"/>
        <w:rPr>
          <w:rFonts w:ascii="Times New Roman" w:eastAsia="MS Mincho" w:hAnsi="Times New Roman" w:cs="Times New Roman"/>
          <w:noProof/>
          <w:sz w:val="24"/>
          <w:szCs w:val="24"/>
          <w:lang w:val="sq-AL"/>
        </w:rPr>
      </w:pPr>
      <w:r w:rsidRPr="00641640">
        <w:rPr>
          <w:rFonts w:ascii="Times New Roman" w:eastAsia="MS Mincho" w:hAnsi="Times New Roman" w:cs="Times New Roman"/>
          <w:noProof/>
          <w:sz w:val="24"/>
          <w:szCs w:val="24"/>
          <w:lang w:val="sq-AL"/>
        </w:rPr>
        <w:t>Etika në administratë dhe zhvillimi i aftësive analitike dhe planifikuese do të jenë fusha të tjera ku procesi i rritjes së kapaciteteve administrative do të marrë vëmendje të shtuar. Gjithashtu, me synimin për të përmirësuar menaxhimin efikas të burimeve njerëzore dhe proceseve institucionale, do të organizohen trajnime të rregullta dhe të dedikuara për drejtuesit e nivelit të mesëm dhe të lartë, me qëllim përmirësimin e aftësive të tyre udhëheqëse dhe menaxheriale.</w:t>
      </w:r>
    </w:p>
    <w:p w14:paraId="6C672260" w14:textId="77777777" w:rsidR="001161DE" w:rsidRPr="00641640" w:rsidRDefault="001161DE" w:rsidP="003A395D">
      <w:pPr>
        <w:spacing w:after="0" w:line="276" w:lineRule="auto"/>
        <w:jc w:val="both"/>
        <w:rPr>
          <w:rFonts w:ascii="Times New Roman" w:eastAsia="MS Mincho" w:hAnsi="Times New Roman" w:cs="Times New Roman"/>
          <w:noProof/>
          <w:sz w:val="24"/>
          <w:szCs w:val="24"/>
          <w:lang w:val="sq-AL"/>
        </w:rPr>
      </w:pPr>
    </w:p>
    <w:p w14:paraId="23557F30" w14:textId="5F5DD219" w:rsidR="001161DE" w:rsidRPr="00641640" w:rsidRDefault="001161DE" w:rsidP="003A395D">
      <w:pPr>
        <w:spacing w:line="276" w:lineRule="auto"/>
        <w:jc w:val="both"/>
        <w:rPr>
          <w:rFonts w:ascii="Times New Roman" w:eastAsia="MS Mincho" w:hAnsi="Times New Roman" w:cs="Times New Roman"/>
          <w:noProof/>
          <w:sz w:val="24"/>
          <w:szCs w:val="24"/>
          <w:lang w:val="sq-AL"/>
        </w:rPr>
      </w:pPr>
      <w:r w:rsidRPr="00641640">
        <w:rPr>
          <w:rFonts w:ascii="Times New Roman" w:eastAsia="MS Mincho" w:hAnsi="Times New Roman" w:cs="Times New Roman"/>
          <w:noProof/>
          <w:sz w:val="24"/>
          <w:szCs w:val="24"/>
          <w:lang w:val="sq-AL"/>
        </w:rPr>
        <w:t>Përpjekje të dedikuara do të fokusohen edhe në thellimin e bashkëpunimit të ASPA-s me institucionet homologe, autoritetet e tjera dhe rrjetet me ekspertizë në trajnimin e sektorit publik, si në BE, ashtu edhe më gjerë, me synim shkëmbimin e përvojave dhe praktikave më të mira. Ky angazhim do të forcojë  kapacitetet e institucionit dhe do të promovojë përafrimin e standardeve të administratës publike shqiptare me ato evropiane.</w:t>
      </w:r>
    </w:p>
    <w:p w14:paraId="21FD19D3" w14:textId="7FE6A923" w:rsidR="001161DE" w:rsidRPr="00641640" w:rsidRDefault="001161DE" w:rsidP="003A395D">
      <w:pPr>
        <w:spacing w:after="0" w:line="276" w:lineRule="auto"/>
        <w:jc w:val="both"/>
        <w:rPr>
          <w:rFonts w:ascii="Times New Roman" w:eastAsia="MS Mincho" w:hAnsi="Times New Roman" w:cs="Times New Roman"/>
          <w:noProof/>
          <w:sz w:val="24"/>
          <w:szCs w:val="24"/>
          <w:lang w:val="sq-AL"/>
        </w:rPr>
      </w:pPr>
      <w:r w:rsidRPr="00641640">
        <w:rPr>
          <w:rFonts w:ascii="Times New Roman" w:eastAsia="MS Mincho" w:hAnsi="Times New Roman" w:cs="Times New Roman"/>
          <w:noProof/>
          <w:sz w:val="24"/>
          <w:szCs w:val="24"/>
          <w:lang w:val="sq-AL"/>
        </w:rPr>
        <w:t>Të gjitha masat e mësipërme, si dhe ato të parashikuara nën komponentët e tjerë përgjatë të gjitha Qëllimeve të Politikës së SNRAP 202</w:t>
      </w:r>
      <w:r w:rsidR="00236F77">
        <w:rPr>
          <w:rFonts w:ascii="Times New Roman" w:eastAsia="MS Mincho" w:hAnsi="Times New Roman" w:cs="Times New Roman"/>
          <w:noProof/>
          <w:sz w:val="24"/>
          <w:szCs w:val="24"/>
          <w:lang w:val="sq-AL"/>
        </w:rPr>
        <w:t>5</w:t>
      </w:r>
      <w:r w:rsidRPr="00641640">
        <w:rPr>
          <w:rFonts w:ascii="Times New Roman" w:eastAsia="MS Mincho" w:hAnsi="Times New Roman" w:cs="Times New Roman"/>
          <w:noProof/>
          <w:sz w:val="24"/>
          <w:szCs w:val="24"/>
          <w:lang w:val="sq-AL"/>
        </w:rPr>
        <w:t xml:space="preserve">-2030 kanë një mision të dyfishtë: ato do të zbatohen në funksion të një vizioni afatgjatë për përgatitjen e administratës publike shqiptare jo vetëm për të përballuar me sukses procesin e negociatave të anëtarësimit, por mbi të gjitha për të konsoliduar një strukturë institucionale që do të kryejë detyrat e saj denjësisht edhe pas aderimit të Shqipërisë në BE. Në këtë kuadër të punës për Kapitullin 22 të acquis-së “Politika rajonale” dhe nën drejtimin e Ministrit të Shtetit për Administratën Publike dhe Antikorrupsionin, do të hartohet, miratohet dhe zbatohet një Udhërrëfyes i dedikuar për Ndërtimin e Kapaciteteve Administrative. Teksa fokusi i Udhërrëfyesit do të jetë rritja e kapaciteteve të të gjithë ekosistemit të aktorëve që ndajnë kompetenca dhe detyra për zbatimin e </w:t>
      </w:r>
      <w:r w:rsidRPr="00641640">
        <w:rPr>
          <w:rFonts w:ascii="Times New Roman" w:eastAsia="MS Mincho" w:hAnsi="Times New Roman" w:cs="Times New Roman"/>
          <w:i/>
          <w:noProof/>
          <w:sz w:val="24"/>
          <w:szCs w:val="24"/>
          <w:lang w:val="sq-AL"/>
        </w:rPr>
        <w:t>acquis</w:t>
      </w:r>
      <w:r w:rsidRPr="00641640">
        <w:rPr>
          <w:rFonts w:ascii="Times New Roman" w:eastAsia="MS Mincho" w:hAnsi="Times New Roman" w:cs="Times New Roman"/>
          <w:noProof/>
          <w:sz w:val="24"/>
          <w:szCs w:val="24"/>
          <w:lang w:val="sq-AL"/>
        </w:rPr>
        <w:t>-së dhe menaxhimin efikas të fondeve evropiane, ai do të shërbejë si instrumenti kryesor për përgatitjen e administratës publike për kryerjen e suksesshme të këtyre detyrave, veçanërisht në drejtim të zbatimit efikas të politikës së kohezionit në të gjithë territorin e vendit që nga momenti i anëtarësimit të Shqipërisë në BE e në vijim.</w:t>
      </w:r>
    </w:p>
    <w:p w14:paraId="2DE6D634" w14:textId="77777777" w:rsidR="00904A9B" w:rsidRPr="00641640" w:rsidRDefault="00904A9B" w:rsidP="003A395D">
      <w:pPr>
        <w:spacing w:line="276" w:lineRule="auto"/>
        <w:jc w:val="both"/>
        <w:rPr>
          <w:rFonts w:ascii="Times New Roman" w:eastAsia="Times New Roman" w:hAnsi="Times New Roman" w:cs="Times New Roman"/>
          <w:b/>
          <w:bCs/>
          <w:noProof/>
          <w:color w:val="FF0000"/>
          <w:sz w:val="24"/>
          <w:szCs w:val="24"/>
          <w:lang w:val="sq-AL"/>
        </w:rPr>
      </w:pPr>
    </w:p>
    <w:p w14:paraId="48F8A881" w14:textId="438DB1B2" w:rsidR="00B7129A" w:rsidRPr="00641640" w:rsidRDefault="00B7129A" w:rsidP="00F863ED">
      <w:p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imes New Roman" w:hAnsi="Times New Roman" w:cs="Times New Roman"/>
          <w:b/>
          <w:bCs/>
          <w:noProof/>
          <w:sz w:val="24"/>
          <w:szCs w:val="24"/>
          <w:lang w:val="sq-AL"/>
        </w:rPr>
        <w:t>Rezultatet e pritshme nga zbatimi i masave që lidhen me Objektivin Specifik</w:t>
      </w:r>
    </w:p>
    <w:p w14:paraId="45B0C30E" w14:textId="01D616F8" w:rsidR="00DE36A1" w:rsidRPr="00641640" w:rsidRDefault="00B7129A"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 xml:space="preserve">Objektivi Specifik </w:t>
      </w:r>
      <w:r w:rsidR="001F4CA8" w:rsidRPr="00641640">
        <w:rPr>
          <w:rFonts w:ascii="Times New Roman" w:eastAsia="Times New Roman" w:hAnsi="Times New Roman" w:cs="Times New Roman"/>
          <w:noProof/>
          <w:sz w:val="24"/>
          <w:szCs w:val="24"/>
          <w:lang w:val="sq-AL"/>
        </w:rPr>
        <w:t>2.3</w:t>
      </w:r>
      <w:r w:rsidRPr="00641640">
        <w:rPr>
          <w:rFonts w:ascii="Times New Roman" w:eastAsia="Times New Roman" w:hAnsi="Times New Roman" w:cs="Times New Roman"/>
          <w:noProof/>
          <w:sz w:val="24"/>
          <w:szCs w:val="24"/>
          <w:lang w:val="sq-AL"/>
        </w:rPr>
        <w:t>,</w:t>
      </w:r>
      <w:r w:rsidR="001F4CA8" w:rsidRPr="00641640">
        <w:rPr>
          <w:rFonts w:ascii="Times New Roman" w:eastAsia="Times New Roman" w:hAnsi="Times New Roman" w:cs="Times New Roman"/>
          <w:noProof/>
          <w:sz w:val="24"/>
          <w:szCs w:val="24"/>
          <w:lang w:val="sq-AL"/>
        </w:rPr>
        <w:t xml:space="preserve"> duke synuar rritjen e</w:t>
      </w:r>
      <w:r w:rsidR="00DE36A1" w:rsidRPr="00641640">
        <w:rPr>
          <w:rFonts w:ascii="Times New Roman" w:hAnsi="Times New Roman" w:cs="Times New Roman"/>
          <w:noProof/>
          <w:sz w:val="24"/>
          <w:szCs w:val="24"/>
          <w:lang w:val="sq-AL"/>
        </w:rPr>
        <w:t xml:space="preserve"> kapaciteteve të administratës publike</w:t>
      </w:r>
      <w:r w:rsidR="00397BB8" w:rsidRPr="00641640">
        <w:rPr>
          <w:rFonts w:ascii="Times New Roman" w:hAnsi="Times New Roman" w:cs="Times New Roman"/>
          <w:noProof/>
          <w:sz w:val="24"/>
          <w:szCs w:val="24"/>
          <w:lang w:val="sq-AL"/>
        </w:rPr>
        <w:t xml:space="preserve">, </w:t>
      </w:r>
      <w:r w:rsidR="008412CA" w:rsidRPr="00641640">
        <w:rPr>
          <w:rFonts w:ascii="Times New Roman" w:hAnsi="Times New Roman" w:cs="Times New Roman"/>
          <w:noProof/>
          <w:sz w:val="24"/>
          <w:szCs w:val="24"/>
          <w:lang w:val="sq-AL"/>
        </w:rPr>
        <w:t>pritet</w:t>
      </w:r>
      <w:r w:rsidR="00397BB8" w:rsidRPr="00641640">
        <w:rPr>
          <w:rFonts w:ascii="Times New Roman" w:hAnsi="Times New Roman" w:cs="Times New Roman"/>
          <w:noProof/>
          <w:sz w:val="24"/>
          <w:szCs w:val="24"/>
          <w:lang w:val="sq-AL"/>
        </w:rPr>
        <w:t xml:space="preserve"> t</w:t>
      </w:r>
      <w:r w:rsidR="008F210C" w:rsidRPr="00641640">
        <w:rPr>
          <w:rFonts w:ascii="Times New Roman" w:hAnsi="Times New Roman" w:cs="Times New Roman"/>
          <w:noProof/>
          <w:sz w:val="24"/>
          <w:szCs w:val="24"/>
          <w:lang w:val="sq-AL"/>
        </w:rPr>
        <w:t>ë</w:t>
      </w:r>
      <w:r w:rsidR="00397BB8" w:rsidRPr="00641640">
        <w:rPr>
          <w:rFonts w:ascii="Times New Roman" w:hAnsi="Times New Roman" w:cs="Times New Roman"/>
          <w:noProof/>
          <w:sz w:val="24"/>
          <w:szCs w:val="24"/>
          <w:lang w:val="sq-AL"/>
        </w:rPr>
        <w:t xml:space="preserve"> jap</w:t>
      </w:r>
      <w:r w:rsidR="008F210C" w:rsidRPr="00641640">
        <w:rPr>
          <w:rFonts w:ascii="Times New Roman" w:hAnsi="Times New Roman" w:cs="Times New Roman"/>
          <w:noProof/>
          <w:sz w:val="24"/>
          <w:szCs w:val="24"/>
          <w:lang w:val="sq-AL"/>
        </w:rPr>
        <w:t>ë</w:t>
      </w:r>
      <w:r w:rsidR="00397BB8" w:rsidRPr="00641640">
        <w:rPr>
          <w:rFonts w:ascii="Times New Roman" w:hAnsi="Times New Roman" w:cs="Times New Roman"/>
          <w:noProof/>
          <w:sz w:val="24"/>
          <w:szCs w:val="24"/>
          <w:lang w:val="sq-AL"/>
        </w:rPr>
        <w:t xml:space="preserve"> rezultatet e m</w:t>
      </w:r>
      <w:r w:rsidR="008F210C" w:rsidRPr="00641640">
        <w:rPr>
          <w:rFonts w:ascii="Times New Roman" w:hAnsi="Times New Roman" w:cs="Times New Roman"/>
          <w:noProof/>
          <w:sz w:val="24"/>
          <w:szCs w:val="24"/>
          <w:lang w:val="sq-AL"/>
        </w:rPr>
        <w:t>ë</w:t>
      </w:r>
      <w:r w:rsidR="00397BB8" w:rsidRPr="00641640">
        <w:rPr>
          <w:rFonts w:ascii="Times New Roman" w:hAnsi="Times New Roman" w:cs="Times New Roman"/>
          <w:noProof/>
          <w:sz w:val="24"/>
          <w:szCs w:val="24"/>
          <w:lang w:val="sq-AL"/>
        </w:rPr>
        <w:t>poshtme:</w:t>
      </w:r>
    </w:p>
    <w:p w14:paraId="29B09C06" w14:textId="481D6B64" w:rsidR="00B7129A" w:rsidRPr="00641640" w:rsidRDefault="00B7129A" w:rsidP="00F863ED">
      <w:pPr>
        <w:spacing w:line="276" w:lineRule="auto"/>
        <w:jc w:val="both"/>
        <w:rPr>
          <w:rFonts w:ascii="Times New Roman" w:eastAsiaTheme="minorHAnsi"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1:</w:t>
      </w:r>
      <w:r w:rsidRPr="00641640">
        <w:rPr>
          <w:rFonts w:ascii="Times New Roman" w:eastAsia="Times New Roman" w:hAnsi="Times New Roman" w:cs="Times New Roman"/>
          <w:noProof/>
          <w:sz w:val="24"/>
          <w:szCs w:val="24"/>
          <w:lang w:val="sq-AL"/>
        </w:rPr>
        <w:t xml:space="preserve"> </w:t>
      </w:r>
      <w:r w:rsidR="00A572D2" w:rsidRPr="00641640">
        <w:rPr>
          <w:rFonts w:ascii="Times New Roman" w:hAnsi="Times New Roman" w:cs="Times New Roman"/>
          <w:noProof/>
          <w:sz w:val="24"/>
          <w:szCs w:val="24"/>
          <w:lang w:val="sq-AL"/>
        </w:rPr>
        <w:t>Hartimi dhe zbatimi efikas i modelit ekonomik të ASPA-s në ofrimin e trajnimeve për të tretët, në përputhje me kuadrin ligjor dhe atë rregullator</w:t>
      </w:r>
      <w:r w:rsidR="007937C6" w:rsidRPr="00641640">
        <w:rPr>
          <w:rFonts w:ascii="Times New Roman" w:hAnsi="Times New Roman" w:cs="Times New Roman"/>
          <w:noProof/>
          <w:sz w:val="24"/>
          <w:szCs w:val="24"/>
          <w:lang w:val="sq-AL"/>
        </w:rPr>
        <w:t>.</w:t>
      </w:r>
    </w:p>
    <w:p w14:paraId="37323A19" w14:textId="68D32CE8" w:rsidR="003E2C96" w:rsidRPr="00641640" w:rsidRDefault="00B7129A"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2:</w:t>
      </w:r>
      <w:r w:rsidRPr="00641640">
        <w:rPr>
          <w:rFonts w:ascii="Times New Roman" w:eastAsia="Times New Roman" w:hAnsi="Times New Roman" w:cs="Times New Roman"/>
          <w:noProof/>
          <w:sz w:val="24"/>
          <w:szCs w:val="24"/>
          <w:lang w:val="sq-AL"/>
        </w:rPr>
        <w:t xml:space="preserve"> </w:t>
      </w:r>
      <w:r w:rsidR="002D0912" w:rsidRPr="00641640">
        <w:rPr>
          <w:rFonts w:ascii="Times New Roman" w:eastAsia="Times New Roman" w:hAnsi="Times New Roman" w:cs="Times New Roman"/>
          <w:noProof/>
          <w:sz w:val="24"/>
          <w:szCs w:val="24"/>
          <w:lang w:val="sq-AL"/>
        </w:rPr>
        <w:t>T</w:t>
      </w:r>
      <w:r w:rsidR="008F210C" w:rsidRPr="00641640">
        <w:rPr>
          <w:rFonts w:ascii="Times New Roman" w:eastAsia="Times New Roman" w:hAnsi="Times New Roman" w:cs="Times New Roman"/>
          <w:noProof/>
          <w:sz w:val="24"/>
          <w:szCs w:val="24"/>
          <w:lang w:val="sq-AL"/>
        </w:rPr>
        <w:t>ë</w:t>
      </w:r>
      <w:r w:rsidR="002D0912" w:rsidRPr="00641640">
        <w:rPr>
          <w:rFonts w:ascii="Times New Roman" w:eastAsia="Times New Roman" w:hAnsi="Times New Roman" w:cs="Times New Roman"/>
          <w:noProof/>
          <w:sz w:val="24"/>
          <w:szCs w:val="24"/>
          <w:lang w:val="sq-AL"/>
        </w:rPr>
        <w:t>rheqja</w:t>
      </w:r>
      <w:r w:rsidR="006C1896" w:rsidRPr="00641640">
        <w:rPr>
          <w:rFonts w:ascii="Times New Roman" w:eastAsia="Times New Roman" w:hAnsi="Times New Roman" w:cs="Times New Roman"/>
          <w:noProof/>
          <w:sz w:val="24"/>
          <w:szCs w:val="24"/>
          <w:lang w:val="sq-AL"/>
        </w:rPr>
        <w:t xml:space="preserve"> </w:t>
      </w:r>
      <w:r w:rsidR="002D0912" w:rsidRPr="00641640">
        <w:rPr>
          <w:rFonts w:ascii="Times New Roman" w:hAnsi="Times New Roman" w:cs="Times New Roman"/>
          <w:noProof/>
          <w:sz w:val="24"/>
          <w:szCs w:val="24"/>
          <w:lang w:val="sq-AL"/>
        </w:rPr>
        <w:t>e ekspertëve më të mirë dhe rritj</w:t>
      </w:r>
      <w:r w:rsidR="006C1896" w:rsidRPr="00641640">
        <w:rPr>
          <w:rFonts w:ascii="Times New Roman" w:hAnsi="Times New Roman" w:cs="Times New Roman"/>
          <w:noProof/>
          <w:sz w:val="24"/>
          <w:szCs w:val="24"/>
          <w:lang w:val="sq-AL"/>
        </w:rPr>
        <w:t xml:space="preserve">a </w:t>
      </w:r>
      <w:r w:rsidR="002D0912" w:rsidRPr="00641640">
        <w:rPr>
          <w:rFonts w:ascii="Times New Roman" w:hAnsi="Times New Roman" w:cs="Times New Roman"/>
          <w:noProof/>
          <w:sz w:val="24"/>
          <w:szCs w:val="24"/>
          <w:lang w:val="sq-AL"/>
        </w:rPr>
        <w:t>e atraksionit të ofertës së trajnimit pranë ASPA-s</w:t>
      </w:r>
      <w:r w:rsidR="00040CE5" w:rsidRPr="00641640">
        <w:rPr>
          <w:rFonts w:ascii="Times New Roman" w:hAnsi="Times New Roman" w:cs="Times New Roman"/>
          <w:noProof/>
          <w:sz w:val="24"/>
          <w:szCs w:val="24"/>
          <w:lang w:val="sq-AL"/>
        </w:rPr>
        <w:t>.</w:t>
      </w:r>
    </w:p>
    <w:p w14:paraId="2A37DA59" w14:textId="30C40AE8" w:rsidR="00D2390F" w:rsidRPr="00641640" w:rsidRDefault="00B7129A" w:rsidP="00F863ED">
      <w:pPr>
        <w:spacing w:line="276" w:lineRule="auto"/>
        <w:jc w:val="both"/>
        <w:rPr>
          <w:rFonts w:ascii="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lastRenderedPageBreak/>
        <w:t>Rezultati 3:</w:t>
      </w:r>
      <w:r w:rsidRPr="00641640">
        <w:rPr>
          <w:rFonts w:ascii="Times New Roman" w:eastAsia="Times New Roman" w:hAnsi="Times New Roman" w:cs="Times New Roman"/>
          <w:noProof/>
          <w:sz w:val="24"/>
          <w:szCs w:val="24"/>
          <w:lang w:val="sq-AL"/>
        </w:rPr>
        <w:t xml:space="preserve"> </w:t>
      </w:r>
      <w:r w:rsidR="0075118E" w:rsidRPr="00641640">
        <w:rPr>
          <w:rFonts w:ascii="Times New Roman" w:hAnsi="Times New Roman" w:cs="Times New Roman"/>
          <w:noProof/>
          <w:sz w:val="24"/>
          <w:szCs w:val="24"/>
          <w:lang w:val="sq-AL"/>
        </w:rPr>
        <w:t>Forcimi i kapaciteteve analitike, planifikuese dhe digjitale të nëpunësve, si dhe njohurive për procesin e integrimit evropian</w:t>
      </w:r>
      <w:r w:rsidR="00D2390F" w:rsidRPr="00641640">
        <w:rPr>
          <w:rFonts w:ascii="Times New Roman" w:hAnsi="Times New Roman" w:cs="Times New Roman"/>
          <w:noProof/>
          <w:sz w:val="24"/>
          <w:szCs w:val="24"/>
          <w:lang w:val="sq-AL"/>
        </w:rPr>
        <w:t>.</w:t>
      </w:r>
    </w:p>
    <w:p w14:paraId="6D399ABC" w14:textId="222B1F47" w:rsidR="00033606" w:rsidRPr="00641640" w:rsidRDefault="00033606" w:rsidP="00F863ED">
      <w:p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imes New Roman" w:hAnsi="Times New Roman" w:cs="Times New Roman"/>
          <w:b/>
          <w:bCs/>
          <w:noProof/>
          <w:sz w:val="24"/>
          <w:szCs w:val="24"/>
          <w:lang w:val="sq-AL"/>
        </w:rPr>
        <w:t>Rezultati</w:t>
      </w:r>
      <w:r w:rsidR="00623D4A" w:rsidRPr="00641640">
        <w:rPr>
          <w:rFonts w:ascii="Times New Roman" w:eastAsia="Times New Roman" w:hAnsi="Times New Roman" w:cs="Times New Roman"/>
          <w:b/>
          <w:bCs/>
          <w:noProof/>
          <w:sz w:val="24"/>
          <w:szCs w:val="24"/>
          <w:lang w:val="sq-AL"/>
        </w:rPr>
        <w:t xml:space="preserve"> 4: </w:t>
      </w:r>
      <w:r w:rsidR="00623D4A" w:rsidRPr="00641640">
        <w:rPr>
          <w:rFonts w:ascii="Times New Roman" w:eastAsia="Times New Roman" w:hAnsi="Times New Roman" w:cs="Times New Roman"/>
          <w:noProof/>
          <w:sz w:val="24"/>
          <w:szCs w:val="24"/>
          <w:lang w:val="sq-AL"/>
        </w:rPr>
        <w:t xml:space="preserve">Forcim i </w:t>
      </w:r>
      <w:r w:rsidR="007937C6" w:rsidRPr="00641640">
        <w:rPr>
          <w:rFonts w:ascii="Times New Roman" w:eastAsia="Times New Roman" w:hAnsi="Times New Roman" w:cs="Times New Roman"/>
          <w:noProof/>
          <w:sz w:val="24"/>
          <w:szCs w:val="24"/>
          <w:lang w:val="sq-AL"/>
        </w:rPr>
        <w:t>dhe p</w:t>
      </w:r>
      <w:r w:rsidR="008F210C" w:rsidRPr="00641640">
        <w:rPr>
          <w:rFonts w:ascii="Times New Roman" w:eastAsia="Times New Roman" w:hAnsi="Times New Roman" w:cs="Times New Roman"/>
          <w:noProof/>
          <w:sz w:val="24"/>
          <w:szCs w:val="24"/>
          <w:lang w:val="sq-AL"/>
        </w:rPr>
        <w:t>ë</w:t>
      </w:r>
      <w:r w:rsidR="007937C6" w:rsidRPr="00641640">
        <w:rPr>
          <w:rFonts w:ascii="Times New Roman" w:eastAsia="Times New Roman" w:hAnsi="Times New Roman" w:cs="Times New Roman"/>
          <w:noProof/>
          <w:sz w:val="24"/>
          <w:szCs w:val="24"/>
          <w:lang w:val="sq-AL"/>
        </w:rPr>
        <w:t>rmir</w:t>
      </w:r>
      <w:r w:rsidR="008F210C" w:rsidRPr="00641640">
        <w:rPr>
          <w:rFonts w:ascii="Times New Roman" w:eastAsia="Times New Roman" w:hAnsi="Times New Roman" w:cs="Times New Roman"/>
          <w:noProof/>
          <w:sz w:val="24"/>
          <w:szCs w:val="24"/>
          <w:lang w:val="sq-AL"/>
        </w:rPr>
        <w:t>ë</w:t>
      </w:r>
      <w:r w:rsidR="007937C6" w:rsidRPr="00641640">
        <w:rPr>
          <w:rFonts w:ascii="Times New Roman" w:eastAsia="Times New Roman" w:hAnsi="Times New Roman" w:cs="Times New Roman"/>
          <w:noProof/>
          <w:sz w:val="24"/>
          <w:szCs w:val="24"/>
          <w:lang w:val="sq-AL"/>
        </w:rPr>
        <w:t>sim i</w:t>
      </w:r>
      <w:r w:rsidR="00286C81" w:rsidRPr="00641640">
        <w:rPr>
          <w:rFonts w:ascii="Times New Roman" w:eastAsia="Times New Roman" w:hAnsi="Times New Roman" w:cs="Times New Roman"/>
          <w:noProof/>
          <w:sz w:val="24"/>
          <w:szCs w:val="24"/>
          <w:lang w:val="sq-AL"/>
        </w:rPr>
        <w:t xml:space="preserve"> af</w:t>
      </w:r>
      <w:r w:rsidR="007937C6" w:rsidRPr="00641640">
        <w:rPr>
          <w:rFonts w:ascii="Times New Roman" w:eastAsia="Times New Roman" w:hAnsi="Times New Roman" w:cs="Times New Roman"/>
          <w:noProof/>
          <w:sz w:val="24"/>
          <w:szCs w:val="24"/>
          <w:lang w:val="sq-AL"/>
        </w:rPr>
        <w:t>t</w:t>
      </w:r>
      <w:r w:rsidR="008F210C" w:rsidRPr="00641640">
        <w:rPr>
          <w:rFonts w:ascii="Times New Roman" w:eastAsia="Times New Roman" w:hAnsi="Times New Roman" w:cs="Times New Roman"/>
          <w:noProof/>
          <w:sz w:val="24"/>
          <w:szCs w:val="24"/>
          <w:lang w:val="sq-AL"/>
        </w:rPr>
        <w:t>ë</w:t>
      </w:r>
      <w:r w:rsidR="00286C81" w:rsidRPr="00641640">
        <w:rPr>
          <w:rFonts w:ascii="Times New Roman" w:eastAsia="Times New Roman" w:hAnsi="Times New Roman" w:cs="Times New Roman"/>
          <w:noProof/>
          <w:sz w:val="24"/>
          <w:szCs w:val="24"/>
          <w:lang w:val="sq-AL"/>
        </w:rPr>
        <w:t>sive</w:t>
      </w:r>
      <w:r w:rsidR="00286C81" w:rsidRPr="00641640">
        <w:rPr>
          <w:rFonts w:ascii="Times New Roman" w:eastAsia="Times New Roman" w:hAnsi="Times New Roman" w:cs="Times New Roman"/>
          <w:b/>
          <w:bCs/>
          <w:noProof/>
          <w:sz w:val="24"/>
          <w:szCs w:val="24"/>
          <w:lang w:val="sq-AL"/>
        </w:rPr>
        <w:t xml:space="preserve"> </w:t>
      </w:r>
      <w:r w:rsidR="007937C6" w:rsidRPr="00641640">
        <w:rPr>
          <w:rFonts w:ascii="Times New Roman" w:hAnsi="Times New Roman" w:cs="Times New Roman"/>
          <w:bCs/>
          <w:iCs/>
          <w:noProof/>
          <w:sz w:val="24"/>
          <w:szCs w:val="24"/>
          <w:lang w:val="sq-AL"/>
        </w:rPr>
        <w:t>udhëheqëse dhe menaxheriale të drejtuesve të nivelit të ul</w:t>
      </w:r>
      <w:r w:rsidR="008F210C" w:rsidRPr="00641640">
        <w:rPr>
          <w:rFonts w:ascii="Times New Roman" w:hAnsi="Times New Roman" w:cs="Times New Roman"/>
          <w:bCs/>
          <w:iCs/>
          <w:noProof/>
          <w:sz w:val="24"/>
          <w:szCs w:val="24"/>
          <w:lang w:val="sq-AL"/>
        </w:rPr>
        <w:t>ë</w:t>
      </w:r>
      <w:r w:rsidR="007937C6" w:rsidRPr="00641640">
        <w:rPr>
          <w:rFonts w:ascii="Times New Roman" w:hAnsi="Times New Roman" w:cs="Times New Roman"/>
          <w:bCs/>
          <w:iCs/>
          <w:noProof/>
          <w:sz w:val="24"/>
          <w:szCs w:val="24"/>
          <w:lang w:val="sq-AL"/>
        </w:rPr>
        <w:t>t, t</w:t>
      </w:r>
      <w:r w:rsidR="008F210C" w:rsidRPr="00641640">
        <w:rPr>
          <w:rFonts w:ascii="Times New Roman" w:hAnsi="Times New Roman" w:cs="Times New Roman"/>
          <w:bCs/>
          <w:iCs/>
          <w:noProof/>
          <w:sz w:val="24"/>
          <w:szCs w:val="24"/>
          <w:lang w:val="sq-AL"/>
        </w:rPr>
        <w:t>ë</w:t>
      </w:r>
      <w:r w:rsidR="007937C6" w:rsidRPr="00641640">
        <w:rPr>
          <w:rFonts w:ascii="Times New Roman" w:hAnsi="Times New Roman" w:cs="Times New Roman"/>
          <w:bCs/>
          <w:iCs/>
          <w:noProof/>
          <w:sz w:val="24"/>
          <w:szCs w:val="24"/>
          <w:lang w:val="sq-AL"/>
        </w:rPr>
        <w:t xml:space="preserve"> mesëm dhe të lartë, me synim menaxhimin efikas të proceseve dhe burimeve njerëzore.</w:t>
      </w:r>
    </w:p>
    <w:p w14:paraId="6CA85CED" w14:textId="3AF6475B" w:rsidR="00033606" w:rsidRPr="00641640" w:rsidRDefault="00033606" w:rsidP="00F863ED">
      <w:p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imes New Roman" w:hAnsi="Times New Roman" w:cs="Times New Roman"/>
          <w:b/>
          <w:bCs/>
          <w:noProof/>
          <w:sz w:val="24"/>
          <w:szCs w:val="24"/>
          <w:lang w:val="sq-AL"/>
        </w:rPr>
        <w:t>Rezultati</w:t>
      </w:r>
      <w:r w:rsidR="00FD206C" w:rsidRPr="00641640">
        <w:rPr>
          <w:rFonts w:ascii="Times New Roman" w:eastAsia="Times New Roman" w:hAnsi="Times New Roman" w:cs="Times New Roman"/>
          <w:b/>
          <w:bCs/>
          <w:noProof/>
          <w:sz w:val="24"/>
          <w:szCs w:val="24"/>
          <w:lang w:val="sq-AL"/>
        </w:rPr>
        <w:t xml:space="preserve"> 5: </w:t>
      </w:r>
      <w:r w:rsidR="00D3295D" w:rsidRPr="00641640">
        <w:rPr>
          <w:rFonts w:ascii="Times New Roman" w:hAnsi="Times New Roman" w:cs="Times New Roman"/>
          <w:bCs/>
          <w:iCs/>
          <w:noProof/>
          <w:sz w:val="24"/>
          <w:szCs w:val="24"/>
          <w:lang w:val="sq-AL"/>
        </w:rPr>
        <w:t>Rritja e bashkëpunimit të ASPA-s me institucionet homologe, autoritete të tjera dhe rrjete me ekspertizë në fushën e trajnimit të sektorit publik në BE dhe më gjerë.</w:t>
      </w:r>
    </w:p>
    <w:p w14:paraId="49C6519C" w14:textId="0A6B6B7E" w:rsidR="00033606" w:rsidRPr="00641640" w:rsidRDefault="00033606" w:rsidP="00F863ED">
      <w:pPr>
        <w:spacing w:line="276" w:lineRule="auto"/>
        <w:jc w:val="both"/>
        <w:rPr>
          <w:rFonts w:ascii="Times New Roman" w:eastAsia="Times New Roman" w:hAnsi="Times New Roman" w:cs="Times New Roman"/>
          <w:b/>
          <w:bCs/>
          <w:noProof/>
          <w:color w:val="FF0000"/>
          <w:sz w:val="24"/>
          <w:szCs w:val="24"/>
          <w:lang w:val="sq-AL"/>
        </w:rPr>
      </w:pPr>
      <w:r w:rsidRPr="00641640">
        <w:rPr>
          <w:rFonts w:ascii="Times New Roman" w:eastAsia="Times New Roman" w:hAnsi="Times New Roman" w:cs="Times New Roman"/>
          <w:b/>
          <w:bCs/>
          <w:noProof/>
          <w:sz w:val="24"/>
          <w:szCs w:val="24"/>
          <w:lang w:val="sq-AL"/>
        </w:rPr>
        <w:t>Rezultati</w:t>
      </w:r>
      <w:r w:rsidR="00DC19F2" w:rsidRPr="00641640">
        <w:rPr>
          <w:rFonts w:ascii="Times New Roman" w:eastAsia="Times New Roman" w:hAnsi="Times New Roman" w:cs="Times New Roman"/>
          <w:b/>
          <w:bCs/>
          <w:noProof/>
          <w:sz w:val="24"/>
          <w:szCs w:val="24"/>
          <w:lang w:val="sq-AL"/>
        </w:rPr>
        <w:t xml:space="preserve"> 6: </w:t>
      </w:r>
      <w:r w:rsidR="003339D3" w:rsidRPr="00641640">
        <w:rPr>
          <w:rFonts w:ascii="Times New Roman" w:hAnsi="Times New Roman" w:cs="Times New Roman"/>
          <w:bCs/>
          <w:iCs/>
          <w:noProof/>
          <w:sz w:val="24"/>
          <w:szCs w:val="24"/>
          <w:lang w:val="sq-AL"/>
        </w:rPr>
        <w:t>G</w:t>
      </w:r>
      <w:r w:rsidR="00DC19F2" w:rsidRPr="00641640">
        <w:rPr>
          <w:rFonts w:ascii="Times New Roman" w:hAnsi="Times New Roman" w:cs="Times New Roman"/>
          <w:bCs/>
          <w:iCs/>
          <w:noProof/>
          <w:sz w:val="24"/>
          <w:szCs w:val="24"/>
          <w:lang w:val="sq-AL"/>
        </w:rPr>
        <w:t>arantimi</w:t>
      </w:r>
      <w:r w:rsidR="003339D3" w:rsidRPr="00641640">
        <w:rPr>
          <w:rFonts w:ascii="Times New Roman" w:hAnsi="Times New Roman" w:cs="Times New Roman"/>
          <w:bCs/>
          <w:iCs/>
          <w:noProof/>
          <w:sz w:val="24"/>
          <w:szCs w:val="24"/>
          <w:lang w:val="sq-AL"/>
        </w:rPr>
        <w:t xml:space="preserve"> i</w:t>
      </w:r>
      <w:r w:rsidR="00DC19F2" w:rsidRPr="00641640">
        <w:rPr>
          <w:rFonts w:ascii="Times New Roman" w:hAnsi="Times New Roman" w:cs="Times New Roman"/>
          <w:bCs/>
          <w:iCs/>
          <w:noProof/>
          <w:sz w:val="24"/>
          <w:szCs w:val="24"/>
          <w:lang w:val="sq-AL"/>
        </w:rPr>
        <w:t xml:space="preserve"> menaxhimit efikas të fondeve të BE-së nga momenti i aderimit të vendit në BE e në v</w:t>
      </w:r>
      <w:r w:rsidR="008603D9" w:rsidRPr="00641640">
        <w:rPr>
          <w:rFonts w:ascii="Times New Roman" w:hAnsi="Times New Roman" w:cs="Times New Roman"/>
          <w:bCs/>
          <w:iCs/>
          <w:noProof/>
          <w:sz w:val="24"/>
          <w:szCs w:val="24"/>
          <w:lang w:val="sq-AL"/>
        </w:rPr>
        <w:t>azhdim</w:t>
      </w:r>
      <w:r w:rsidR="007F61EB" w:rsidRPr="00641640">
        <w:rPr>
          <w:rFonts w:ascii="Times New Roman" w:hAnsi="Times New Roman" w:cs="Times New Roman"/>
          <w:bCs/>
          <w:iCs/>
          <w:noProof/>
          <w:sz w:val="24"/>
          <w:szCs w:val="24"/>
          <w:lang w:val="sq-AL"/>
        </w:rPr>
        <w:t>.</w:t>
      </w:r>
    </w:p>
    <w:p w14:paraId="48F8E1B0" w14:textId="27B62C8C" w:rsidR="00B7129A" w:rsidRPr="00641640" w:rsidRDefault="00B7129A"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kryesore:</w:t>
      </w:r>
      <w:r w:rsidRPr="00641640">
        <w:rPr>
          <w:rFonts w:ascii="Times New Roman" w:eastAsia="Times New Roman" w:hAnsi="Times New Roman" w:cs="Times New Roman"/>
          <w:noProof/>
          <w:sz w:val="24"/>
          <w:szCs w:val="24"/>
          <w:lang w:val="sq-AL"/>
        </w:rPr>
        <w:t xml:space="preserve"> </w:t>
      </w:r>
      <w:r w:rsidR="006E3268" w:rsidRPr="00641640">
        <w:rPr>
          <w:rFonts w:ascii="Times New Roman" w:eastAsia="Times New Roman" w:hAnsi="Times New Roman" w:cs="Times New Roman"/>
          <w:noProof/>
          <w:sz w:val="24"/>
          <w:szCs w:val="24"/>
          <w:lang w:val="sq-AL"/>
        </w:rPr>
        <w:t xml:space="preserve">MAPA, </w:t>
      </w:r>
      <w:r w:rsidR="00B1018F" w:rsidRPr="00641640">
        <w:rPr>
          <w:rFonts w:ascii="Times New Roman" w:eastAsia="Times New Roman" w:hAnsi="Times New Roman" w:cs="Times New Roman"/>
          <w:noProof/>
          <w:sz w:val="24"/>
          <w:szCs w:val="24"/>
          <w:lang w:val="sq-AL"/>
        </w:rPr>
        <w:t>ASPA, DAP</w:t>
      </w:r>
      <w:r w:rsidR="00723A8B" w:rsidRPr="00641640">
        <w:rPr>
          <w:rFonts w:ascii="Times New Roman" w:eastAsia="Times New Roman" w:hAnsi="Times New Roman" w:cs="Times New Roman"/>
          <w:noProof/>
          <w:sz w:val="24"/>
          <w:szCs w:val="24"/>
          <w:lang w:val="sq-AL"/>
        </w:rPr>
        <w:t>.</w:t>
      </w:r>
    </w:p>
    <w:p w14:paraId="35D2E608" w14:textId="322E298C" w:rsidR="00B7129A" w:rsidRPr="00641640" w:rsidRDefault="00B7129A"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kontributore:</w:t>
      </w:r>
      <w:r w:rsidRPr="00641640">
        <w:rPr>
          <w:rFonts w:ascii="Times New Roman" w:eastAsia="Times New Roman" w:hAnsi="Times New Roman" w:cs="Times New Roman"/>
          <w:noProof/>
          <w:sz w:val="24"/>
          <w:szCs w:val="24"/>
          <w:lang w:val="sq-AL"/>
        </w:rPr>
        <w:t xml:space="preserve"> </w:t>
      </w:r>
      <w:r w:rsidR="00796820">
        <w:rPr>
          <w:rFonts w:ascii="Times New Roman" w:eastAsia="Times New Roman" w:hAnsi="Times New Roman" w:cs="Times New Roman"/>
          <w:noProof/>
          <w:sz w:val="24"/>
          <w:szCs w:val="24"/>
          <w:lang w:val="sq-AL"/>
        </w:rPr>
        <w:t xml:space="preserve">Ministritë e Linjës, </w:t>
      </w:r>
      <w:r w:rsidR="00EA2DA7">
        <w:rPr>
          <w:rFonts w:ascii="Times New Roman" w:eastAsia="Times New Roman" w:hAnsi="Times New Roman" w:cs="Times New Roman"/>
          <w:noProof/>
          <w:sz w:val="24"/>
          <w:szCs w:val="24"/>
          <w:lang w:val="sq-AL"/>
        </w:rPr>
        <w:t xml:space="preserve">DAP, </w:t>
      </w:r>
      <w:r w:rsidR="0096314B">
        <w:rPr>
          <w:rFonts w:ascii="Times New Roman" w:eastAsia="Times New Roman" w:hAnsi="Times New Roman" w:cs="Times New Roman"/>
          <w:noProof/>
          <w:sz w:val="24"/>
          <w:szCs w:val="24"/>
          <w:lang w:val="sq-AL"/>
        </w:rPr>
        <w:t>SASPAC, AMVV, AMSHC, OSHC</w:t>
      </w:r>
      <w:r w:rsidR="00723A8B" w:rsidRPr="00641640">
        <w:rPr>
          <w:rFonts w:ascii="Times New Roman" w:eastAsia="Times New Roman" w:hAnsi="Times New Roman" w:cs="Times New Roman"/>
          <w:noProof/>
          <w:sz w:val="24"/>
          <w:szCs w:val="24"/>
          <w:lang w:val="sq-AL"/>
        </w:rPr>
        <w:t>.</w:t>
      </w:r>
    </w:p>
    <w:p w14:paraId="20E642A1" w14:textId="77777777" w:rsidR="00CB4F95" w:rsidRPr="00641640" w:rsidRDefault="00CB4F95" w:rsidP="003A395D">
      <w:pPr>
        <w:spacing w:after="0" w:line="276" w:lineRule="auto"/>
        <w:jc w:val="both"/>
        <w:rPr>
          <w:rFonts w:ascii="Times New Roman" w:hAnsi="Times New Roman" w:cs="Times New Roman"/>
          <w:b/>
          <w:bCs/>
          <w:noProof/>
          <w:sz w:val="24"/>
          <w:szCs w:val="24"/>
          <w:lang w:val="sq-AL"/>
        </w:rPr>
      </w:pPr>
    </w:p>
    <w:p w14:paraId="76CF9280" w14:textId="416D8078" w:rsidR="00B7129A" w:rsidRPr="00641640" w:rsidRDefault="00B7129A"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Masat dhe aktivitetet</w:t>
      </w:r>
    </w:p>
    <w:p w14:paraId="0745F70E" w14:textId="59328765" w:rsidR="00B7129A" w:rsidRPr="00641640" w:rsidRDefault="00B7129A" w:rsidP="003A395D">
      <w:pPr>
        <w:spacing w:beforeAutospacing="1" w:after="0" w:line="276" w:lineRule="auto"/>
        <w:jc w:val="both"/>
        <w:textAlignment w:val="baseline"/>
        <w:rPr>
          <w:rFonts w:ascii="Times New Roman" w:hAnsi="Times New Roman" w:cs="Times New Roman"/>
          <w:bCs/>
          <w:noProof/>
          <w:color w:val="000000" w:themeColor="text1"/>
          <w:sz w:val="24"/>
          <w:szCs w:val="24"/>
          <w:lang w:val="sq-AL"/>
        </w:rPr>
      </w:pPr>
      <w:r w:rsidRPr="00641640">
        <w:rPr>
          <w:rFonts w:ascii="Times New Roman" w:hAnsi="Times New Roman" w:cs="Times New Roman"/>
          <w:bCs/>
          <w:noProof/>
          <w:color w:val="000000" w:themeColor="text1"/>
          <w:sz w:val="24"/>
          <w:szCs w:val="24"/>
          <w:lang w:val="sq-AL"/>
        </w:rPr>
        <w:t xml:space="preserve">Ky </w:t>
      </w:r>
      <w:r w:rsidR="00B6033C" w:rsidRPr="00641640">
        <w:rPr>
          <w:rFonts w:ascii="Times New Roman" w:hAnsi="Times New Roman" w:cs="Times New Roman"/>
          <w:bCs/>
          <w:noProof/>
          <w:color w:val="000000" w:themeColor="text1"/>
          <w:sz w:val="24"/>
          <w:szCs w:val="24"/>
          <w:lang w:val="sq-AL"/>
        </w:rPr>
        <w:t>o</w:t>
      </w:r>
      <w:r w:rsidRPr="00641640">
        <w:rPr>
          <w:rFonts w:ascii="Times New Roman" w:hAnsi="Times New Roman" w:cs="Times New Roman"/>
          <w:bCs/>
          <w:noProof/>
          <w:color w:val="000000" w:themeColor="text1"/>
          <w:sz w:val="24"/>
          <w:szCs w:val="24"/>
          <w:lang w:val="sq-AL"/>
        </w:rPr>
        <w:t xml:space="preserve">bjektiv </w:t>
      </w:r>
      <w:r w:rsidR="00B6033C" w:rsidRPr="00641640">
        <w:rPr>
          <w:rFonts w:ascii="Times New Roman" w:hAnsi="Times New Roman" w:cs="Times New Roman"/>
          <w:bCs/>
          <w:noProof/>
          <w:color w:val="000000" w:themeColor="text1"/>
          <w:sz w:val="24"/>
          <w:szCs w:val="24"/>
          <w:lang w:val="sq-AL"/>
        </w:rPr>
        <w:t>s</w:t>
      </w:r>
      <w:r w:rsidRPr="00641640">
        <w:rPr>
          <w:rFonts w:ascii="Times New Roman" w:hAnsi="Times New Roman" w:cs="Times New Roman"/>
          <w:bCs/>
          <w:noProof/>
          <w:color w:val="000000" w:themeColor="text1"/>
          <w:sz w:val="24"/>
          <w:szCs w:val="24"/>
          <w:lang w:val="sq-AL"/>
        </w:rPr>
        <w:t>pecifik do të zbatohet përmes masave të mëposhtme, teksa aktivitetet konkrete për periudhën e parë të zbatimit të SNRAP 202</w:t>
      </w:r>
      <w:r w:rsidR="00B6033C" w:rsidRPr="00641640">
        <w:rPr>
          <w:rFonts w:ascii="Times New Roman" w:hAnsi="Times New Roman" w:cs="Times New Roman"/>
          <w:bCs/>
          <w:noProof/>
          <w:color w:val="000000" w:themeColor="text1"/>
          <w:sz w:val="24"/>
          <w:szCs w:val="24"/>
          <w:lang w:val="sq-AL"/>
        </w:rPr>
        <w:t>5</w:t>
      </w:r>
      <w:r w:rsidRPr="00641640">
        <w:rPr>
          <w:rFonts w:ascii="Times New Roman" w:hAnsi="Times New Roman" w:cs="Times New Roman"/>
          <w:bCs/>
          <w:noProof/>
          <w:color w:val="000000" w:themeColor="text1"/>
          <w:sz w:val="24"/>
          <w:szCs w:val="24"/>
          <w:lang w:val="sq-AL"/>
        </w:rPr>
        <w:t>-2030 mund të gjenden në Planin e Veprimit 202</w:t>
      </w:r>
      <w:r w:rsidR="00B6033C" w:rsidRPr="00641640">
        <w:rPr>
          <w:rFonts w:ascii="Times New Roman" w:hAnsi="Times New Roman" w:cs="Times New Roman"/>
          <w:bCs/>
          <w:noProof/>
          <w:color w:val="000000" w:themeColor="text1"/>
          <w:sz w:val="24"/>
          <w:szCs w:val="24"/>
          <w:lang w:val="sq-AL"/>
        </w:rPr>
        <w:t>5</w:t>
      </w:r>
      <w:r w:rsidRPr="00641640">
        <w:rPr>
          <w:rFonts w:ascii="Times New Roman" w:hAnsi="Times New Roman" w:cs="Times New Roman"/>
          <w:bCs/>
          <w:noProof/>
          <w:color w:val="000000" w:themeColor="text1"/>
          <w:sz w:val="24"/>
          <w:szCs w:val="24"/>
          <w:lang w:val="sq-AL"/>
        </w:rPr>
        <w:t>-202</w:t>
      </w:r>
      <w:r w:rsidR="00B6033C" w:rsidRPr="00641640">
        <w:rPr>
          <w:rFonts w:ascii="Times New Roman" w:hAnsi="Times New Roman" w:cs="Times New Roman"/>
          <w:bCs/>
          <w:noProof/>
          <w:color w:val="000000" w:themeColor="text1"/>
          <w:sz w:val="24"/>
          <w:szCs w:val="24"/>
          <w:lang w:val="sq-AL"/>
        </w:rPr>
        <w:t>7</w:t>
      </w:r>
      <w:r w:rsidRPr="00641640">
        <w:rPr>
          <w:rFonts w:ascii="Times New Roman" w:hAnsi="Times New Roman" w:cs="Times New Roman"/>
          <w:bCs/>
          <w:noProof/>
          <w:color w:val="000000" w:themeColor="text1"/>
          <w:sz w:val="24"/>
          <w:szCs w:val="24"/>
          <w:lang w:val="sq-AL"/>
        </w:rPr>
        <w:t xml:space="preserve"> (Aneksi nr. 1).</w:t>
      </w:r>
    </w:p>
    <w:p w14:paraId="41AA6178" w14:textId="77777777" w:rsidR="001161DE" w:rsidRPr="00641640" w:rsidRDefault="001161DE" w:rsidP="003A395D">
      <w:pPr>
        <w:spacing w:after="0" w:line="276" w:lineRule="auto"/>
        <w:ind w:firstLine="284"/>
        <w:jc w:val="both"/>
        <w:rPr>
          <w:rFonts w:ascii="Times New Roman" w:eastAsia="MS Mincho" w:hAnsi="Times New Roman" w:cs="Times New Roman"/>
          <w:i/>
          <w:noProof/>
          <w:lang w:val="sq-AL"/>
        </w:rPr>
      </w:pPr>
    </w:p>
    <w:tbl>
      <w:tblPr>
        <w:tblStyle w:val="TableGridIDEA2"/>
        <w:tblW w:w="0" w:type="auto"/>
        <w:tblLook w:val="04A0" w:firstRow="1" w:lastRow="0" w:firstColumn="1" w:lastColumn="0" w:noHBand="0" w:noVBand="1"/>
      </w:tblPr>
      <w:tblGrid>
        <w:gridCol w:w="805"/>
        <w:gridCol w:w="8545"/>
      </w:tblGrid>
      <w:tr w:rsidR="001161DE" w:rsidRPr="00641640" w14:paraId="407FFBED" w14:textId="77777777" w:rsidTr="006E1EBB">
        <w:trPr>
          <w:trHeight w:val="980"/>
        </w:trPr>
        <w:tc>
          <w:tcPr>
            <w:tcW w:w="9350" w:type="dxa"/>
            <w:gridSpan w:val="2"/>
            <w:shd w:val="clear" w:color="auto" w:fill="C5E0B3" w:themeFill="accent6" w:themeFillTint="66"/>
          </w:tcPr>
          <w:p w14:paraId="406A13A2" w14:textId="7A902D83" w:rsidR="001161DE" w:rsidRPr="00641640" w:rsidRDefault="001161DE" w:rsidP="003A395D">
            <w:pPr>
              <w:spacing w:before="240" w:line="276" w:lineRule="auto"/>
              <w:jc w:val="center"/>
              <w:textAlignment w:val="baseline"/>
              <w:rPr>
                <w:rFonts w:ascii="Times New Roman" w:hAnsi="Times New Roman" w:cs="Times New Roman"/>
                <w:b/>
                <w:i/>
                <w:noProof/>
                <w:sz w:val="22"/>
                <w:szCs w:val="22"/>
                <w:lang w:val="sq-AL"/>
              </w:rPr>
            </w:pPr>
            <w:r w:rsidRPr="00641640">
              <w:rPr>
                <w:rFonts w:ascii="Times New Roman" w:hAnsi="Times New Roman" w:cs="Times New Roman"/>
                <w:b/>
                <w:i/>
                <w:noProof/>
                <w:sz w:val="22"/>
                <w:szCs w:val="22"/>
                <w:lang w:val="sq-AL"/>
              </w:rPr>
              <w:t xml:space="preserve">Objektivi Specifik </w:t>
            </w:r>
            <w:r w:rsidR="00AD510A" w:rsidRPr="00641640">
              <w:rPr>
                <w:rFonts w:ascii="Times New Roman" w:hAnsi="Times New Roman" w:cs="Times New Roman"/>
                <w:b/>
                <w:i/>
                <w:noProof/>
                <w:sz w:val="22"/>
                <w:szCs w:val="22"/>
                <w:lang w:val="sq-AL"/>
              </w:rPr>
              <w:t>2</w:t>
            </w:r>
            <w:r w:rsidRPr="00641640">
              <w:rPr>
                <w:rFonts w:ascii="Times New Roman" w:hAnsi="Times New Roman" w:cs="Times New Roman"/>
                <w:b/>
                <w:i/>
                <w:noProof/>
                <w:sz w:val="22"/>
                <w:szCs w:val="22"/>
                <w:lang w:val="sq-AL"/>
              </w:rPr>
              <w:t>.3: Investimi në zhvillimin profesional të nëpunësve të të gjitha niveleve të administratës publike për të mbështetur dhe avancuar agjendën kombëtare të integrimit evropian të Shqipërisë.</w:t>
            </w:r>
          </w:p>
        </w:tc>
      </w:tr>
      <w:tr w:rsidR="001161DE" w:rsidRPr="00641640" w14:paraId="3BC57A39" w14:textId="77777777" w:rsidTr="006E1EBB">
        <w:trPr>
          <w:trHeight w:val="719"/>
        </w:trPr>
        <w:tc>
          <w:tcPr>
            <w:tcW w:w="805" w:type="dxa"/>
            <w:shd w:val="clear" w:color="auto" w:fill="C5E0B3" w:themeFill="accent6" w:themeFillTint="66"/>
          </w:tcPr>
          <w:p w14:paraId="08F09748" w14:textId="211215B6"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111456"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.3.1</w:t>
            </w:r>
          </w:p>
        </w:tc>
        <w:tc>
          <w:tcPr>
            <w:tcW w:w="8545" w:type="dxa"/>
            <w:shd w:val="clear" w:color="auto" w:fill="auto"/>
          </w:tcPr>
          <w:p w14:paraId="10E85304" w14:textId="7CA68742" w:rsidR="001161DE" w:rsidRPr="00641640" w:rsidRDefault="004B15DF"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Hartimi dhe zbatimi efikas i modelit ekonomik të ASPA-s në ofrimin e trajnimeve për të tretët në përputhje me kuadrin ligjor dhe atë rregullator.</w:t>
            </w:r>
          </w:p>
        </w:tc>
      </w:tr>
      <w:tr w:rsidR="001161DE" w:rsidRPr="00641640" w14:paraId="0DCEC049" w14:textId="77777777" w:rsidTr="006E1EBB">
        <w:trPr>
          <w:trHeight w:val="989"/>
        </w:trPr>
        <w:tc>
          <w:tcPr>
            <w:tcW w:w="805" w:type="dxa"/>
            <w:shd w:val="clear" w:color="auto" w:fill="C5E0B3" w:themeFill="accent6" w:themeFillTint="66"/>
          </w:tcPr>
          <w:p w14:paraId="21EEB846" w14:textId="67887A64"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111456"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 xml:space="preserve">.3.2 </w:t>
            </w:r>
          </w:p>
        </w:tc>
        <w:tc>
          <w:tcPr>
            <w:tcW w:w="8545" w:type="dxa"/>
            <w:shd w:val="clear" w:color="auto" w:fill="auto"/>
          </w:tcPr>
          <w:p w14:paraId="5E20078E" w14:textId="73A67548" w:rsidR="001161DE" w:rsidRPr="00641640" w:rsidRDefault="00B3647F"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Rishikimi i kritereve për përzgjedhjen e trajnerëve dhe masës së pagesës së tyre, me synim tërheqjen e ekspertëve më të mirë në fushat përkatëse, si dhe rritjen e atraksionit të ofertës së trajnimit pranë ASPA-s</w:t>
            </w:r>
            <w:r w:rsidR="00F50BB4" w:rsidRPr="00641640">
              <w:rPr>
                <w:rFonts w:ascii="Times New Roman" w:hAnsi="Times New Roman" w:cs="Times New Roman"/>
                <w:noProof/>
                <w:sz w:val="22"/>
                <w:szCs w:val="22"/>
                <w:lang w:val="sq-AL"/>
              </w:rPr>
              <w:t>.</w:t>
            </w:r>
          </w:p>
        </w:tc>
      </w:tr>
      <w:tr w:rsidR="001161DE" w:rsidRPr="00641640" w14:paraId="35C1C777" w14:textId="77777777" w:rsidTr="006E1EBB">
        <w:trPr>
          <w:trHeight w:val="971"/>
        </w:trPr>
        <w:tc>
          <w:tcPr>
            <w:tcW w:w="805" w:type="dxa"/>
            <w:shd w:val="clear" w:color="auto" w:fill="C5E0B3" w:themeFill="accent6" w:themeFillTint="66"/>
          </w:tcPr>
          <w:p w14:paraId="4FB360FF" w14:textId="50A83EBC"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6B6AF9"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.3.3</w:t>
            </w:r>
          </w:p>
        </w:tc>
        <w:tc>
          <w:tcPr>
            <w:tcW w:w="8545" w:type="dxa"/>
            <w:shd w:val="clear" w:color="auto" w:fill="auto"/>
          </w:tcPr>
          <w:p w14:paraId="2F9D047C" w14:textId="25AF70FA" w:rsidR="001161DE" w:rsidRPr="00641640" w:rsidRDefault="00B3647F"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Rishikimi i fondit të trajnimeve të ofruara nga ASPA, me fokus forcimin e kapaciteteve analitike, planifikuese dhe digjitale të nëpunësve, si dhe njohurive për procesin e integrimit evropian.</w:t>
            </w:r>
          </w:p>
        </w:tc>
      </w:tr>
      <w:tr w:rsidR="001161DE" w:rsidRPr="00641640" w14:paraId="4A3657D2" w14:textId="77777777" w:rsidTr="006E1EBB">
        <w:trPr>
          <w:trHeight w:val="989"/>
        </w:trPr>
        <w:tc>
          <w:tcPr>
            <w:tcW w:w="805" w:type="dxa"/>
            <w:shd w:val="clear" w:color="auto" w:fill="C5E0B3" w:themeFill="accent6" w:themeFillTint="66"/>
          </w:tcPr>
          <w:p w14:paraId="660DDF78" w14:textId="5B06D488"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6B6AF9"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.3.4</w:t>
            </w:r>
          </w:p>
        </w:tc>
        <w:tc>
          <w:tcPr>
            <w:tcW w:w="8545" w:type="dxa"/>
            <w:shd w:val="clear" w:color="auto" w:fill="auto"/>
          </w:tcPr>
          <w:p w14:paraId="3D42E41F" w14:textId="03B5E1DC" w:rsidR="001161DE" w:rsidRPr="00641640" w:rsidRDefault="00F50BB4" w:rsidP="003A395D">
            <w:pPr>
              <w:tabs>
                <w:tab w:val="left" w:pos="2169"/>
              </w:tabs>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Trajnim i dedikuar dhe periodik për përmirësimin e aftësive udhëheqëse dhe menaxheriale të drejtuesve të nivelit të mesëm dhe të lartë, me synim menaxhimin efikas të proceseve dhe burimeve njerëzore.</w:t>
            </w:r>
          </w:p>
        </w:tc>
      </w:tr>
      <w:tr w:rsidR="001161DE" w:rsidRPr="00641640" w14:paraId="405EE7E2" w14:textId="77777777" w:rsidTr="006E1EBB">
        <w:trPr>
          <w:trHeight w:val="710"/>
        </w:trPr>
        <w:tc>
          <w:tcPr>
            <w:tcW w:w="805" w:type="dxa"/>
            <w:shd w:val="clear" w:color="auto" w:fill="C5E0B3" w:themeFill="accent6" w:themeFillTint="66"/>
          </w:tcPr>
          <w:p w14:paraId="21D3F5F9" w14:textId="18239383" w:rsidR="001161DE" w:rsidRPr="00641640" w:rsidRDefault="001161D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6B6AF9"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.3.5</w:t>
            </w:r>
          </w:p>
        </w:tc>
        <w:tc>
          <w:tcPr>
            <w:tcW w:w="8545" w:type="dxa"/>
            <w:shd w:val="clear" w:color="auto" w:fill="auto"/>
          </w:tcPr>
          <w:p w14:paraId="5B900D66" w14:textId="063D9626" w:rsidR="001161DE" w:rsidRPr="00641640" w:rsidRDefault="00F50BB4" w:rsidP="003A395D">
            <w:pPr>
              <w:tabs>
                <w:tab w:val="left" w:pos="2169"/>
              </w:tabs>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Thellimi i bashkëpunimit të ASPA-s me institucionet homologe, autoritete të tjera dhe rrjete me ekspertizë në fushën e trajnimit të sektorit publik në BE dhe më gjerë.</w:t>
            </w:r>
          </w:p>
        </w:tc>
      </w:tr>
      <w:tr w:rsidR="001161DE" w:rsidRPr="00641640" w14:paraId="2EB1AA53" w14:textId="77777777" w:rsidTr="00A85237">
        <w:trPr>
          <w:trHeight w:val="980"/>
        </w:trPr>
        <w:tc>
          <w:tcPr>
            <w:tcW w:w="805" w:type="dxa"/>
            <w:shd w:val="clear" w:color="auto" w:fill="C5E0B3" w:themeFill="accent6" w:themeFillTint="66"/>
          </w:tcPr>
          <w:p w14:paraId="63E592B1" w14:textId="2945EE4E" w:rsidR="001161DE" w:rsidRPr="00641640" w:rsidRDefault="00131B34"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lastRenderedPageBreak/>
              <w:t xml:space="preserve">Masa </w:t>
            </w:r>
            <w:r w:rsidR="006B6AF9"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.3.6</w:t>
            </w:r>
          </w:p>
        </w:tc>
        <w:tc>
          <w:tcPr>
            <w:tcW w:w="8545" w:type="dxa"/>
            <w:shd w:val="clear" w:color="auto" w:fill="auto"/>
          </w:tcPr>
          <w:p w14:paraId="79398509" w14:textId="5610D2CA" w:rsidR="001161DE" w:rsidRPr="00641640" w:rsidRDefault="00201EA8" w:rsidP="003A395D">
            <w:pPr>
              <w:tabs>
                <w:tab w:val="left" w:pos="2169"/>
              </w:tabs>
              <w:spacing w:beforeAutospacing="1" w:line="276" w:lineRule="auto"/>
              <w:jc w:val="both"/>
              <w:textAlignment w:val="baseline"/>
              <w:rPr>
                <w:rFonts w:ascii="Times New Roman" w:hAnsi="Times New Roman" w:cs="Times New Roman"/>
                <w:bCs/>
                <w:noProof/>
                <w:sz w:val="22"/>
                <w:szCs w:val="22"/>
                <w:lang w:val="sq-AL"/>
              </w:rPr>
            </w:pPr>
            <w:r w:rsidRPr="00641640">
              <w:rPr>
                <w:rFonts w:ascii="Times New Roman" w:hAnsi="Times New Roman" w:cs="Times New Roman"/>
                <w:bCs/>
                <w:noProof/>
                <w:sz w:val="22"/>
                <w:szCs w:val="22"/>
                <w:lang w:val="sq-AL"/>
              </w:rPr>
              <w:t>Miratimi dhe zbatimi i Udhërrëfyesit për Ndërtimin e Kapaciteteve Administrative, me synim garantimin e menaxhimit efikas të fondeve të BE-së nga momenti i aderimit të vendit në BE e në vijim.</w:t>
            </w:r>
          </w:p>
        </w:tc>
      </w:tr>
      <w:tr w:rsidR="001161DE" w:rsidRPr="00641640" w14:paraId="223CE173" w14:textId="77777777" w:rsidTr="00A85237">
        <w:tc>
          <w:tcPr>
            <w:tcW w:w="805" w:type="dxa"/>
            <w:shd w:val="clear" w:color="auto" w:fill="C5E0B3" w:themeFill="accent6" w:themeFillTint="66"/>
          </w:tcPr>
          <w:p w14:paraId="70DFF5F6" w14:textId="2CF5EB1F" w:rsidR="001161DE" w:rsidRPr="00641640" w:rsidRDefault="00131B34"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6B6AF9"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.3.7</w:t>
            </w:r>
          </w:p>
        </w:tc>
        <w:tc>
          <w:tcPr>
            <w:tcW w:w="8545" w:type="dxa"/>
            <w:shd w:val="clear" w:color="auto" w:fill="auto"/>
          </w:tcPr>
          <w:p w14:paraId="5AEBC6F7" w14:textId="41044120" w:rsidR="001161DE" w:rsidRPr="00641640" w:rsidRDefault="008F4A2E" w:rsidP="003A395D">
            <w:pPr>
              <w:tabs>
                <w:tab w:val="left" w:pos="2169"/>
              </w:tabs>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Rishikimi i modelit të trajnimit fillestar</w:t>
            </w:r>
          </w:p>
        </w:tc>
      </w:tr>
    </w:tbl>
    <w:p w14:paraId="6125956C" w14:textId="77777777" w:rsidR="00AB58BF" w:rsidRPr="00641640" w:rsidRDefault="00AB58BF" w:rsidP="003A395D">
      <w:pPr>
        <w:spacing w:line="276" w:lineRule="auto"/>
        <w:jc w:val="both"/>
        <w:rPr>
          <w:rFonts w:ascii="Times New Roman" w:hAnsi="Times New Roman" w:cs="Times New Roman"/>
          <w:b/>
          <w:bCs/>
          <w:i/>
          <w:iCs/>
          <w:noProof/>
          <w:sz w:val="24"/>
          <w:szCs w:val="24"/>
          <w:lang w:val="sq-AL"/>
        </w:rPr>
      </w:pPr>
    </w:p>
    <w:p w14:paraId="48330855" w14:textId="77777777" w:rsidR="001603CE" w:rsidRPr="00641640" w:rsidRDefault="001603CE" w:rsidP="001603CE">
      <w:pPr>
        <w:spacing w:after="0" w:line="276" w:lineRule="auto"/>
        <w:jc w:val="both"/>
        <w:rPr>
          <w:rFonts w:ascii="Times New Roman" w:hAnsi="Times New Roman" w:cs="Times New Roman"/>
          <w:b/>
          <w:bCs/>
          <w:i/>
          <w:iCs/>
          <w:noProof/>
          <w:sz w:val="24"/>
          <w:szCs w:val="24"/>
          <w:lang w:val="sq-AL"/>
        </w:rPr>
      </w:pPr>
    </w:p>
    <w:p w14:paraId="4034B497" w14:textId="1D81A70D" w:rsidR="00EE7FD9" w:rsidRPr="00641640" w:rsidRDefault="00EE7FD9"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Lidhja e treguesve kryesorë të performancës më Qëllimin e Politikës I</w:t>
      </w:r>
      <w:r w:rsidR="007E3919" w:rsidRPr="00641640">
        <w:rPr>
          <w:rFonts w:ascii="Times New Roman" w:hAnsi="Times New Roman" w:cs="Times New Roman"/>
          <w:b/>
          <w:bCs/>
          <w:noProof/>
          <w:sz w:val="24"/>
          <w:szCs w:val="24"/>
          <w:lang w:val="sq-AL"/>
        </w:rPr>
        <w:t>I</w:t>
      </w:r>
      <w:r w:rsidRPr="00641640">
        <w:rPr>
          <w:rFonts w:ascii="Times New Roman" w:hAnsi="Times New Roman" w:cs="Times New Roman"/>
          <w:b/>
          <w:bCs/>
          <w:noProof/>
          <w:sz w:val="24"/>
          <w:szCs w:val="24"/>
          <w:lang w:val="sq-AL"/>
        </w:rPr>
        <w:t>, Objektivin Specifik 2</w:t>
      </w:r>
      <w:r w:rsidR="007E3919" w:rsidRPr="00641640">
        <w:rPr>
          <w:rFonts w:ascii="Times New Roman" w:hAnsi="Times New Roman" w:cs="Times New Roman"/>
          <w:b/>
          <w:bCs/>
          <w:noProof/>
          <w:sz w:val="24"/>
          <w:szCs w:val="24"/>
          <w:lang w:val="sq-AL"/>
        </w:rPr>
        <w:t>.3</w:t>
      </w:r>
      <w:r w:rsidRPr="00641640">
        <w:rPr>
          <w:rFonts w:ascii="Times New Roman" w:hAnsi="Times New Roman" w:cs="Times New Roman"/>
          <w:b/>
          <w:bCs/>
          <w:noProof/>
          <w:sz w:val="24"/>
          <w:szCs w:val="24"/>
          <w:lang w:val="sq-AL"/>
        </w:rPr>
        <w:t xml:space="preserve"> dhe institucionet përgjegjëse.</w:t>
      </w:r>
    </w:p>
    <w:tbl>
      <w:tblPr>
        <w:tblStyle w:val="TableGrid"/>
        <w:tblW w:w="93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72"/>
        <w:gridCol w:w="1890"/>
        <w:gridCol w:w="2160"/>
        <w:gridCol w:w="2340"/>
        <w:gridCol w:w="1890"/>
      </w:tblGrid>
      <w:tr w:rsidR="00EE7FD9" w:rsidRPr="00641640" w14:paraId="411F1C50" w14:textId="77777777" w:rsidTr="00A85237">
        <w:trPr>
          <w:trHeight w:val="1329"/>
        </w:trPr>
        <w:tc>
          <w:tcPr>
            <w:tcW w:w="1072" w:type="dxa"/>
            <w:shd w:val="clear" w:color="auto" w:fill="C5E0B3" w:themeFill="accent6" w:themeFillTint="66"/>
            <w:tcMar>
              <w:top w:w="15" w:type="dxa"/>
              <w:left w:w="75" w:type="dxa"/>
              <w:bottom w:w="15" w:type="dxa"/>
              <w:right w:w="75" w:type="dxa"/>
            </w:tcMar>
          </w:tcPr>
          <w:p w14:paraId="4100DB06" w14:textId="77777777" w:rsidR="00EE7FD9" w:rsidRPr="00641640" w:rsidRDefault="00EE7FD9" w:rsidP="003A395D">
            <w:pPr>
              <w:spacing w:line="276" w:lineRule="auto"/>
              <w:jc w:val="center"/>
              <w:rPr>
                <w:rFonts w:ascii="Times New Roman" w:eastAsia="Arial" w:hAnsi="Times New Roman" w:cs="Times New Roman"/>
                <w:b/>
                <w:bCs/>
                <w:noProof/>
                <w:sz w:val="24"/>
                <w:szCs w:val="24"/>
                <w:lang w:val="sq-AL"/>
              </w:rPr>
            </w:pPr>
          </w:p>
          <w:p w14:paraId="58DF4AAC" w14:textId="77777777" w:rsidR="00EE7FD9" w:rsidRPr="00641640" w:rsidRDefault="00EE7FD9" w:rsidP="003A395D">
            <w:pPr>
              <w:spacing w:line="276" w:lineRule="auto"/>
              <w:jc w:val="center"/>
              <w:rPr>
                <w:rFonts w:ascii="Times New Roman" w:eastAsia="Arial" w:hAnsi="Times New Roman" w:cs="Times New Roman"/>
                <w:b/>
                <w:bCs/>
                <w:noProof/>
                <w:sz w:val="24"/>
                <w:szCs w:val="24"/>
                <w:lang w:val="sq-AL"/>
              </w:rPr>
            </w:pPr>
            <w:r w:rsidRPr="00641640">
              <w:rPr>
                <w:rFonts w:ascii="Times New Roman" w:eastAsia="Arial" w:hAnsi="Times New Roman" w:cs="Times New Roman"/>
                <w:b/>
                <w:bCs/>
                <w:noProof/>
                <w:sz w:val="24"/>
                <w:szCs w:val="24"/>
                <w:lang w:val="sq-AL"/>
              </w:rPr>
              <w:t>Lloji i treguesit</w:t>
            </w:r>
          </w:p>
        </w:tc>
        <w:tc>
          <w:tcPr>
            <w:tcW w:w="1890" w:type="dxa"/>
            <w:shd w:val="clear" w:color="auto" w:fill="C5E0B3" w:themeFill="accent6" w:themeFillTint="66"/>
            <w:tcMar>
              <w:top w:w="15" w:type="dxa"/>
              <w:left w:w="75" w:type="dxa"/>
              <w:bottom w:w="15" w:type="dxa"/>
              <w:right w:w="75" w:type="dxa"/>
            </w:tcMar>
          </w:tcPr>
          <w:p w14:paraId="09408BFE" w14:textId="77777777" w:rsidR="00EE7FD9" w:rsidRPr="00641640" w:rsidRDefault="00EE7FD9" w:rsidP="003A395D">
            <w:pPr>
              <w:spacing w:line="276" w:lineRule="auto"/>
              <w:jc w:val="center"/>
              <w:rPr>
                <w:rFonts w:ascii="Times New Roman" w:eastAsia="Arial" w:hAnsi="Times New Roman" w:cs="Times New Roman"/>
                <w:b/>
                <w:bCs/>
                <w:noProof/>
                <w:sz w:val="24"/>
                <w:szCs w:val="24"/>
                <w:lang w:val="sq-AL"/>
              </w:rPr>
            </w:pPr>
          </w:p>
          <w:p w14:paraId="0C474B25" w14:textId="77777777" w:rsidR="00EE7FD9" w:rsidRPr="00641640" w:rsidRDefault="00EE7FD9" w:rsidP="003A395D">
            <w:pPr>
              <w:spacing w:line="276" w:lineRule="auto"/>
              <w:jc w:val="center"/>
              <w:rPr>
                <w:rFonts w:ascii="Times New Roman" w:eastAsia="Arial" w:hAnsi="Times New Roman" w:cs="Times New Roman"/>
                <w:b/>
                <w:bCs/>
                <w:noProof/>
                <w:sz w:val="24"/>
                <w:szCs w:val="24"/>
                <w:lang w:val="sq-AL"/>
              </w:rPr>
            </w:pPr>
            <w:r w:rsidRPr="00641640">
              <w:rPr>
                <w:rFonts w:ascii="Times New Roman" w:eastAsia="Arial" w:hAnsi="Times New Roman" w:cs="Times New Roman"/>
                <w:b/>
                <w:bCs/>
                <w:noProof/>
                <w:sz w:val="24"/>
                <w:szCs w:val="24"/>
                <w:lang w:val="sq-AL"/>
              </w:rPr>
              <w:t>Emërtimi i treguesit të performancës</w:t>
            </w:r>
          </w:p>
          <w:p w14:paraId="261A82F0" w14:textId="77777777" w:rsidR="00EE7FD9" w:rsidRPr="00641640" w:rsidRDefault="00EE7FD9" w:rsidP="003A395D">
            <w:pPr>
              <w:spacing w:line="276" w:lineRule="auto"/>
              <w:jc w:val="center"/>
              <w:rPr>
                <w:rFonts w:ascii="Times New Roman" w:eastAsia="Arial" w:hAnsi="Times New Roman" w:cs="Times New Roman"/>
                <w:noProof/>
                <w:sz w:val="24"/>
                <w:szCs w:val="24"/>
                <w:lang w:val="sq-AL"/>
              </w:rPr>
            </w:pPr>
          </w:p>
        </w:tc>
        <w:tc>
          <w:tcPr>
            <w:tcW w:w="2160" w:type="dxa"/>
            <w:shd w:val="clear" w:color="auto" w:fill="C5E0B3" w:themeFill="accent6" w:themeFillTint="66"/>
          </w:tcPr>
          <w:p w14:paraId="621E0960" w14:textId="77777777" w:rsidR="00EE7FD9" w:rsidRPr="00641640" w:rsidRDefault="00EE7FD9" w:rsidP="003A395D">
            <w:pPr>
              <w:spacing w:line="276" w:lineRule="auto"/>
              <w:jc w:val="center"/>
              <w:rPr>
                <w:rFonts w:ascii="Times New Roman" w:eastAsia="Arial" w:hAnsi="Times New Roman" w:cs="Times New Roman"/>
                <w:b/>
                <w:bCs/>
                <w:noProof/>
                <w:sz w:val="24"/>
                <w:szCs w:val="24"/>
                <w:lang w:val="sq-AL"/>
              </w:rPr>
            </w:pPr>
          </w:p>
          <w:p w14:paraId="355AA010" w14:textId="77777777" w:rsidR="00EE7FD9" w:rsidRPr="00641640" w:rsidRDefault="00EE7FD9" w:rsidP="003A395D">
            <w:pPr>
              <w:spacing w:line="276" w:lineRule="auto"/>
              <w:jc w:val="center"/>
              <w:rPr>
                <w:rFonts w:ascii="Times New Roman" w:eastAsia="Arial" w:hAnsi="Times New Roman" w:cs="Times New Roman"/>
                <w:b/>
                <w:bCs/>
                <w:noProof/>
                <w:sz w:val="24"/>
                <w:szCs w:val="24"/>
                <w:lang w:val="sq-AL"/>
              </w:rPr>
            </w:pPr>
            <w:r w:rsidRPr="00641640">
              <w:rPr>
                <w:rFonts w:ascii="Times New Roman" w:eastAsia="Arial" w:hAnsi="Times New Roman" w:cs="Times New Roman"/>
                <w:b/>
                <w:bCs/>
                <w:noProof/>
                <w:sz w:val="24"/>
                <w:szCs w:val="24"/>
                <w:lang w:val="sq-AL"/>
              </w:rPr>
              <w:t>Lidhja me Qëllimin e Politikës</w:t>
            </w:r>
          </w:p>
        </w:tc>
        <w:tc>
          <w:tcPr>
            <w:tcW w:w="2340" w:type="dxa"/>
            <w:shd w:val="clear" w:color="auto" w:fill="C5E0B3" w:themeFill="accent6" w:themeFillTint="66"/>
          </w:tcPr>
          <w:p w14:paraId="70BB46C6" w14:textId="77777777" w:rsidR="00EE7FD9" w:rsidRPr="00641640" w:rsidRDefault="00EE7FD9" w:rsidP="003A395D">
            <w:pPr>
              <w:spacing w:line="276" w:lineRule="auto"/>
              <w:jc w:val="center"/>
              <w:rPr>
                <w:rFonts w:ascii="Times New Roman" w:eastAsia="Arial" w:hAnsi="Times New Roman" w:cs="Times New Roman"/>
                <w:b/>
                <w:bCs/>
                <w:noProof/>
                <w:sz w:val="24"/>
                <w:szCs w:val="24"/>
                <w:lang w:val="sq-AL"/>
              </w:rPr>
            </w:pPr>
          </w:p>
          <w:p w14:paraId="5B970646" w14:textId="77777777" w:rsidR="00EE7FD9" w:rsidRPr="00641640" w:rsidRDefault="00EE7FD9" w:rsidP="003A395D">
            <w:pPr>
              <w:spacing w:line="276" w:lineRule="auto"/>
              <w:jc w:val="center"/>
              <w:rPr>
                <w:rFonts w:ascii="Times New Roman" w:eastAsia="Arial" w:hAnsi="Times New Roman" w:cs="Times New Roman"/>
                <w:b/>
                <w:bCs/>
                <w:noProof/>
                <w:sz w:val="24"/>
                <w:szCs w:val="24"/>
                <w:lang w:val="sq-AL"/>
              </w:rPr>
            </w:pPr>
            <w:r w:rsidRPr="00641640">
              <w:rPr>
                <w:rFonts w:ascii="Times New Roman" w:eastAsia="Arial" w:hAnsi="Times New Roman" w:cs="Times New Roman"/>
                <w:b/>
                <w:bCs/>
                <w:noProof/>
                <w:sz w:val="24"/>
                <w:szCs w:val="24"/>
                <w:lang w:val="sq-AL"/>
              </w:rPr>
              <w:t>Lidhja me Objektivin Specifik</w:t>
            </w:r>
          </w:p>
        </w:tc>
        <w:tc>
          <w:tcPr>
            <w:tcW w:w="1890" w:type="dxa"/>
            <w:shd w:val="clear" w:color="auto" w:fill="C5E0B3" w:themeFill="accent6" w:themeFillTint="66"/>
            <w:tcMar>
              <w:top w:w="15" w:type="dxa"/>
              <w:left w:w="75" w:type="dxa"/>
              <w:bottom w:w="15" w:type="dxa"/>
              <w:right w:w="75" w:type="dxa"/>
            </w:tcMar>
          </w:tcPr>
          <w:p w14:paraId="4BD89E72" w14:textId="77777777" w:rsidR="00EE7FD9" w:rsidRPr="00641640" w:rsidRDefault="00EE7FD9" w:rsidP="003A395D">
            <w:pPr>
              <w:spacing w:line="276" w:lineRule="auto"/>
              <w:jc w:val="center"/>
              <w:rPr>
                <w:rFonts w:ascii="Times New Roman" w:eastAsia="Arial" w:hAnsi="Times New Roman" w:cs="Times New Roman"/>
                <w:noProof/>
                <w:sz w:val="24"/>
                <w:szCs w:val="24"/>
                <w:lang w:val="sq-AL"/>
              </w:rPr>
            </w:pPr>
          </w:p>
          <w:p w14:paraId="50434E49" w14:textId="77777777" w:rsidR="00EE7FD9" w:rsidRPr="00641640" w:rsidRDefault="00EE7FD9" w:rsidP="003A395D">
            <w:pPr>
              <w:spacing w:line="276" w:lineRule="auto"/>
              <w:jc w:val="center"/>
              <w:rPr>
                <w:rFonts w:ascii="Times New Roman" w:eastAsia="Arial" w:hAnsi="Times New Roman" w:cs="Times New Roman"/>
                <w:b/>
                <w:bCs/>
                <w:noProof/>
                <w:sz w:val="24"/>
                <w:szCs w:val="24"/>
                <w:lang w:val="sq-AL"/>
              </w:rPr>
            </w:pPr>
            <w:r w:rsidRPr="00641640">
              <w:rPr>
                <w:rFonts w:ascii="Times New Roman" w:eastAsia="Arial" w:hAnsi="Times New Roman" w:cs="Times New Roman"/>
                <w:b/>
                <w:bCs/>
                <w:noProof/>
                <w:sz w:val="24"/>
                <w:szCs w:val="24"/>
                <w:lang w:val="sq-AL"/>
              </w:rPr>
              <w:t>Institucioni përgjegjës</w:t>
            </w:r>
          </w:p>
        </w:tc>
      </w:tr>
      <w:tr w:rsidR="00512B4B" w:rsidRPr="00641640" w14:paraId="695D2765" w14:textId="77777777" w:rsidTr="00F02DD3">
        <w:trPr>
          <w:trHeight w:val="965"/>
        </w:trPr>
        <w:tc>
          <w:tcPr>
            <w:tcW w:w="1072" w:type="dxa"/>
            <w:shd w:val="clear" w:color="auto" w:fill="auto"/>
            <w:tcMar>
              <w:top w:w="15" w:type="dxa"/>
              <w:left w:w="75" w:type="dxa"/>
              <w:bottom w:w="15" w:type="dxa"/>
              <w:right w:w="75" w:type="dxa"/>
            </w:tcMar>
          </w:tcPr>
          <w:p w14:paraId="441F3661" w14:textId="3D721192" w:rsidR="00512B4B" w:rsidRPr="00641640" w:rsidRDefault="00512B4B" w:rsidP="003A395D">
            <w:pPr>
              <w:spacing w:line="276" w:lineRule="auto"/>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Rezultati</w:t>
            </w:r>
          </w:p>
        </w:tc>
        <w:tc>
          <w:tcPr>
            <w:tcW w:w="1890" w:type="dxa"/>
            <w:shd w:val="clear" w:color="auto" w:fill="auto"/>
            <w:tcMar>
              <w:top w:w="15" w:type="dxa"/>
              <w:left w:w="75" w:type="dxa"/>
              <w:bottom w:w="15" w:type="dxa"/>
              <w:right w:w="75" w:type="dxa"/>
            </w:tcMar>
          </w:tcPr>
          <w:p w14:paraId="7C75EF17" w14:textId="6650C94E" w:rsidR="00512B4B" w:rsidRPr="00641640" w:rsidRDefault="00512B4B" w:rsidP="003A395D">
            <w:pPr>
              <w:spacing w:line="276" w:lineRule="auto"/>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2.3.1 </w:t>
            </w:r>
            <w:r w:rsidR="00A00194" w:rsidRPr="00641640">
              <w:rPr>
                <w:rFonts w:ascii="Times New Roman" w:hAnsi="Times New Roman" w:cs="Times New Roman"/>
                <w:noProof/>
                <w:sz w:val="24"/>
                <w:szCs w:val="24"/>
                <w:lang w:val="sq-AL"/>
              </w:rPr>
              <w:t>Rritja e</w:t>
            </w:r>
            <w:r w:rsidRPr="00641640">
              <w:rPr>
                <w:rFonts w:ascii="Times New Roman" w:hAnsi="Times New Roman" w:cs="Times New Roman"/>
                <w:noProof/>
                <w:sz w:val="24"/>
                <w:szCs w:val="24"/>
                <w:lang w:val="sq-AL"/>
              </w:rPr>
              <w:t xml:space="preserve"> kapaciteteve të nivelit menaxherial të administratës publike</w:t>
            </w:r>
            <w:r w:rsidR="004217F9">
              <w:rPr>
                <w:rFonts w:ascii="Times New Roman" w:hAnsi="Times New Roman" w:cs="Times New Roman"/>
                <w:noProof/>
                <w:sz w:val="24"/>
                <w:szCs w:val="24"/>
                <w:lang w:val="sq-AL"/>
              </w:rPr>
              <w:t>.</w:t>
            </w:r>
          </w:p>
        </w:tc>
        <w:tc>
          <w:tcPr>
            <w:tcW w:w="2160" w:type="dxa"/>
            <w:shd w:val="clear" w:color="auto" w:fill="auto"/>
          </w:tcPr>
          <w:p w14:paraId="53624CFA" w14:textId="304ADA86" w:rsidR="00512B4B" w:rsidRPr="00641640" w:rsidRDefault="00512B4B" w:rsidP="003A395D">
            <w:pPr>
              <w:spacing w:line="276" w:lineRule="auto"/>
              <w:rPr>
                <w:rFonts w:ascii="Times New Roman" w:eastAsia="Arial" w:hAnsi="Times New Roman" w:cs="Times New Roman"/>
                <w:noProof/>
                <w:sz w:val="24"/>
                <w:szCs w:val="24"/>
                <w:lang w:val="sq-AL"/>
              </w:rPr>
            </w:pPr>
            <w:r w:rsidRPr="00641640">
              <w:rPr>
                <w:rFonts w:ascii="Times New Roman" w:eastAsia="Arial" w:hAnsi="Times New Roman" w:cs="Times New Roman"/>
                <w:noProof/>
                <w:sz w:val="24"/>
                <w:szCs w:val="24"/>
                <w:lang w:val="sq-AL"/>
              </w:rPr>
              <w:t>Shërbimi civil dhe menaxhimi i burimeve njerëzore</w:t>
            </w:r>
          </w:p>
        </w:tc>
        <w:tc>
          <w:tcPr>
            <w:tcW w:w="2340" w:type="dxa"/>
            <w:shd w:val="clear" w:color="auto" w:fill="auto"/>
          </w:tcPr>
          <w:p w14:paraId="02B4EC5E" w14:textId="77777777" w:rsidR="00512B4B" w:rsidRPr="00641640" w:rsidRDefault="00512B4B" w:rsidP="003A395D">
            <w:pPr>
              <w:spacing w:line="276" w:lineRule="auto"/>
              <w:jc w:val="both"/>
              <w:rPr>
                <w:rFonts w:ascii="Times New Roman" w:hAnsi="Times New Roman" w:cs="Times New Roman"/>
                <w:bCs/>
                <w:iCs/>
                <w:noProof/>
                <w:sz w:val="24"/>
                <w:szCs w:val="24"/>
                <w:lang w:val="sq-AL"/>
              </w:rPr>
            </w:pPr>
            <w:r w:rsidRPr="00641640">
              <w:rPr>
                <w:rFonts w:ascii="Times New Roman" w:hAnsi="Times New Roman" w:cs="Times New Roman"/>
                <w:bCs/>
                <w:iCs/>
                <w:noProof/>
                <w:sz w:val="24"/>
                <w:szCs w:val="24"/>
                <w:lang w:val="sq-AL"/>
              </w:rPr>
              <w:t>2.3 Investimi në zhvillimin profesional të nëpunësve të të gjitha niveleve të administratës publike për të mbështetur dhe avancuar agjendën kombëtare të integrimit evropian të Shqipërisë.</w:t>
            </w:r>
          </w:p>
          <w:p w14:paraId="7D2FE3F7" w14:textId="77777777" w:rsidR="00512B4B" w:rsidRPr="00641640" w:rsidRDefault="00512B4B" w:rsidP="003A395D">
            <w:pPr>
              <w:spacing w:line="276" w:lineRule="auto"/>
              <w:rPr>
                <w:rFonts w:ascii="Times New Roman" w:eastAsia="Arial" w:hAnsi="Times New Roman" w:cs="Times New Roman"/>
                <w:noProof/>
                <w:sz w:val="24"/>
                <w:szCs w:val="24"/>
                <w:lang w:val="sq-AL"/>
              </w:rPr>
            </w:pPr>
          </w:p>
        </w:tc>
        <w:tc>
          <w:tcPr>
            <w:tcW w:w="1890" w:type="dxa"/>
            <w:shd w:val="clear" w:color="auto" w:fill="auto"/>
            <w:tcMar>
              <w:top w:w="15" w:type="dxa"/>
              <w:left w:w="75" w:type="dxa"/>
              <w:bottom w:w="15" w:type="dxa"/>
              <w:right w:w="75" w:type="dxa"/>
            </w:tcMar>
          </w:tcPr>
          <w:p w14:paraId="31497012" w14:textId="4C949F4D" w:rsidR="00512B4B" w:rsidRPr="00641640" w:rsidRDefault="00512B4B" w:rsidP="003A395D">
            <w:pPr>
              <w:spacing w:line="276" w:lineRule="auto"/>
              <w:jc w:val="center"/>
              <w:rPr>
                <w:rFonts w:ascii="Times New Roman" w:eastAsia="Arial" w:hAnsi="Times New Roman" w:cs="Times New Roman"/>
                <w:noProof/>
                <w:sz w:val="24"/>
                <w:szCs w:val="24"/>
                <w:lang w:val="sq-AL"/>
              </w:rPr>
            </w:pPr>
            <w:r w:rsidRPr="00641640">
              <w:rPr>
                <w:rFonts w:ascii="Times New Roman" w:eastAsia="Arial" w:hAnsi="Times New Roman" w:cs="Times New Roman"/>
                <w:noProof/>
                <w:sz w:val="24"/>
                <w:szCs w:val="24"/>
                <w:lang w:val="sq-AL"/>
              </w:rPr>
              <w:t>ASPA</w:t>
            </w:r>
          </w:p>
        </w:tc>
      </w:tr>
      <w:tr w:rsidR="00EE7FD9" w:rsidRPr="00641640" w14:paraId="068FDEA1" w14:textId="77777777" w:rsidTr="00A00194">
        <w:trPr>
          <w:trHeight w:val="965"/>
        </w:trPr>
        <w:tc>
          <w:tcPr>
            <w:tcW w:w="1072" w:type="dxa"/>
            <w:shd w:val="clear" w:color="auto" w:fill="auto"/>
            <w:tcMar>
              <w:top w:w="15" w:type="dxa"/>
              <w:left w:w="75" w:type="dxa"/>
              <w:bottom w:w="15" w:type="dxa"/>
              <w:right w:w="75" w:type="dxa"/>
            </w:tcMar>
          </w:tcPr>
          <w:p w14:paraId="635C9ECD" w14:textId="5B90576F" w:rsidR="00EE7FD9" w:rsidRPr="00641640" w:rsidRDefault="00FA5B46" w:rsidP="003A395D">
            <w:pPr>
              <w:spacing w:line="276" w:lineRule="auto"/>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Rezultati</w:t>
            </w:r>
          </w:p>
          <w:p w14:paraId="7344F9A8" w14:textId="115302C3" w:rsidR="00EE7FD9" w:rsidRPr="00641640" w:rsidRDefault="00EE7FD9" w:rsidP="003A395D">
            <w:pPr>
              <w:spacing w:line="276" w:lineRule="auto"/>
              <w:rPr>
                <w:rFonts w:ascii="Times New Roman" w:hAnsi="Times New Roman" w:cs="Times New Roman"/>
                <w:noProof/>
                <w:color w:val="ED7D31" w:themeColor="accent2"/>
                <w:sz w:val="24"/>
                <w:szCs w:val="24"/>
                <w:lang w:val="sq-AL"/>
              </w:rPr>
            </w:pPr>
          </w:p>
        </w:tc>
        <w:tc>
          <w:tcPr>
            <w:tcW w:w="1890" w:type="dxa"/>
            <w:shd w:val="clear" w:color="auto" w:fill="auto"/>
            <w:tcMar>
              <w:top w:w="15" w:type="dxa"/>
              <w:left w:w="75" w:type="dxa"/>
              <w:bottom w:w="15" w:type="dxa"/>
              <w:right w:w="75" w:type="dxa"/>
            </w:tcMar>
          </w:tcPr>
          <w:p w14:paraId="7FEF084B" w14:textId="4447B3AA" w:rsidR="00EE7FD9" w:rsidRPr="00641640" w:rsidRDefault="00FA5B46" w:rsidP="003A395D">
            <w:pPr>
              <w:pStyle w:val="T-number"/>
              <w:spacing w:line="276" w:lineRule="auto"/>
              <w:ind w:left="0" w:firstLine="0"/>
              <w:jc w:val="both"/>
              <w:rPr>
                <w:rFonts w:ascii="Times New Roman" w:eastAsiaTheme="minorHAnsi" w:hAnsi="Times New Roman" w:cs="Times New Roman"/>
                <w:bCs/>
                <w:noProof/>
                <w:sz w:val="24"/>
                <w:szCs w:val="24"/>
                <w:lang w:val="sq-AL"/>
              </w:rPr>
            </w:pPr>
            <w:r w:rsidRPr="00641640">
              <w:rPr>
                <w:rFonts w:ascii="Times New Roman" w:eastAsiaTheme="minorHAnsi" w:hAnsi="Times New Roman" w:cs="Times New Roman"/>
                <w:bCs/>
                <w:noProof/>
                <w:sz w:val="24"/>
                <w:szCs w:val="24"/>
                <w:lang w:val="sq-AL"/>
              </w:rPr>
              <w:t>2.3.2 Kënaqësia e të trajnuarve me trajnimin (bazuar në formularët e vlerësimeve)</w:t>
            </w:r>
            <w:r w:rsidR="004217F9">
              <w:rPr>
                <w:rFonts w:ascii="Times New Roman" w:eastAsiaTheme="minorHAnsi" w:hAnsi="Times New Roman" w:cs="Times New Roman"/>
                <w:bCs/>
                <w:noProof/>
                <w:sz w:val="24"/>
                <w:szCs w:val="24"/>
                <w:lang w:val="sq-AL"/>
              </w:rPr>
              <w:t>.</w:t>
            </w:r>
          </w:p>
          <w:p w14:paraId="1DD238D1" w14:textId="2AEDBA4B" w:rsidR="00FA5B46" w:rsidRPr="00641640" w:rsidRDefault="00FA5B46" w:rsidP="003A395D">
            <w:pPr>
              <w:pStyle w:val="T-number"/>
              <w:spacing w:line="276" w:lineRule="auto"/>
              <w:ind w:left="0"/>
              <w:jc w:val="both"/>
              <w:rPr>
                <w:rFonts w:ascii="Times New Roman" w:eastAsiaTheme="minorHAnsi" w:hAnsi="Times New Roman" w:cs="Times New Roman"/>
                <w:b/>
                <w:bCs/>
                <w:noProof/>
                <w:sz w:val="24"/>
                <w:szCs w:val="24"/>
                <w:lang w:val="sq-AL"/>
              </w:rPr>
            </w:pPr>
          </w:p>
        </w:tc>
        <w:tc>
          <w:tcPr>
            <w:tcW w:w="2160" w:type="dxa"/>
            <w:shd w:val="clear" w:color="auto" w:fill="auto"/>
          </w:tcPr>
          <w:p w14:paraId="68214B62" w14:textId="0D863B6F" w:rsidR="00EE7FD9" w:rsidRPr="00641640" w:rsidRDefault="00512B4B" w:rsidP="003A395D">
            <w:pPr>
              <w:spacing w:line="276" w:lineRule="auto"/>
              <w:rPr>
                <w:rFonts w:ascii="Times New Roman" w:eastAsia="Arial" w:hAnsi="Times New Roman" w:cs="Times New Roman"/>
                <w:b/>
                <w:bCs/>
                <w:noProof/>
                <w:sz w:val="24"/>
                <w:szCs w:val="24"/>
                <w:lang w:val="sq-AL"/>
              </w:rPr>
            </w:pPr>
            <w:r w:rsidRPr="00641640">
              <w:rPr>
                <w:rFonts w:ascii="Times New Roman" w:eastAsia="Arial" w:hAnsi="Times New Roman" w:cs="Times New Roman"/>
                <w:noProof/>
                <w:sz w:val="24"/>
                <w:szCs w:val="24"/>
                <w:lang w:val="sq-AL"/>
              </w:rPr>
              <w:t>Shërbimi civil dhe menaxhimi i burimeve njerëzore</w:t>
            </w:r>
          </w:p>
        </w:tc>
        <w:tc>
          <w:tcPr>
            <w:tcW w:w="2340" w:type="dxa"/>
            <w:shd w:val="clear" w:color="auto" w:fill="auto"/>
          </w:tcPr>
          <w:p w14:paraId="1A5D0C37" w14:textId="77777777" w:rsidR="00512B4B" w:rsidRPr="00641640" w:rsidRDefault="00512B4B" w:rsidP="003A395D">
            <w:pPr>
              <w:spacing w:line="276" w:lineRule="auto"/>
              <w:jc w:val="both"/>
              <w:rPr>
                <w:rFonts w:ascii="Times New Roman" w:hAnsi="Times New Roman" w:cs="Times New Roman"/>
                <w:bCs/>
                <w:iCs/>
                <w:noProof/>
                <w:sz w:val="24"/>
                <w:szCs w:val="24"/>
                <w:lang w:val="sq-AL"/>
              </w:rPr>
            </w:pPr>
            <w:r w:rsidRPr="00641640">
              <w:rPr>
                <w:rFonts w:ascii="Times New Roman" w:hAnsi="Times New Roman" w:cs="Times New Roman"/>
                <w:bCs/>
                <w:iCs/>
                <w:noProof/>
                <w:sz w:val="24"/>
                <w:szCs w:val="24"/>
                <w:lang w:val="sq-AL"/>
              </w:rPr>
              <w:t>2.3 Investimi në zhvillimin profesional të nëpunësve të të gjitha niveleve të administratës publike për të mbështetur dhe avancuar agjendën kombëtare të integrimit evropian të Shqipërisë.</w:t>
            </w:r>
          </w:p>
          <w:p w14:paraId="6055CAD6" w14:textId="77777777" w:rsidR="00EE7FD9" w:rsidRPr="00641640" w:rsidRDefault="00EE7FD9" w:rsidP="003A395D">
            <w:pPr>
              <w:spacing w:line="276" w:lineRule="auto"/>
              <w:rPr>
                <w:rFonts w:ascii="Times New Roman" w:eastAsia="Arial" w:hAnsi="Times New Roman" w:cs="Times New Roman"/>
                <w:noProof/>
                <w:sz w:val="24"/>
                <w:szCs w:val="24"/>
                <w:lang w:val="sq-AL"/>
              </w:rPr>
            </w:pPr>
          </w:p>
          <w:p w14:paraId="56536495" w14:textId="62CB0A74" w:rsidR="00EE7FD9" w:rsidRPr="00641640" w:rsidRDefault="00EE7FD9" w:rsidP="003A395D">
            <w:pPr>
              <w:spacing w:line="276" w:lineRule="auto"/>
              <w:rPr>
                <w:rFonts w:ascii="Times New Roman" w:eastAsia="Arial" w:hAnsi="Times New Roman" w:cs="Times New Roman"/>
                <w:noProof/>
                <w:sz w:val="24"/>
                <w:szCs w:val="24"/>
                <w:lang w:val="sq-AL"/>
              </w:rPr>
            </w:pPr>
          </w:p>
        </w:tc>
        <w:tc>
          <w:tcPr>
            <w:tcW w:w="1890" w:type="dxa"/>
            <w:shd w:val="clear" w:color="auto" w:fill="auto"/>
            <w:tcMar>
              <w:top w:w="15" w:type="dxa"/>
              <w:left w:w="75" w:type="dxa"/>
              <w:bottom w:w="15" w:type="dxa"/>
              <w:right w:w="75" w:type="dxa"/>
            </w:tcMar>
          </w:tcPr>
          <w:p w14:paraId="7CBD55C2" w14:textId="396DA71F" w:rsidR="00EE7FD9" w:rsidRPr="00641640" w:rsidRDefault="00512B4B" w:rsidP="003A395D">
            <w:pPr>
              <w:spacing w:line="276" w:lineRule="auto"/>
              <w:jc w:val="center"/>
              <w:rPr>
                <w:rFonts w:ascii="Times New Roman" w:eastAsia="Arial" w:hAnsi="Times New Roman" w:cs="Times New Roman"/>
                <w:noProof/>
                <w:sz w:val="24"/>
                <w:szCs w:val="24"/>
                <w:lang w:val="sq-AL"/>
              </w:rPr>
            </w:pPr>
            <w:r w:rsidRPr="00641640">
              <w:rPr>
                <w:rFonts w:ascii="Times New Roman" w:eastAsia="Arial" w:hAnsi="Times New Roman" w:cs="Times New Roman"/>
                <w:noProof/>
                <w:sz w:val="24"/>
                <w:szCs w:val="24"/>
                <w:lang w:val="sq-AL"/>
              </w:rPr>
              <w:t>ASPA</w:t>
            </w:r>
          </w:p>
        </w:tc>
      </w:tr>
      <w:tr w:rsidR="00EE7FD9" w:rsidRPr="00641640" w14:paraId="6C913889" w14:textId="77777777" w:rsidTr="00F02DD3">
        <w:trPr>
          <w:trHeight w:val="473"/>
        </w:trPr>
        <w:tc>
          <w:tcPr>
            <w:tcW w:w="1072" w:type="dxa"/>
            <w:tcMar>
              <w:top w:w="15" w:type="dxa"/>
              <w:left w:w="75" w:type="dxa"/>
              <w:bottom w:w="15" w:type="dxa"/>
              <w:right w:w="75" w:type="dxa"/>
            </w:tcMar>
          </w:tcPr>
          <w:p w14:paraId="585C705F" w14:textId="0F0DFF7F" w:rsidR="00EE7FD9" w:rsidRPr="00641640" w:rsidRDefault="00FA5B46" w:rsidP="003A395D">
            <w:pPr>
              <w:spacing w:line="276" w:lineRule="auto"/>
              <w:rPr>
                <w:rFonts w:ascii="Times New Roman" w:eastAsiaTheme="minorHAnsi" w:hAnsi="Times New Roman" w:cs="Times New Roman"/>
                <w:noProof/>
                <w:color w:val="ED7D31" w:themeColor="accent2"/>
                <w:sz w:val="24"/>
                <w:szCs w:val="24"/>
                <w:lang w:val="sq-AL"/>
              </w:rPr>
            </w:pPr>
            <w:r w:rsidRPr="00641640">
              <w:rPr>
                <w:rFonts w:ascii="Times New Roman" w:hAnsi="Times New Roman" w:cs="Times New Roman"/>
                <w:noProof/>
                <w:sz w:val="24"/>
                <w:szCs w:val="24"/>
                <w:lang w:val="sq-AL"/>
              </w:rPr>
              <w:lastRenderedPageBreak/>
              <w:t>Rezultati</w:t>
            </w:r>
          </w:p>
        </w:tc>
        <w:tc>
          <w:tcPr>
            <w:tcW w:w="1890" w:type="dxa"/>
            <w:tcMar>
              <w:top w:w="15" w:type="dxa"/>
              <w:left w:w="75" w:type="dxa"/>
              <w:bottom w:w="15" w:type="dxa"/>
              <w:right w:w="75" w:type="dxa"/>
            </w:tcMar>
          </w:tcPr>
          <w:p w14:paraId="6D4FDAF4" w14:textId="0DC4640B" w:rsidR="00EE7FD9" w:rsidRPr="00641640" w:rsidRDefault="00777B84" w:rsidP="003A395D">
            <w:pPr>
              <w:spacing w:line="276" w:lineRule="auto"/>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2.3.3 Rëndësia e trajnimeve të ofruara nga ASPA</w:t>
            </w:r>
            <w:r w:rsidR="004217F9">
              <w:rPr>
                <w:rFonts w:ascii="Times New Roman" w:hAnsi="Times New Roman" w:cs="Times New Roman"/>
                <w:noProof/>
                <w:sz w:val="24"/>
                <w:szCs w:val="24"/>
                <w:lang w:val="sq-AL"/>
              </w:rPr>
              <w:t>.</w:t>
            </w:r>
          </w:p>
        </w:tc>
        <w:tc>
          <w:tcPr>
            <w:tcW w:w="2160" w:type="dxa"/>
          </w:tcPr>
          <w:p w14:paraId="2B8FB8CE" w14:textId="16BB5B89" w:rsidR="00EE7FD9" w:rsidRPr="00641640" w:rsidRDefault="00512B4B" w:rsidP="003A395D">
            <w:pPr>
              <w:spacing w:line="276" w:lineRule="auto"/>
              <w:rPr>
                <w:rFonts w:ascii="Times New Roman" w:eastAsia="Arial" w:hAnsi="Times New Roman" w:cs="Times New Roman"/>
                <w:b/>
                <w:bCs/>
                <w:noProof/>
                <w:sz w:val="24"/>
                <w:szCs w:val="24"/>
                <w:lang w:val="sq-AL"/>
              </w:rPr>
            </w:pPr>
            <w:r w:rsidRPr="00641640">
              <w:rPr>
                <w:rFonts w:ascii="Times New Roman" w:eastAsia="Arial" w:hAnsi="Times New Roman" w:cs="Times New Roman"/>
                <w:noProof/>
                <w:sz w:val="24"/>
                <w:szCs w:val="24"/>
                <w:lang w:val="sq-AL"/>
              </w:rPr>
              <w:t>Shërbimi civil dhe menaxhimi i burimeve njerëzore</w:t>
            </w:r>
          </w:p>
        </w:tc>
        <w:tc>
          <w:tcPr>
            <w:tcW w:w="2340" w:type="dxa"/>
          </w:tcPr>
          <w:p w14:paraId="6A80A419" w14:textId="77777777" w:rsidR="00512B4B" w:rsidRPr="00641640" w:rsidRDefault="00512B4B" w:rsidP="003A395D">
            <w:pPr>
              <w:spacing w:line="276" w:lineRule="auto"/>
              <w:jc w:val="both"/>
              <w:rPr>
                <w:rFonts w:ascii="Times New Roman" w:hAnsi="Times New Roman" w:cs="Times New Roman"/>
                <w:bCs/>
                <w:iCs/>
                <w:noProof/>
                <w:sz w:val="24"/>
                <w:szCs w:val="24"/>
                <w:lang w:val="sq-AL"/>
              </w:rPr>
            </w:pPr>
            <w:r w:rsidRPr="00641640">
              <w:rPr>
                <w:rFonts w:ascii="Times New Roman" w:hAnsi="Times New Roman" w:cs="Times New Roman"/>
                <w:bCs/>
                <w:iCs/>
                <w:noProof/>
                <w:sz w:val="24"/>
                <w:szCs w:val="24"/>
                <w:lang w:val="sq-AL"/>
              </w:rPr>
              <w:t>2.3 Investimi në zhvillimin profesional të nëpunësve të të gjitha niveleve të administratës publike për të mbështetur dhe avancuar agjendën kombëtare të integrimit evropian të Shqipërisë.</w:t>
            </w:r>
          </w:p>
          <w:p w14:paraId="43B17B8C" w14:textId="77777777" w:rsidR="00EE7FD9" w:rsidRPr="00641640" w:rsidRDefault="00EE7FD9" w:rsidP="003A395D">
            <w:pPr>
              <w:spacing w:line="276" w:lineRule="auto"/>
              <w:jc w:val="center"/>
              <w:rPr>
                <w:rFonts w:ascii="Times New Roman" w:eastAsia="Arial" w:hAnsi="Times New Roman" w:cs="Times New Roman"/>
                <w:b/>
                <w:bCs/>
                <w:noProof/>
                <w:sz w:val="24"/>
                <w:szCs w:val="24"/>
                <w:lang w:val="sq-AL"/>
              </w:rPr>
            </w:pPr>
          </w:p>
        </w:tc>
        <w:tc>
          <w:tcPr>
            <w:tcW w:w="1890" w:type="dxa"/>
            <w:tcMar>
              <w:top w:w="15" w:type="dxa"/>
              <w:left w:w="75" w:type="dxa"/>
              <w:bottom w:w="15" w:type="dxa"/>
              <w:right w:w="75" w:type="dxa"/>
            </w:tcMar>
          </w:tcPr>
          <w:p w14:paraId="0ADD72FE" w14:textId="62C44C96" w:rsidR="00EE7FD9" w:rsidRPr="00641640" w:rsidRDefault="00512B4B" w:rsidP="003A395D">
            <w:pPr>
              <w:spacing w:line="276" w:lineRule="auto"/>
              <w:jc w:val="center"/>
              <w:rPr>
                <w:rFonts w:ascii="Times New Roman" w:eastAsia="Arial" w:hAnsi="Times New Roman" w:cs="Times New Roman"/>
                <w:noProof/>
                <w:sz w:val="24"/>
                <w:szCs w:val="24"/>
                <w:lang w:val="sq-AL"/>
              </w:rPr>
            </w:pPr>
            <w:r w:rsidRPr="00641640">
              <w:rPr>
                <w:rFonts w:ascii="Times New Roman" w:eastAsia="Arial" w:hAnsi="Times New Roman" w:cs="Times New Roman"/>
                <w:noProof/>
                <w:sz w:val="24"/>
                <w:szCs w:val="24"/>
                <w:lang w:val="sq-AL"/>
              </w:rPr>
              <w:t>ASPA</w:t>
            </w:r>
          </w:p>
        </w:tc>
      </w:tr>
    </w:tbl>
    <w:p w14:paraId="132EA949" w14:textId="77777777" w:rsidR="001161DE" w:rsidRPr="00641640" w:rsidRDefault="001161DE" w:rsidP="003A395D">
      <w:pPr>
        <w:spacing w:line="276" w:lineRule="auto"/>
        <w:jc w:val="both"/>
        <w:rPr>
          <w:rFonts w:ascii="Times New Roman" w:hAnsi="Times New Roman" w:cs="Times New Roman"/>
          <w:b/>
          <w:bCs/>
          <w:iCs/>
          <w:noProof/>
          <w:sz w:val="24"/>
          <w:szCs w:val="24"/>
          <w:lang w:val="sq-AL"/>
        </w:rPr>
      </w:pPr>
    </w:p>
    <w:p w14:paraId="74DF47C9" w14:textId="77777777" w:rsidR="00AB58BF" w:rsidRPr="00641640" w:rsidRDefault="00AB58BF" w:rsidP="003A395D">
      <w:pPr>
        <w:spacing w:line="276" w:lineRule="auto"/>
        <w:jc w:val="both"/>
        <w:rPr>
          <w:rFonts w:ascii="Times New Roman" w:hAnsi="Times New Roman" w:cs="Times New Roman"/>
          <w:b/>
          <w:bCs/>
          <w:iCs/>
          <w:noProof/>
          <w:sz w:val="24"/>
          <w:szCs w:val="24"/>
          <w:lang w:val="sq-AL"/>
        </w:rPr>
      </w:pPr>
    </w:p>
    <w:p w14:paraId="00211EE1" w14:textId="184EB7A0" w:rsidR="001161DE" w:rsidRPr="00641640" w:rsidRDefault="001161DE" w:rsidP="003A395D">
      <w:pPr>
        <w:spacing w:line="276" w:lineRule="auto"/>
        <w:jc w:val="both"/>
        <w:rPr>
          <w:rFonts w:ascii="Times New Roman" w:hAnsi="Times New Roman" w:cs="Times New Roman"/>
          <w:b/>
          <w:bCs/>
          <w:i/>
          <w:iCs/>
          <w:noProof/>
          <w:sz w:val="24"/>
          <w:szCs w:val="24"/>
          <w:lang w:val="sq-AL"/>
        </w:rPr>
      </w:pPr>
      <w:r w:rsidRPr="00641640">
        <w:rPr>
          <w:rFonts w:ascii="Times New Roman" w:hAnsi="Times New Roman" w:cs="Times New Roman"/>
          <w:b/>
          <w:bCs/>
          <w:i/>
          <w:iCs/>
          <w:noProof/>
          <w:sz w:val="24"/>
          <w:szCs w:val="24"/>
          <w:lang w:val="sq-AL"/>
        </w:rPr>
        <w:t>Komponenti 2.4</w:t>
      </w:r>
      <w:r w:rsidR="00AB58BF" w:rsidRPr="00641640">
        <w:rPr>
          <w:rFonts w:ascii="Times New Roman" w:hAnsi="Times New Roman" w:cs="Times New Roman"/>
          <w:b/>
          <w:bCs/>
          <w:i/>
          <w:iCs/>
          <w:noProof/>
          <w:sz w:val="24"/>
          <w:szCs w:val="24"/>
          <w:lang w:val="sq-AL"/>
        </w:rPr>
        <w:t xml:space="preserve">: </w:t>
      </w:r>
      <w:r w:rsidRPr="00641640">
        <w:rPr>
          <w:rFonts w:ascii="Times New Roman" w:hAnsi="Times New Roman" w:cs="Times New Roman"/>
          <w:b/>
          <w:bCs/>
          <w:i/>
          <w:iCs/>
          <w:noProof/>
          <w:sz w:val="24"/>
          <w:szCs w:val="24"/>
          <w:lang w:val="sq-AL"/>
        </w:rPr>
        <w:t>Sistemet elektronike për menaxhimin e burimeve njerëzore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E4"/>
        <w:tblLook w:val="04A0" w:firstRow="1" w:lastRow="0" w:firstColumn="1" w:lastColumn="0" w:noHBand="0" w:noVBand="1"/>
      </w:tblPr>
      <w:tblGrid>
        <w:gridCol w:w="516"/>
        <w:gridCol w:w="8844"/>
      </w:tblGrid>
      <w:tr w:rsidR="00AB58BF" w:rsidRPr="00641640" w14:paraId="4296E574" w14:textId="77777777" w:rsidTr="00AB58BF">
        <w:tc>
          <w:tcPr>
            <w:tcW w:w="445" w:type="dxa"/>
            <w:shd w:val="clear" w:color="auto" w:fill="EAF4E4"/>
          </w:tcPr>
          <w:p w14:paraId="7B384306" w14:textId="4373AEF8" w:rsidR="00AB58BF" w:rsidRPr="00641640" w:rsidRDefault="00AB58BF" w:rsidP="003A395D">
            <w:pPr>
              <w:spacing w:line="276" w:lineRule="auto"/>
              <w:jc w:val="both"/>
              <w:rPr>
                <w:rFonts w:ascii="Times New Roman" w:hAnsi="Times New Roman" w:cs="Times New Roman"/>
                <w:b/>
                <w:bCs/>
                <w:noProof/>
                <w:color w:val="003300"/>
                <w:sz w:val="24"/>
                <w:szCs w:val="24"/>
                <w:lang w:val="sq-AL"/>
              </w:rPr>
            </w:pPr>
            <w:r w:rsidRPr="00641640">
              <w:rPr>
                <w:rFonts w:ascii="Times New Roman" w:hAnsi="Times New Roman" w:cs="Times New Roman"/>
                <w:b/>
                <w:bCs/>
                <w:noProof/>
                <w:color w:val="003300"/>
                <w:sz w:val="24"/>
                <w:szCs w:val="24"/>
                <w:lang w:val="sq-AL"/>
              </w:rPr>
              <w:t>2.4</w:t>
            </w:r>
          </w:p>
        </w:tc>
        <w:tc>
          <w:tcPr>
            <w:tcW w:w="8905" w:type="dxa"/>
            <w:shd w:val="clear" w:color="auto" w:fill="EAF4E4"/>
          </w:tcPr>
          <w:p w14:paraId="38702DB9" w14:textId="2AA278C9" w:rsidR="00AB58BF" w:rsidRPr="00641640" w:rsidRDefault="00AB58BF" w:rsidP="003A395D">
            <w:pPr>
              <w:spacing w:line="276" w:lineRule="auto"/>
              <w:jc w:val="both"/>
              <w:rPr>
                <w:rFonts w:ascii="Times New Roman" w:hAnsi="Times New Roman" w:cs="Times New Roman"/>
                <w:b/>
                <w:bCs/>
                <w:noProof/>
                <w:color w:val="003300"/>
                <w:sz w:val="24"/>
                <w:szCs w:val="24"/>
                <w:lang w:val="sq-AL"/>
              </w:rPr>
            </w:pPr>
            <w:r w:rsidRPr="00641640">
              <w:rPr>
                <w:rFonts w:ascii="Times New Roman" w:hAnsi="Times New Roman" w:cs="Times New Roman"/>
                <w:b/>
                <w:noProof/>
                <w:color w:val="003300"/>
                <w:sz w:val="24"/>
                <w:szCs w:val="24"/>
                <w:lang w:val="sq-AL"/>
              </w:rPr>
              <w:t>Objektivi specifik 2.4: Procedurat e Menaxhimit të Burimeve Njerëzore facilitohen nga sistemet e gjenerimit të të dhënave të sakta dhe përdorimi i plotë i teknologjisë për thjeshtimin e proceseve të punës në fushën e MBNJ</w:t>
            </w:r>
          </w:p>
        </w:tc>
      </w:tr>
    </w:tbl>
    <w:p w14:paraId="4CFAA82A" w14:textId="63EB366E" w:rsidR="001161DE" w:rsidRPr="00641640" w:rsidRDefault="001161DE" w:rsidP="003A395D">
      <w:pPr>
        <w:shd w:val="clear" w:color="auto" w:fill="FFFFFF"/>
        <w:spacing w:before="240" w:line="276" w:lineRule="auto"/>
        <w:jc w:val="both"/>
        <w:textAlignment w:val="baseline"/>
        <w:rPr>
          <w:rFonts w:ascii="Times New Roman" w:hAnsi="Times New Roman" w:cs="Times New Roman"/>
          <w:b/>
          <w:bCs/>
          <w:noProof/>
          <w:color w:val="000000" w:themeColor="text1"/>
          <w:sz w:val="24"/>
          <w:szCs w:val="24"/>
          <w:lang w:val="sq-AL"/>
        </w:rPr>
      </w:pPr>
      <w:r w:rsidRPr="00641640">
        <w:rPr>
          <w:rFonts w:ascii="Times New Roman" w:hAnsi="Times New Roman" w:cs="Times New Roman"/>
          <w:b/>
          <w:bCs/>
          <w:noProof/>
          <w:color w:val="000000" w:themeColor="text1"/>
          <w:sz w:val="24"/>
          <w:szCs w:val="24"/>
          <w:lang w:val="sq-AL"/>
        </w:rPr>
        <w:t>Prioritetet</w:t>
      </w:r>
    </w:p>
    <w:p w14:paraId="47122A28" w14:textId="77777777" w:rsidR="001161DE" w:rsidRPr="00641640" w:rsidRDefault="001161D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Sistemet elektronike përdoren gjerësisht për të ndihmuar në menaxhimin e proceseve të ndryshme të punës. Përdorimi i këtyre sistemeve për të lehtësuar dhe përmirësuar procedurat ekzistuese të menaxhimit të burimeve njerëzore do të ndihmojnë jo vetëm në rritjen e efikasitetit dhe shpejtësisë së këtyre proceseve, por do të kontribuojnë edhe në ndërtimin dhe konsolidimin e një administrate të gjelbër, ku përdorimi i letrave dhe shkresave do të reduktohet maksimalisht. </w:t>
      </w:r>
    </w:p>
    <w:p w14:paraId="1EE816DA" w14:textId="77777777" w:rsidR="001161DE" w:rsidRPr="00641640" w:rsidRDefault="001161D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Pas sulmit kibernetik të vitit 2022, Regjistri Qendror i Personelit ka hyrë në një fazë rishikimi tërësor në drejtim të organizimit të sistemit teknologjik mbështetës, ashtu edhe në drejtim të proceseve të punës që mbështet. Ky proces përditësimi i sistemit ka për qëllim thjeshtësimin e përdorimit, ashtu edhe rritjen e sigurisë ndaj sulmeve të mundshme kibernetike. Zbatimi i procesit të rishikimit të sistemit do të zhvillohet në disa faza, në përfundim të të cilave parashikohet që sistemi të jetë operativ me të gjitha funksionalitetet në vitin 2028.</w:t>
      </w:r>
    </w:p>
    <w:p w14:paraId="48C16643" w14:textId="77777777" w:rsidR="001161DE" w:rsidRPr="00641640" w:rsidRDefault="001161D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Një ndër funksionet kryesore që do të zhvillohet përmes përditësimit të sistemit është gjenerimi automatik i listës së pagave të institucioneve, duke mundësuar llogaritjen elektronike të pagave dhe të kostos së tyre për institucionet publike. Kjo do të lehtësojë gjithashtu edhe kryerjen e skenarëve për ndërmarrjen e politikave të caktuara në këtë fushë.</w:t>
      </w:r>
    </w:p>
    <w:p w14:paraId="3E7CF39A" w14:textId="77777777" w:rsidR="001161DE" w:rsidRPr="00641640" w:rsidRDefault="001161DE" w:rsidP="00F863E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Në përputhje me iniciativat e Qeverisë Shqiptare për digjitalizimin e mëtejshëm të proceseve të punës, do të zhvillohen formate dhe modele të veçanta elektronike, mes të tjerash, edhe për </w:t>
      </w:r>
      <w:r w:rsidRPr="00641640">
        <w:rPr>
          <w:rFonts w:ascii="Times New Roman" w:hAnsi="Times New Roman" w:cs="Times New Roman"/>
          <w:noProof/>
          <w:sz w:val="24"/>
          <w:szCs w:val="24"/>
          <w:lang w:val="sq-AL"/>
        </w:rPr>
        <w:lastRenderedPageBreak/>
        <w:t>kryerjen e një serie procesesh për menaxhimin e burimeve njerëzore. Këto formate do të ndihmojnë institucionet që të standardizojnë komunikimin dhe të përmirësojnë efikasitetin e proceseve të ndryshme të punës, duke reduktuar ndjeshëm gabimet. Procesi do të mbështetet nga trajnime të dedikuara për nëpunësit e përfshirë dhe do të shoqërohet nga Raporte të posaçme Monitorimi për të siguruar funksionimin efikas të sistemeve dhe përdorimin e tyre optimal.</w:t>
      </w:r>
    </w:p>
    <w:p w14:paraId="1B2E6EAB" w14:textId="77777777" w:rsidR="00B7129A" w:rsidRPr="00641640" w:rsidRDefault="00B7129A" w:rsidP="00F863ED">
      <w:p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imes New Roman" w:hAnsi="Times New Roman" w:cs="Times New Roman"/>
          <w:b/>
          <w:bCs/>
          <w:noProof/>
          <w:sz w:val="24"/>
          <w:szCs w:val="24"/>
          <w:lang w:val="sq-AL"/>
        </w:rPr>
        <w:t>Rezultatet e pritshme nga zbatimi i masave që lidhen me Objektivin Specifik</w:t>
      </w:r>
    </w:p>
    <w:p w14:paraId="5B3FAAE8" w14:textId="60996BA2" w:rsidR="00B7129A" w:rsidRPr="00641640" w:rsidRDefault="00B7129A"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 xml:space="preserve">Objektivi Specifik </w:t>
      </w:r>
      <w:r w:rsidR="00F44778" w:rsidRPr="00641640">
        <w:rPr>
          <w:rFonts w:ascii="Times New Roman" w:eastAsia="Times New Roman" w:hAnsi="Times New Roman" w:cs="Times New Roman"/>
          <w:noProof/>
          <w:sz w:val="24"/>
          <w:szCs w:val="24"/>
          <w:lang w:val="sq-AL"/>
        </w:rPr>
        <w:t>2.4</w:t>
      </w:r>
      <w:r w:rsidRPr="00641640">
        <w:rPr>
          <w:rFonts w:ascii="Times New Roman" w:eastAsia="Times New Roman" w:hAnsi="Times New Roman" w:cs="Times New Roman"/>
          <w:noProof/>
          <w:sz w:val="24"/>
          <w:szCs w:val="24"/>
          <w:lang w:val="sq-AL"/>
        </w:rPr>
        <w:t>, synon t</w:t>
      </w:r>
      <w:r w:rsidR="00BF4207"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 xml:space="preserve"> adresoj</w:t>
      </w:r>
      <w:r w:rsidR="00BF4207"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 xml:space="preserve"> t</w:t>
      </w:r>
      <w:r w:rsidR="00BF4207"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 xml:space="preserve"> gjitha </w:t>
      </w:r>
      <w:r w:rsidR="00F12FEB" w:rsidRPr="00641640">
        <w:rPr>
          <w:rFonts w:ascii="Times New Roman" w:eastAsia="Times New Roman" w:hAnsi="Times New Roman" w:cs="Times New Roman"/>
          <w:noProof/>
          <w:sz w:val="24"/>
          <w:szCs w:val="24"/>
          <w:lang w:val="sq-AL"/>
        </w:rPr>
        <w:t>iniciativat</w:t>
      </w:r>
      <w:r w:rsidR="004B0185" w:rsidRPr="00641640">
        <w:rPr>
          <w:rFonts w:ascii="Times New Roman" w:eastAsia="Times New Roman" w:hAnsi="Times New Roman" w:cs="Times New Roman"/>
          <w:noProof/>
          <w:sz w:val="24"/>
          <w:szCs w:val="24"/>
          <w:lang w:val="sq-AL"/>
        </w:rPr>
        <w:t xml:space="preserve"> p</w:t>
      </w:r>
      <w:r w:rsidR="00BF4207" w:rsidRPr="00641640">
        <w:rPr>
          <w:rFonts w:ascii="Times New Roman" w:eastAsia="Times New Roman" w:hAnsi="Times New Roman" w:cs="Times New Roman"/>
          <w:noProof/>
          <w:sz w:val="24"/>
          <w:szCs w:val="24"/>
          <w:lang w:val="sq-AL"/>
        </w:rPr>
        <w:t>ë</w:t>
      </w:r>
      <w:r w:rsidR="004B0185" w:rsidRPr="00641640">
        <w:rPr>
          <w:rFonts w:ascii="Times New Roman" w:eastAsia="Times New Roman" w:hAnsi="Times New Roman" w:cs="Times New Roman"/>
          <w:noProof/>
          <w:sz w:val="24"/>
          <w:szCs w:val="24"/>
          <w:lang w:val="sq-AL"/>
        </w:rPr>
        <w:t xml:space="preserve">r digjitalizimin </w:t>
      </w:r>
      <w:r w:rsidR="0037558E" w:rsidRPr="00641640">
        <w:rPr>
          <w:rFonts w:ascii="Times New Roman" w:eastAsia="Times New Roman" w:hAnsi="Times New Roman" w:cs="Times New Roman"/>
          <w:noProof/>
          <w:sz w:val="24"/>
          <w:szCs w:val="24"/>
          <w:lang w:val="sq-AL"/>
        </w:rPr>
        <w:t>e proceseve t</w:t>
      </w:r>
      <w:r w:rsidR="00BF4207" w:rsidRPr="00641640">
        <w:rPr>
          <w:rFonts w:ascii="Times New Roman" w:eastAsia="Times New Roman" w:hAnsi="Times New Roman" w:cs="Times New Roman"/>
          <w:noProof/>
          <w:sz w:val="24"/>
          <w:szCs w:val="24"/>
          <w:lang w:val="sq-AL"/>
        </w:rPr>
        <w:t>ë</w:t>
      </w:r>
      <w:r w:rsidR="0037558E" w:rsidRPr="00641640">
        <w:rPr>
          <w:rFonts w:ascii="Times New Roman" w:eastAsia="Times New Roman" w:hAnsi="Times New Roman" w:cs="Times New Roman"/>
          <w:noProof/>
          <w:sz w:val="24"/>
          <w:szCs w:val="24"/>
          <w:lang w:val="sq-AL"/>
        </w:rPr>
        <w:t xml:space="preserve"> pun</w:t>
      </w:r>
      <w:r w:rsidR="00BF4207" w:rsidRPr="00641640">
        <w:rPr>
          <w:rFonts w:ascii="Times New Roman" w:eastAsia="Times New Roman" w:hAnsi="Times New Roman" w:cs="Times New Roman"/>
          <w:noProof/>
          <w:sz w:val="24"/>
          <w:szCs w:val="24"/>
          <w:lang w:val="sq-AL"/>
        </w:rPr>
        <w:t>ë</w:t>
      </w:r>
      <w:r w:rsidR="0037558E" w:rsidRPr="00641640">
        <w:rPr>
          <w:rFonts w:ascii="Times New Roman" w:eastAsia="Times New Roman" w:hAnsi="Times New Roman" w:cs="Times New Roman"/>
          <w:noProof/>
          <w:sz w:val="24"/>
          <w:szCs w:val="24"/>
          <w:lang w:val="sq-AL"/>
        </w:rPr>
        <w:t xml:space="preserve">s </w:t>
      </w:r>
      <w:r w:rsidR="00264237" w:rsidRPr="00641640">
        <w:rPr>
          <w:rFonts w:ascii="Times New Roman" w:eastAsia="Times New Roman" w:hAnsi="Times New Roman" w:cs="Times New Roman"/>
          <w:noProof/>
          <w:sz w:val="24"/>
          <w:szCs w:val="24"/>
          <w:lang w:val="sq-AL"/>
        </w:rPr>
        <w:t>n</w:t>
      </w:r>
      <w:r w:rsidR="00BF4207" w:rsidRPr="00641640">
        <w:rPr>
          <w:rFonts w:ascii="Times New Roman" w:eastAsia="Times New Roman" w:hAnsi="Times New Roman" w:cs="Times New Roman"/>
          <w:noProof/>
          <w:sz w:val="24"/>
          <w:szCs w:val="24"/>
          <w:lang w:val="sq-AL"/>
        </w:rPr>
        <w:t>ë</w:t>
      </w:r>
      <w:r w:rsidR="00264237" w:rsidRPr="00641640">
        <w:rPr>
          <w:rFonts w:ascii="Times New Roman" w:eastAsia="Times New Roman" w:hAnsi="Times New Roman" w:cs="Times New Roman"/>
          <w:noProof/>
          <w:sz w:val="24"/>
          <w:szCs w:val="24"/>
          <w:lang w:val="sq-AL"/>
        </w:rPr>
        <w:t>p</w:t>
      </w:r>
      <w:r w:rsidR="00BF4207" w:rsidRPr="00641640">
        <w:rPr>
          <w:rFonts w:ascii="Times New Roman" w:eastAsia="Times New Roman" w:hAnsi="Times New Roman" w:cs="Times New Roman"/>
          <w:noProof/>
          <w:sz w:val="24"/>
          <w:szCs w:val="24"/>
          <w:lang w:val="sq-AL"/>
        </w:rPr>
        <w:t>ë</w:t>
      </w:r>
      <w:r w:rsidR="00264237" w:rsidRPr="00641640">
        <w:rPr>
          <w:rFonts w:ascii="Times New Roman" w:eastAsia="Times New Roman" w:hAnsi="Times New Roman" w:cs="Times New Roman"/>
          <w:noProof/>
          <w:sz w:val="24"/>
          <w:szCs w:val="24"/>
          <w:lang w:val="sq-AL"/>
        </w:rPr>
        <w:t>rmjet sistemeve elektronike p</w:t>
      </w:r>
      <w:r w:rsidR="00BF4207" w:rsidRPr="00641640">
        <w:rPr>
          <w:rFonts w:ascii="Times New Roman" w:eastAsia="Times New Roman" w:hAnsi="Times New Roman" w:cs="Times New Roman"/>
          <w:noProof/>
          <w:sz w:val="24"/>
          <w:szCs w:val="24"/>
          <w:lang w:val="sq-AL"/>
        </w:rPr>
        <w:t>ë</w:t>
      </w:r>
      <w:r w:rsidR="00264237" w:rsidRPr="00641640">
        <w:rPr>
          <w:rFonts w:ascii="Times New Roman" w:eastAsia="Times New Roman" w:hAnsi="Times New Roman" w:cs="Times New Roman"/>
          <w:noProof/>
          <w:sz w:val="24"/>
          <w:szCs w:val="24"/>
          <w:lang w:val="sq-AL"/>
        </w:rPr>
        <w:t>r menaxhimin e burimeve njer</w:t>
      </w:r>
      <w:r w:rsidR="00BF4207" w:rsidRPr="00641640">
        <w:rPr>
          <w:rFonts w:ascii="Times New Roman" w:eastAsia="Times New Roman" w:hAnsi="Times New Roman" w:cs="Times New Roman"/>
          <w:noProof/>
          <w:sz w:val="24"/>
          <w:szCs w:val="24"/>
          <w:lang w:val="sq-AL"/>
        </w:rPr>
        <w:t>ë</w:t>
      </w:r>
      <w:r w:rsidR="00264237" w:rsidRPr="00641640">
        <w:rPr>
          <w:rFonts w:ascii="Times New Roman" w:eastAsia="Times New Roman" w:hAnsi="Times New Roman" w:cs="Times New Roman"/>
          <w:noProof/>
          <w:sz w:val="24"/>
          <w:szCs w:val="24"/>
          <w:lang w:val="sq-AL"/>
        </w:rPr>
        <w:t>zore.</w:t>
      </w:r>
      <w:r w:rsidR="000C0250" w:rsidRPr="00641640">
        <w:rPr>
          <w:rFonts w:ascii="Times New Roman" w:eastAsia="Times New Roman" w:hAnsi="Times New Roman" w:cs="Times New Roman"/>
          <w:noProof/>
          <w:sz w:val="24"/>
          <w:szCs w:val="24"/>
          <w:lang w:val="sq-AL"/>
        </w:rPr>
        <w:t xml:space="preserve"> </w:t>
      </w:r>
      <w:r w:rsidRPr="00641640">
        <w:rPr>
          <w:rFonts w:ascii="Times New Roman" w:eastAsia="Times New Roman" w:hAnsi="Times New Roman" w:cs="Times New Roman"/>
          <w:noProof/>
          <w:sz w:val="24"/>
          <w:szCs w:val="24"/>
          <w:lang w:val="sq-AL"/>
        </w:rPr>
        <w:t>Rezultate t</w:t>
      </w:r>
      <w:r w:rsidR="00BF4207"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 xml:space="preserve"> pritshme p</w:t>
      </w:r>
      <w:r w:rsidR="00BF4207"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r k</w:t>
      </w:r>
      <w:r w:rsidR="00BF4207"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t</w:t>
      </w:r>
      <w:r w:rsidR="00BF4207"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 xml:space="preserve"> objektiv p</w:t>
      </w:r>
      <w:r w:rsidR="00BF4207"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rmenden:</w:t>
      </w:r>
    </w:p>
    <w:p w14:paraId="348C5D93" w14:textId="374E4313" w:rsidR="00B7129A" w:rsidRPr="00641640" w:rsidRDefault="00B7129A" w:rsidP="00F863ED">
      <w:pPr>
        <w:spacing w:line="276" w:lineRule="auto"/>
        <w:jc w:val="both"/>
        <w:rPr>
          <w:rFonts w:ascii="Times New Roman" w:eastAsiaTheme="minorHAnsi"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1:</w:t>
      </w:r>
      <w:r w:rsidRPr="00641640">
        <w:rPr>
          <w:rFonts w:ascii="Times New Roman" w:eastAsia="Times New Roman" w:hAnsi="Times New Roman" w:cs="Times New Roman"/>
          <w:noProof/>
          <w:sz w:val="24"/>
          <w:szCs w:val="24"/>
          <w:lang w:val="sq-AL"/>
        </w:rPr>
        <w:t xml:space="preserve"> </w:t>
      </w:r>
      <w:r w:rsidR="00287FBC" w:rsidRPr="00641640">
        <w:rPr>
          <w:rFonts w:ascii="Times New Roman" w:eastAsiaTheme="minorHAnsi" w:hAnsi="Times New Roman" w:cs="Times New Roman"/>
          <w:noProof/>
          <w:sz w:val="24"/>
          <w:szCs w:val="24"/>
          <w:lang w:val="sq-AL"/>
        </w:rPr>
        <w:t>P</w:t>
      </w:r>
      <w:r w:rsidR="00BF4207" w:rsidRPr="00641640">
        <w:rPr>
          <w:rFonts w:ascii="Times New Roman" w:eastAsiaTheme="minorHAnsi" w:hAnsi="Times New Roman" w:cs="Times New Roman"/>
          <w:noProof/>
          <w:sz w:val="24"/>
          <w:szCs w:val="24"/>
          <w:lang w:val="sq-AL"/>
        </w:rPr>
        <w:t>ë</w:t>
      </w:r>
      <w:r w:rsidR="00287FBC" w:rsidRPr="00641640">
        <w:rPr>
          <w:rFonts w:ascii="Times New Roman" w:eastAsiaTheme="minorHAnsi" w:hAnsi="Times New Roman" w:cs="Times New Roman"/>
          <w:noProof/>
          <w:sz w:val="24"/>
          <w:szCs w:val="24"/>
          <w:lang w:val="sq-AL"/>
        </w:rPr>
        <w:t>rdit</w:t>
      </w:r>
      <w:r w:rsidR="00BF4207" w:rsidRPr="00641640">
        <w:rPr>
          <w:rFonts w:ascii="Times New Roman" w:eastAsiaTheme="minorHAnsi" w:hAnsi="Times New Roman" w:cs="Times New Roman"/>
          <w:noProof/>
          <w:sz w:val="24"/>
          <w:szCs w:val="24"/>
          <w:lang w:val="sq-AL"/>
        </w:rPr>
        <w:t>ë</w:t>
      </w:r>
      <w:r w:rsidR="00287FBC" w:rsidRPr="00641640">
        <w:rPr>
          <w:rFonts w:ascii="Times New Roman" w:eastAsiaTheme="minorHAnsi" w:hAnsi="Times New Roman" w:cs="Times New Roman"/>
          <w:noProof/>
          <w:sz w:val="24"/>
          <w:szCs w:val="24"/>
          <w:lang w:val="sq-AL"/>
        </w:rPr>
        <w:t>sim dhe p</w:t>
      </w:r>
      <w:r w:rsidR="00BF4207" w:rsidRPr="00641640">
        <w:rPr>
          <w:rFonts w:ascii="Times New Roman" w:eastAsiaTheme="minorHAnsi" w:hAnsi="Times New Roman" w:cs="Times New Roman"/>
          <w:noProof/>
          <w:sz w:val="24"/>
          <w:szCs w:val="24"/>
          <w:lang w:val="sq-AL"/>
        </w:rPr>
        <w:t>ë</w:t>
      </w:r>
      <w:r w:rsidR="00287FBC" w:rsidRPr="00641640">
        <w:rPr>
          <w:rFonts w:ascii="Times New Roman" w:eastAsiaTheme="minorHAnsi" w:hAnsi="Times New Roman" w:cs="Times New Roman"/>
          <w:noProof/>
          <w:sz w:val="24"/>
          <w:szCs w:val="24"/>
          <w:lang w:val="sq-AL"/>
        </w:rPr>
        <w:t>rmir</w:t>
      </w:r>
      <w:r w:rsidR="00BF4207" w:rsidRPr="00641640">
        <w:rPr>
          <w:rFonts w:ascii="Times New Roman" w:eastAsiaTheme="minorHAnsi" w:hAnsi="Times New Roman" w:cs="Times New Roman"/>
          <w:noProof/>
          <w:sz w:val="24"/>
          <w:szCs w:val="24"/>
          <w:lang w:val="sq-AL"/>
        </w:rPr>
        <w:t>ë</w:t>
      </w:r>
      <w:r w:rsidR="00287FBC" w:rsidRPr="00641640">
        <w:rPr>
          <w:rFonts w:ascii="Times New Roman" w:eastAsiaTheme="minorHAnsi" w:hAnsi="Times New Roman" w:cs="Times New Roman"/>
          <w:noProof/>
          <w:sz w:val="24"/>
          <w:szCs w:val="24"/>
          <w:lang w:val="sq-AL"/>
        </w:rPr>
        <w:t>sim i vazhduesh</w:t>
      </w:r>
      <w:r w:rsidR="00BF4207" w:rsidRPr="00641640">
        <w:rPr>
          <w:rFonts w:ascii="Times New Roman" w:eastAsiaTheme="minorHAnsi" w:hAnsi="Times New Roman" w:cs="Times New Roman"/>
          <w:noProof/>
          <w:sz w:val="24"/>
          <w:szCs w:val="24"/>
          <w:lang w:val="sq-AL"/>
        </w:rPr>
        <w:t>ë</w:t>
      </w:r>
      <w:r w:rsidR="00287FBC" w:rsidRPr="00641640">
        <w:rPr>
          <w:rFonts w:ascii="Times New Roman" w:eastAsiaTheme="minorHAnsi" w:hAnsi="Times New Roman" w:cs="Times New Roman"/>
          <w:noProof/>
          <w:sz w:val="24"/>
          <w:szCs w:val="24"/>
          <w:lang w:val="sq-AL"/>
        </w:rPr>
        <w:t xml:space="preserve">m i </w:t>
      </w:r>
      <w:r w:rsidRPr="00641640">
        <w:rPr>
          <w:rFonts w:ascii="Times New Roman" w:eastAsiaTheme="minorHAnsi" w:hAnsi="Times New Roman" w:cs="Times New Roman"/>
          <w:noProof/>
          <w:sz w:val="24"/>
          <w:szCs w:val="24"/>
          <w:lang w:val="sq-AL"/>
        </w:rPr>
        <w:t xml:space="preserve"> </w:t>
      </w:r>
      <w:r w:rsidR="00AE5170" w:rsidRPr="00641640">
        <w:rPr>
          <w:rFonts w:ascii="Times New Roman" w:hAnsi="Times New Roman" w:cs="Times New Roman"/>
          <w:bCs/>
          <w:noProof/>
          <w:sz w:val="24"/>
          <w:szCs w:val="24"/>
          <w:lang w:val="sq-AL"/>
        </w:rPr>
        <w:t>Regjistrit Q</w:t>
      </w:r>
      <w:r w:rsidR="00BF4207" w:rsidRPr="00641640">
        <w:rPr>
          <w:rFonts w:ascii="Times New Roman" w:hAnsi="Times New Roman" w:cs="Times New Roman"/>
          <w:bCs/>
          <w:noProof/>
          <w:sz w:val="24"/>
          <w:szCs w:val="24"/>
          <w:lang w:val="sq-AL"/>
        </w:rPr>
        <w:t>ë</w:t>
      </w:r>
      <w:r w:rsidR="00AE5170" w:rsidRPr="00641640">
        <w:rPr>
          <w:rFonts w:ascii="Times New Roman" w:hAnsi="Times New Roman" w:cs="Times New Roman"/>
          <w:bCs/>
          <w:noProof/>
          <w:sz w:val="24"/>
          <w:szCs w:val="24"/>
          <w:lang w:val="sq-AL"/>
        </w:rPr>
        <w:t>ndror t</w:t>
      </w:r>
      <w:r w:rsidR="00BF4207" w:rsidRPr="00641640">
        <w:rPr>
          <w:rFonts w:ascii="Times New Roman" w:hAnsi="Times New Roman" w:cs="Times New Roman"/>
          <w:bCs/>
          <w:noProof/>
          <w:sz w:val="24"/>
          <w:szCs w:val="24"/>
          <w:lang w:val="sq-AL"/>
        </w:rPr>
        <w:t>ë</w:t>
      </w:r>
      <w:r w:rsidR="00AE5170" w:rsidRPr="00641640">
        <w:rPr>
          <w:rFonts w:ascii="Times New Roman" w:hAnsi="Times New Roman" w:cs="Times New Roman"/>
          <w:bCs/>
          <w:noProof/>
          <w:sz w:val="24"/>
          <w:szCs w:val="24"/>
          <w:lang w:val="sq-AL"/>
        </w:rPr>
        <w:t xml:space="preserve"> Personelit</w:t>
      </w:r>
      <w:r w:rsidR="00F05A00">
        <w:rPr>
          <w:rFonts w:ascii="Times New Roman" w:hAnsi="Times New Roman" w:cs="Times New Roman"/>
          <w:bCs/>
          <w:noProof/>
          <w:sz w:val="24"/>
          <w:szCs w:val="24"/>
          <w:lang w:val="sq-AL"/>
        </w:rPr>
        <w:t>.</w:t>
      </w:r>
    </w:p>
    <w:p w14:paraId="07EE9B56" w14:textId="16C3F76E" w:rsidR="00B7129A" w:rsidRPr="00641640" w:rsidRDefault="00B7129A" w:rsidP="00F863ED">
      <w:pPr>
        <w:spacing w:line="276" w:lineRule="auto"/>
        <w:jc w:val="both"/>
        <w:rPr>
          <w:rFonts w:ascii="Times New Roman" w:eastAsiaTheme="minorHAnsi" w:hAnsi="Times New Roman" w:cs="Times New Roman"/>
          <w:bCs/>
          <w:noProof/>
          <w:sz w:val="24"/>
          <w:szCs w:val="24"/>
          <w:lang w:val="sq-AL"/>
        </w:rPr>
      </w:pPr>
      <w:r w:rsidRPr="00641640">
        <w:rPr>
          <w:rFonts w:ascii="Times New Roman" w:eastAsia="Times New Roman" w:hAnsi="Times New Roman" w:cs="Times New Roman"/>
          <w:b/>
          <w:bCs/>
          <w:noProof/>
          <w:sz w:val="24"/>
          <w:szCs w:val="24"/>
          <w:lang w:val="sq-AL"/>
        </w:rPr>
        <w:t>Rezultati 2:</w:t>
      </w:r>
      <w:r w:rsidRPr="00641640">
        <w:rPr>
          <w:rFonts w:ascii="Times New Roman" w:eastAsia="Times New Roman" w:hAnsi="Times New Roman" w:cs="Times New Roman"/>
          <w:noProof/>
          <w:sz w:val="24"/>
          <w:szCs w:val="24"/>
          <w:lang w:val="sq-AL"/>
        </w:rPr>
        <w:t xml:space="preserve"> </w:t>
      </w:r>
      <w:r w:rsidR="008527A1" w:rsidRPr="00641640">
        <w:rPr>
          <w:rFonts w:ascii="Times New Roman" w:hAnsi="Times New Roman" w:cs="Times New Roman"/>
          <w:noProof/>
          <w:sz w:val="24"/>
          <w:szCs w:val="24"/>
          <w:lang w:val="sq-AL"/>
        </w:rPr>
        <w:t>Ndërveprim efikas i institucioneve publike përmes përdorimit të platformave të dedikuara</w:t>
      </w:r>
      <w:r w:rsidR="0042123B" w:rsidRPr="00641640">
        <w:rPr>
          <w:rFonts w:ascii="Times New Roman" w:hAnsi="Times New Roman" w:cs="Times New Roman"/>
          <w:noProof/>
          <w:sz w:val="24"/>
          <w:szCs w:val="24"/>
          <w:lang w:val="sq-AL"/>
        </w:rPr>
        <w:t>.</w:t>
      </w:r>
    </w:p>
    <w:p w14:paraId="67C9D7EE" w14:textId="20F1A398" w:rsidR="00B7129A" w:rsidRPr="00641640" w:rsidRDefault="00B7129A"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3:</w:t>
      </w:r>
      <w:r w:rsidRPr="00641640">
        <w:rPr>
          <w:rFonts w:ascii="Times New Roman" w:eastAsia="Times New Roman" w:hAnsi="Times New Roman" w:cs="Times New Roman"/>
          <w:noProof/>
          <w:sz w:val="24"/>
          <w:szCs w:val="24"/>
          <w:lang w:val="sq-AL"/>
        </w:rPr>
        <w:t xml:space="preserve"> </w:t>
      </w:r>
      <w:r w:rsidR="00B81C5F" w:rsidRPr="00641640">
        <w:rPr>
          <w:rFonts w:ascii="Times New Roman" w:eastAsiaTheme="minorHAnsi" w:hAnsi="Times New Roman" w:cs="Times New Roman"/>
          <w:noProof/>
          <w:sz w:val="24"/>
          <w:szCs w:val="24"/>
          <w:lang w:val="sq-AL"/>
        </w:rPr>
        <w:t>Forcimi i kapaciteteve institucionale</w:t>
      </w:r>
      <w:r w:rsidR="00A63A29" w:rsidRPr="00641640">
        <w:rPr>
          <w:rFonts w:ascii="Times New Roman" w:eastAsiaTheme="minorHAnsi" w:hAnsi="Times New Roman" w:cs="Times New Roman"/>
          <w:noProof/>
          <w:sz w:val="24"/>
          <w:szCs w:val="24"/>
          <w:lang w:val="sq-AL"/>
        </w:rPr>
        <w:t xml:space="preserve"> p</w:t>
      </w:r>
      <w:r w:rsidR="00BF4207" w:rsidRPr="00641640">
        <w:rPr>
          <w:rFonts w:ascii="Times New Roman" w:eastAsiaTheme="minorHAnsi" w:hAnsi="Times New Roman" w:cs="Times New Roman"/>
          <w:noProof/>
          <w:sz w:val="24"/>
          <w:szCs w:val="24"/>
          <w:lang w:val="sq-AL"/>
        </w:rPr>
        <w:t>ë</w:t>
      </w:r>
      <w:r w:rsidR="00A63A29" w:rsidRPr="00641640">
        <w:rPr>
          <w:rFonts w:ascii="Times New Roman" w:eastAsiaTheme="minorHAnsi" w:hAnsi="Times New Roman" w:cs="Times New Roman"/>
          <w:noProof/>
          <w:sz w:val="24"/>
          <w:szCs w:val="24"/>
          <w:lang w:val="sq-AL"/>
        </w:rPr>
        <w:t>r n</w:t>
      </w:r>
      <w:r w:rsidR="00BF4207" w:rsidRPr="00641640">
        <w:rPr>
          <w:rFonts w:ascii="Times New Roman" w:eastAsiaTheme="minorHAnsi" w:hAnsi="Times New Roman" w:cs="Times New Roman"/>
          <w:noProof/>
          <w:sz w:val="24"/>
          <w:szCs w:val="24"/>
          <w:lang w:val="sq-AL"/>
        </w:rPr>
        <w:t>ë</w:t>
      </w:r>
      <w:r w:rsidR="00A63A29" w:rsidRPr="00641640">
        <w:rPr>
          <w:rFonts w:ascii="Times New Roman" w:eastAsiaTheme="minorHAnsi" w:hAnsi="Times New Roman" w:cs="Times New Roman"/>
          <w:noProof/>
          <w:sz w:val="24"/>
          <w:szCs w:val="24"/>
          <w:lang w:val="sq-AL"/>
        </w:rPr>
        <w:t>pun</w:t>
      </w:r>
      <w:r w:rsidR="00BF4207" w:rsidRPr="00641640">
        <w:rPr>
          <w:rFonts w:ascii="Times New Roman" w:eastAsiaTheme="minorHAnsi" w:hAnsi="Times New Roman" w:cs="Times New Roman"/>
          <w:noProof/>
          <w:sz w:val="24"/>
          <w:szCs w:val="24"/>
          <w:lang w:val="sq-AL"/>
        </w:rPr>
        <w:t>ë</w:t>
      </w:r>
      <w:r w:rsidR="00A63A29" w:rsidRPr="00641640">
        <w:rPr>
          <w:rFonts w:ascii="Times New Roman" w:eastAsiaTheme="minorHAnsi" w:hAnsi="Times New Roman" w:cs="Times New Roman"/>
          <w:noProof/>
          <w:sz w:val="24"/>
          <w:szCs w:val="24"/>
          <w:lang w:val="sq-AL"/>
        </w:rPr>
        <w:t>sit e Burimeve Njer</w:t>
      </w:r>
      <w:r w:rsidR="00BF4207" w:rsidRPr="00641640">
        <w:rPr>
          <w:rFonts w:ascii="Times New Roman" w:eastAsiaTheme="minorHAnsi" w:hAnsi="Times New Roman" w:cs="Times New Roman"/>
          <w:noProof/>
          <w:sz w:val="24"/>
          <w:szCs w:val="24"/>
          <w:lang w:val="sq-AL"/>
        </w:rPr>
        <w:t>ë</w:t>
      </w:r>
      <w:r w:rsidR="00A63A29" w:rsidRPr="00641640">
        <w:rPr>
          <w:rFonts w:ascii="Times New Roman" w:eastAsiaTheme="minorHAnsi" w:hAnsi="Times New Roman" w:cs="Times New Roman"/>
          <w:noProof/>
          <w:sz w:val="24"/>
          <w:szCs w:val="24"/>
          <w:lang w:val="sq-AL"/>
        </w:rPr>
        <w:t>zore</w:t>
      </w:r>
      <w:r w:rsidR="00BF4207" w:rsidRPr="00641640">
        <w:rPr>
          <w:rFonts w:ascii="Times New Roman" w:hAnsi="Times New Roman" w:cs="Times New Roman"/>
          <w:noProof/>
          <w:sz w:val="24"/>
          <w:szCs w:val="24"/>
          <w:lang w:val="sq-AL"/>
        </w:rPr>
        <w:t xml:space="preserve"> në të gjitha institucionet publike,</w:t>
      </w:r>
      <w:r w:rsidR="00B81C5F" w:rsidRPr="00641640">
        <w:rPr>
          <w:rFonts w:ascii="Times New Roman" w:eastAsiaTheme="minorHAnsi" w:hAnsi="Times New Roman" w:cs="Times New Roman"/>
          <w:noProof/>
          <w:sz w:val="24"/>
          <w:szCs w:val="24"/>
          <w:lang w:val="sq-AL"/>
        </w:rPr>
        <w:t xml:space="preserve"> </w:t>
      </w:r>
      <w:r w:rsidR="00783489" w:rsidRPr="00641640">
        <w:rPr>
          <w:rFonts w:ascii="Times New Roman" w:hAnsi="Times New Roman" w:cs="Times New Roman"/>
          <w:noProof/>
          <w:sz w:val="24"/>
          <w:szCs w:val="24"/>
          <w:lang w:val="sq-AL"/>
        </w:rPr>
        <w:t>mbi modulet e HRMIS</w:t>
      </w:r>
      <w:r w:rsidR="00BF4207" w:rsidRPr="00641640">
        <w:rPr>
          <w:rFonts w:ascii="Times New Roman" w:hAnsi="Times New Roman" w:cs="Times New Roman"/>
          <w:noProof/>
          <w:sz w:val="24"/>
          <w:szCs w:val="24"/>
          <w:lang w:val="sq-AL"/>
        </w:rPr>
        <w:t>.</w:t>
      </w:r>
    </w:p>
    <w:p w14:paraId="456DAD50" w14:textId="0D3784B3" w:rsidR="00B7129A" w:rsidRPr="00641640" w:rsidRDefault="00B7129A"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kryesore:</w:t>
      </w:r>
      <w:r w:rsidRPr="00641640">
        <w:rPr>
          <w:rFonts w:ascii="Times New Roman" w:eastAsia="Times New Roman" w:hAnsi="Times New Roman" w:cs="Times New Roman"/>
          <w:noProof/>
          <w:sz w:val="24"/>
          <w:szCs w:val="24"/>
          <w:lang w:val="sq-AL"/>
        </w:rPr>
        <w:t xml:space="preserve"> </w:t>
      </w:r>
      <w:r w:rsidR="00246B0F">
        <w:rPr>
          <w:rFonts w:ascii="Times New Roman" w:eastAsia="Times New Roman" w:hAnsi="Times New Roman" w:cs="Times New Roman"/>
          <w:noProof/>
          <w:sz w:val="24"/>
          <w:szCs w:val="24"/>
          <w:lang w:val="sq-AL"/>
        </w:rPr>
        <w:t>DAP</w:t>
      </w:r>
      <w:r w:rsidR="0092392E">
        <w:rPr>
          <w:rFonts w:ascii="Times New Roman" w:eastAsia="Times New Roman" w:hAnsi="Times New Roman" w:cs="Times New Roman"/>
          <w:noProof/>
          <w:sz w:val="24"/>
          <w:szCs w:val="24"/>
          <w:lang w:val="sq-AL"/>
        </w:rPr>
        <w:t>, AKSHI</w:t>
      </w:r>
      <w:r w:rsidR="00246B0F">
        <w:rPr>
          <w:rFonts w:ascii="Times New Roman" w:eastAsia="Times New Roman" w:hAnsi="Times New Roman" w:cs="Times New Roman"/>
          <w:noProof/>
          <w:sz w:val="24"/>
          <w:szCs w:val="24"/>
          <w:lang w:val="sq-AL"/>
        </w:rPr>
        <w:t>, ASPA</w:t>
      </w:r>
      <w:r w:rsidR="002321C3" w:rsidRPr="00641640">
        <w:rPr>
          <w:rFonts w:ascii="Times New Roman" w:eastAsia="Times New Roman" w:hAnsi="Times New Roman" w:cs="Times New Roman"/>
          <w:noProof/>
          <w:sz w:val="24"/>
          <w:szCs w:val="24"/>
          <w:lang w:val="sq-AL"/>
        </w:rPr>
        <w:t xml:space="preserve">. </w:t>
      </w:r>
    </w:p>
    <w:p w14:paraId="3064D2E3" w14:textId="3A3FF79F" w:rsidR="00B7129A" w:rsidRPr="00641640" w:rsidRDefault="00B7129A"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kontributore:</w:t>
      </w:r>
      <w:r w:rsidR="002321C3" w:rsidRPr="00641640">
        <w:rPr>
          <w:rFonts w:ascii="Times New Roman" w:eastAsia="Times New Roman" w:hAnsi="Times New Roman" w:cs="Times New Roman"/>
          <w:noProof/>
          <w:sz w:val="24"/>
          <w:szCs w:val="24"/>
          <w:lang w:val="sq-AL"/>
        </w:rPr>
        <w:t xml:space="preserve"> MF, </w:t>
      </w:r>
      <w:r w:rsidR="00B7552E">
        <w:rPr>
          <w:rFonts w:ascii="Times New Roman" w:eastAsia="Times New Roman" w:hAnsi="Times New Roman" w:cs="Times New Roman"/>
          <w:noProof/>
          <w:sz w:val="24"/>
          <w:szCs w:val="24"/>
          <w:lang w:val="sq-AL"/>
        </w:rPr>
        <w:t>MAS, MSHMS, MSHPV</w:t>
      </w:r>
      <w:r w:rsidR="00C27CE4">
        <w:rPr>
          <w:rFonts w:ascii="Times New Roman" w:eastAsia="Times New Roman" w:hAnsi="Times New Roman" w:cs="Times New Roman"/>
          <w:noProof/>
          <w:sz w:val="24"/>
          <w:szCs w:val="24"/>
          <w:lang w:val="sq-AL"/>
        </w:rPr>
        <w:t xml:space="preserve">, DAP, </w:t>
      </w:r>
      <w:r w:rsidR="00C27CE4" w:rsidRPr="00641640">
        <w:rPr>
          <w:rFonts w:ascii="Times New Roman" w:eastAsia="Times New Roman" w:hAnsi="Times New Roman" w:cs="Times New Roman"/>
          <w:noProof/>
          <w:sz w:val="24"/>
          <w:szCs w:val="24"/>
          <w:lang w:val="sq-AL"/>
        </w:rPr>
        <w:t>ASPA</w:t>
      </w:r>
      <w:r w:rsidR="00B61E02">
        <w:rPr>
          <w:rFonts w:ascii="Times New Roman" w:eastAsia="Times New Roman" w:hAnsi="Times New Roman" w:cs="Times New Roman"/>
          <w:noProof/>
          <w:sz w:val="24"/>
          <w:szCs w:val="24"/>
          <w:lang w:val="sq-AL"/>
        </w:rPr>
        <w:t xml:space="preserve">, </w:t>
      </w:r>
      <w:r w:rsidR="00B61E02" w:rsidRPr="00B61E02">
        <w:rPr>
          <w:rFonts w:ascii="Times New Roman" w:eastAsia="Times New Roman" w:hAnsi="Times New Roman" w:cs="Times New Roman"/>
          <w:noProof/>
          <w:sz w:val="24"/>
          <w:szCs w:val="24"/>
          <w:lang w:val="sq-AL"/>
        </w:rPr>
        <w:t>In</w:t>
      </w:r>
      <w:r w:rsidR="00B61E02">
        <w:rPr>
          <w:rFonts w:ascii="Times New Roman" w:eastAsia="Times New Roman" w:hAnsi="Times New Roman" w:cs="Times New Roman"/>
          <w:noProof/>
          <w:sz w:val="24"/>
          <w:szCs w:val="24"/>
          <w:lang w:val="sq-AL"/>
        </w:rPr>
        <w:t>s</w:t>
      </w:r>
      <w:r w:rsidR="00B61E02" w:rsidRPr="00B61E02">
        <w:rPr>
          <w:rFonts w:ascii="Times New Roman" w:eastAsia="Times New Roman" w:hAnsi="Times New Roman" w:cs="Times New Roman"/>
          <w:noProof/>
          <w:sz w:val="24"/>
          <w:szCs w:val="24"/>
          <w:lang w:val="sq-AL"/>
        </w:rPr>
        <w:t>titucionet e administratës publike</w:t>
      </w:r>
      <w:r w:rsidR="002321C3" w:rsidRPr="00641640">
        <w:rPr>
          <w:rFonts w:ascii="Times New Roman" w:eastAsia="Times New Roman" w:hAnsi="Times New Roman" w:cs="Times New Roman"/>
          <w:noProof/>
          <w:sz w:val="24"/>
          <w:szCs w:val="24"/>
          <w:lang w:val="sq-AL"/>
        </w:rPr>
        <w:t>.</w:t>
      </w:r>
    </w:p>
    <w:p w14:paraId="76AE9202" w14:textId="77777777" w:rsidR="00AB58BF" w:rsidRPr="00641640" w:rsidRDefault="00AB58BF" w:rsidP="00F863ED">
      <w:pPr>
        <w:spacing w:after="0" w:line="276" w:lineRule="auto"/>
        <w:jc w:val="both"/>
        <w:rPr>
          <w:rFonts w:ascii="Times New Roman" w:hAnsi="Times New Roman" w:cs="Times New Roman"/>
          <w:b/>
          <w:bCs/>
          <w:noProof/>
          <w:sz w:val="24"/>
          <w:szCs w:val="24"/>
          <w:lang w:val="sq-AL"/>
        </w:rPr>
      </w:pPr>
    </w:p>
    <w:p w14:paraId="3908A1A8" w14:textId="0452C725" w:rsidR="00B7129A" w:rsidRPr="00641640" w:rsidRDefault="00B7129A" w:rsidP="00F863E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Masat dhe aktivitetet</w:t>
      </w:r>
    </w:p>
    <w:p w14:paraId="6A4684E9" w14:textId="04A3D726" w:rsidR="001161DE" w:rsidRPr="00641640" w:rsidRDefault="001161DE" w:rsidP="00F863ED">
      <w:pPr>
        <w:spacing w:beforeAutospacing="1" w:line="276" w:lineRule="auto"/>
        <w:jc w:val="both"/>
        <w:textAlignment w:val="baseline"/>
        <w:rPr>
          <w:rFonts w:ascii="Times New Roman" w:hAnsi="Times New Roman" w:cs="Times New Roman"/>
          <w:bCs/>
          <w:noProof/>
          <w:color w:val="000000" w:themeColor="text1"/>
          <w:sz w:val="24"/>
          <w:szCs w:val="24"/>
          <w:lang w:val="sq-AL"/>
        </w:rPr>
      </w:pPr>
      <w:bookmarkStart w:id="34" w:name="_Hlk158652550"/>
      <w:r w:rsidRPr="00641640">
        <w:rPr>
          <w:rFonts w:ascii="Times New Roman" w:hAnsi="Times New Roman" w:cs="Times New Roman"/>
          <w:bCs/>
          <w:noProof/>
          <w:color w:val="000000" w:themeColor="text1"/>
          <w:sz w:val="24"/>
          <w:szCs w:val="24"/>
          <w:lang w:val="sq-AL"/>
        </w:rPr>
        <w:t xml:space="preserve">Ky </w:t>
      </w:r>
      <w:r w:rsidR="00AB58BF" w:rsidRPr="00641640">
        <w:rPr>
          <w:rFonts w:ascii="Times New Roman" w:hAnsi="Times New Roman" w:cs="Times New Roman"/>
          <w:bCs/>
          <w:noProof/>
          <w:color w:val="000000" w:themeColor="text1"/>
          <w:sz w:val="24"/>
          <w:szCs w:val="24"/>
          <w:lang w:val="sq-AL"/>
        </w:rPr>
        <w:t>o</w:t>
      </w:r>
      <w:r w:rsidRPr="00641640">
        <w:rPr>
          <w:rFonts w:ascii="Times New Roman" w:hAnsi="Times New Roman" w:cs="Times New Roman"/>
          <w:bCs/>
          <w:noProof/>
          <w:color w:val="000000" w:themeColor="text1"/>
          <w:sz w:val="24"/>
          <w:szCs w:val="24"/>
          <w:lang w:val="sq-AL"/>
        </w:rPr>
        <w:t xml:space="preserve">bjektiv </w:t>
      </w:r>
      <w:r w:rsidR="00AB58BF" w:rsidRPr="00641640">
        <w:rPr>
          <w:rFonts w:ascii="Times New Roman" w:hAnsi="Times New Roman" w:cs="Times New Roman"/>
          <w:bCs/>
          <w:noProof/>
          <w:color w:val="000000" w:themeColor="text1"/>
          <w:sz w:val="24"/>
          <w:szCs w:val="24"/>
          <w:lang w:val="sq-AL"/>
        </w:rPr>
        <w:t>s</w:t>
      </w:r>
      <w:r w:rsidRPr="00641640">
        <w:rPr>
          <w:rFonts w:ascii="Times New Roman" w:hAnsi="Times New Roman" w:cs="Times New Roman"/>
          <w:bCs/>
          <w:noProof/>
          <w:color w:val="000000" w:themeColor="text1"/>
          <w:sz w:val="24"/>
          <w:szCs w:val="24"/>
          <w:lang w:val="sq-AL"/>
        </w:rPr>
        <w:t>pecifik do të zbatohet përmes masave të mëposhtme, teksa aktivitetet konkrete për periudhën e parë të zbatimit të SNRAP 202</w:t>
      </w:r>
      <w:r w:rsidR="00AB58BF" w:rsidRPr="00641640">
        <w:rPr>
          <w:rFonts w:ascii="Times New Roman" w:hAnsi="Times New Roman" w:cs="Times New Roman"/>
          <w:bCs/>
          <w:noProof/>
          <w:color w:val="000000" w:themeColor="text1"/>
          <w:sz w:val="24"/>
          <w:szCs w:val="24"/>
          <w:lang w:val="sq-AL"/>
        </w:rPr>
        <w:t>5</w:t>
      </w:r>
      <w:r w:rsidRPr="00641640">
        <w:rPr>
          <w:rFonts w:ascii="Times New Roman" w:hAnsi="Times New Roman" w:cs="Times New Roman"/>
          <w:bCs/>
          <w:noProof/>
          <w:color w:val="000000" w:themeColor="text1"/>
          <w:sz w:val="24"/>
          <w:szCs w:val="24"/>
          <w:lang w:val="sq-AL"/>
        </w:rPr>
        <w:t>-2030 mund të gjenden në Planin e Veprimit 202</w:t>
      </w:r>
      <w:r w:rsidR="00AB58BF" w:rsidRPr="00641640">
        <w:rPr>
          <w:rFonts w:ascii="Times New Roman" w:hAnsi="Times New Roman" w:cs="Times New Roman"/>
          <w:bCs/>
          <w:noProof/>
          <w:color w:val="000000" w:themeColor="text1"/>
          <w:sz w:val="24"/>
          <w:szCs w:val="24"/>
          <w:lang w:val="sq-AL"/>
        </w:rPr>
        <w:t>5</w:t>
      </w:r>
      <w:r w:rsidRPr="00641640">
        <w:rPr>
          <w:rFonts w:ascii="Times New Roman" w:hAnsi="Times New Roman" w:cs="Times New Roman"/>
          <w:bCs/>
          <w:noProof/>
          <w:color w:val="000000" w:themeColor="text1"/>
          <w:sz w:val="24"/>
          <w:szCs w:val="24"/>
          <w:lang w:val="sq-AL"/>
        </w:rPr>
        <w:t>-202</w:t>
      </w:r>
      <w:r w:rsidR="00AB58BF" w:rsidRPr="00641640">
        <w:rPr>
          <w:rFonts w:ascii="Times New Roman" w:hAnsi="Times New Roman" w:cs="Times New Roman"/>
          <w:bCs/>
          <w:noProof/>
          <w:color w:val="000000" w:themeColor="text1"/>
          <w:sz w:val="24"/>
          <w:szCs w:val="24"/>
          <w:lang w:val="sq-AL"/>
        </w:rPr>
        <w:t>7</w:t>
      </w:r>
      <w:r w:rsidRPr="00641640">
        <w:rPr>
          <w:rFonts w:ascii="Times New Roman" w:hAnsi="Times New Roman" w:cs="Times New Roman"/>
          <w:bCs/>
          <w:noProof/>
          <w:color w:val="000000" w:themeColor="text1"/>
          <w:sz w:val="24"/>
          <w:szCs w:val="24"/>
          <w:lang w:val="sq-AL"/>
        </w:rPr>
        <w:t xml:space="preserve"> (Aneksi nr. 1).</w:t>
      </w:r>
    </w:p>
    <w:tbl>
      <w:tblPr>
        <w:tblStyle w:val="TableGridIDEA2"/>
        <w:tblW w:w="0" w:type="auto"/>
        <w:tblLook w:val="04A0" w:firstRow="1" w:lastRow="0" w:firstColumn="1" w:lastColumn="0" w:noHBand="0" w:noVBand="1"/>
      </w:tblPr>
      <w:tblGrid>
        <w:gridCol w:w="805"/>
        <w:gridCol w:w="8545"/>
      </w:tblGrid>
      <w:tr w:rsidR="001161DE" w:rsidRPr="00641640" w14:paraId="14768444" w14:textId="77777777" w:rsidTr="001161DE">
        <w:trPr>
          <w:trHeight w:val="863"/>
        </w:trPr>
        <w:tc>
          <w:tcPr>
            <w:tcW w:w="9350" w:type="dxa"/>
            <w:gridSpan w:val="2"/>
            <w:shd w:val="clear" w:color="auto" w:fill="C5E0B3" w:themeFill="accent6" w:themeFillTint="66"/>
          </w:tcPr>
          <w:p w14:paraId="2E65DA5A" w14:textId="73B19FE2" w:rsidR="001161DE" w:rsidRPr="00641640" w:rsidRDefault="001161DE" w:rsidP="003A395D">
            <w:pPr>
              <w:shd w:val="clear" w:color="auto" w:fill="C5E0B3" w:themeFill="accent6" w:themeFillTint="66"/>
              <w:spacing w:before="240" w:line="276" w:lineRule="auto"/>
              <w:jc w:val="center"/>
              <w:textAlignment w:val="baseline"/>
              <w:rPr>
                <w:rFonts w:ascii="Times New Roman" w:hAnsi="Times New Roman" w:cs="Times New Roman"/>
                <w:b/>
                <w:i/>
                <w:noProof/>
                <w:sz w:val="22"/>
                <w:szCs w:val="22"/>
                <w:lang w:val="sq-AL"/>
              </w:rPr>
            </w:pPr>
            <w:r w:rsidRPr="00641640">
              <w:rPr>
                <w:rFonts w:ascii="Times New Roman" w:hAnsi="Times New Roman" w:cs="Times New Roman"/>
                <w:b/>
                <w:i/>
                <w:noProof/>
                <w:sz w:val="22"/>
                <w:szCs w:val="22"/>
                <w:lang w:val="sq-AL"/>
              </w:rPr>
              <w:t xml:space="preserve">Objektivi Specifik </w:t>
            </w:r>
            <w:r w:rsidR="002B2E02" w:rsidRPr="00641640">
              <w:rPr>
                <w:rFonts w:ascii="Times New Roman" w:hAnsi="Times New Roman" w:cs="Times New Roman"/>
                <w:b/>
                <w:i/>
                <w:noProof/>
                <w:sz w:val="22"/>
                <w:szCs w:val="22"/>
                <w:lang w:val="sq-AL"/>
              </w:rPr>
              <w:t>2</w:t>
            </w:r>
            <w:r w:rsidRPr="00641640">
              <w:rPr>
                <w:rFonts w:ascii="Times New Roman" w:hAnsi="Times New Roman" w:cs="Times New Roman"/>
                <w:b/>
                <w:i/>
                <w:noProof/>
                <w:sz w:val="22"/>
                <w:szCs w:val="22"/>
                <w:lang w:val="sq-AL"/>
              </w:rPr>
              <w:t>.4: Procedurat e Menaxhimit të Burimeve Njerëzore facilitohen nga sistemet e gjenerimit të të dhënave të sakta dhe përdorimi i plotë i teknologjisë për thjeshtimin e proceseve të punës në fushën e MBNJ.</w:t>
            </w:r>
          </w:p>
        </w:tc>
      </w:tr>
      <w:tr w:rsidR="001161DE" w:rsidRPr="00641640" w14:paraId="101612B9" w14:textId="77777777" w:rsidTr="00AB58BF">
        <w:trPr>
          <w:trHeight w:val="719"/>
        </w:trPr>
        <w:tc>
          <w:tcPr>
            <w:tcW w:w="805" w:type="dxa"/>
            <w:shd w:val="clear" w:color="auto" w:fill="C5E0B3" w:themeFill="accent6" w:themeFillTint="66"/>
          </w:tcPr>
          <w:p w14:paraId="21BCE8D1" w14:textId="06E1020F" w:rsidR="001161DE" w:rsidRPr="00641640" w:rsidRDefault="001161DE" w:rsidP="003A395D">
            <w:pPr>
              <w:shd w:val="clear" w:color="auto" w:fill="C5E0B3" w:themeFill="accent6" w:themeFillTint="66"/>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2B2E02"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.4.1</w:t>
            </w:r>
          </w:p>
        </w:tc>
        <w:tc>
          <w:tcPr>
            <w:tcW w:w="8545" w:type="dxa"/>
            <w:shd w:val="clear" w:color="auto" w:fill="auto"/>
          </w:tcPr>
          <w:p w14:paraId="673C51AC" w14:textId="4037987D" w:rsidR="001161DE" w:rsidRPr="00641640" w:rsidRDefault="00F837EF" w:rsidP="00F85974">
            <w:pPr>
              <w:spacing w:line="276" w:lineRule="auto"/>
              <w:jc w:val="both"/>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Rishikimi i Regjistrit Qendror të Personelit dhe përmirësimi i mëtejshëm i funksionaliteteve të tij.</w:t>
            </w:r>
          </w:p>
        </w:tc>
      </w:tr>
      <w:tr w:rsidR="001161DE" w:rsidRPr="00641640" w14:paraId="2DE3E4D2" w14:textId="77777777" w:rsidTr="00AB58BF">
        <w:trPr>
          <w:trHeight w:val="719"/>
        </w:trPr>
        <w:tc>
          <w:tcPr>
            <w:tcW w:w="805" w:type="dxa"/>
            <w:shd w:val="clear" w:color="auto" w:fill="C5E0B3" w:themeFill="accent6" w:themeFillTint="66"/>
          </w:tcPr>
          <w:p w14:paraId="39D8F183" w14:textId="2B41798D" w:rsidR="001161DE" w:rsidRPr="00641640" w:rsidRDefault="001161DE" w:rsidP="003A395D">
            <w:pPr>
              <w:shd w:val="clear" w:color="auto" w:fill="C5E0B3" w:themeFill="accent6" w:themeFillTint="66"/>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2B2E02"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.4.2</w:t>
            </w:r>
          </w:p>
        </w:tc>
        <w:tc>
          <w:tcPr>
            <w:tcW w:w="8545" w:type="dxa"/>
            <w:shd w:val="clear" w:color="auto" w:fill="auto"/>
          </w:tcPr>
          <w:p w14:paraId="52B6122B" w14:textId="194E8C93" w:rsidR="001161DE" w:rsidRPr="00641640" w:rsidRDefault="00D92B79" w:rsidP="00F85974">
            <w:pPr>
              <w:spacing w:line="276" w:lineRule="auto"/>
              <w:jc w:val="both"/>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Gjenerimi automatik në faza i listës së pagave për institucionet publike</w:t>
            </w:r>
            <w:r w:rsidR="00F85974" w:rsidRPr="00641640">
              <w:rPr>
                <w:rFonts w:ascii="Times New Roman" w:hAnsi="Times New Roman" w:cs="Times New Roman"/>
                <w:noProof/>
                <w:sz w:val="22"/>
                <w:szCs w:val="22"/>
                <w:lang w:val="sq-AL"/>
              </w:rPr>
              <w:t>.</w:t>
            </w:r>
          </w:p>
        </w:tc>
      </w:tr>
      <w:tr w:rsidR="001161DE" w:rsidRPr="00641640" w14:paraId="56C2D079" w14:textId="77777777" w:rsidTr="00AB58BF">
        <w:trPr>
          <w:trHeight w:val="800"/>
        </w:trPr>
        <w:tc>
          <w:tcPr>
            <w:tcW w:w="805" w:type="dxa"/>
            <w:shd w:val="clear" w:color="auto" w:fill="C5E0B3" w:themeFill="accent6" w:themeFillTint="66"/>
          </w:tcPr>
          <w:p w14:paraId="1ACE2708" w14:textId="155367DB" w:rsidR="001161DE" w:rsidRPr="00641640" w:rsidRDefault="001161DE" w:rsidP="003A395D">
            <w:pPr>
              <w:shd w:val="clear" w:color="auto" w:fill="C5E0B3" w:themeFill="accent6" w:themeFillTint="66"/>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2B2E02"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.4.3</w:t>
            </w:r>
          </w:p>
        </w:tc>
        <w:tc>
          <w:tcPr>
            <w:tcW w:w="8545" w:type="dxa"/>
            <w:shd w:val="clear" w:color="auto" w:fill="auto"/>
          </w:tcPr>
          <w:p w14:paraId="71BC101B" w14:textId="7A1F2EAD" w:rsidR="001161DE" w:rsidRPr="00641640" w:rsidRDefault="00D92B79" w:rsidP="00F85974">
            <w:pPr>
              <w:spacing w:line="276" w:lineRule="auto"/>
              <w:jc w:val="both"/>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Rritja e ndërveprimit virtual mes institucioneve publike, përmes përdorimit të platformave të dedikuara dhe modeleve të miratuara për këtë qëllim</w:t>
            </w:r>
            <w:r w:rsidR="00F85974" w:rsidRPr="00641640">
              <w:rPr>
                <w:rFonts w:ascii="Times New Roman" w:hAnsi="Times New Roman" w:cs="Times New Roman"/>
                <w:noProof/>
                <w:sz w:val="22"/>
                <w:szCs w:val="22"/>
                <w:lang w:val="sq-AL"/>
              </w:rPr>
              <w:t>.</w:t>
            </w:r>
          </w:p>
        </w:tc>
      </w:tr>
      <w:tr w:rsidR="001161DE" w:rsidRPr="00641640" w14:paraId="30B50A53" w14:textId="77777777" w:rsidTr="00AB58BF">
        <w:trPr>
          <w:trHeight w:val="791"/>
        </w:trPr>
        <w:tc>
          <w:tcPr>
            <w:tcW w:w="805" w:type="dxa"/>
            <w:shd w:val="clear" w:color="auto" w:fill="C5E0B3" w:themeFill="accent6" w:themeFillTint="66"/>
          </w:tcPr>
          <w:p w14:paraId="0AC484C2" w14:textId="67762405" w:rsidR="001161DE" w:rsidRPr="00641640" w:rsidRDefault="001161DE" w:rsidP="003A395D">
            <w:pPr>
              <w:shd w:val="clear" w:color="auto" w:fill="C5E0B3" w:themeFill="accent6" w:themeFillTint="66"/>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lastRenderedPageBreak/>
              <w:t xml:space="preserve">Masa </w:t>
            </w:r>
            <w:r w:rsidR="002B2E02" w:rsidRPr="00641640">
              <w:rPr>
                <w:rFonts w:ascii="Times New Roman" w:hAnsi="Times New Roman" w:cs="Times New Roman"/>
                <w:b/>
                <w:noProof/>
                <w:sz w:val="22"/>
                <w:szCs w:val="22"/>
                <w:lang w:val="sq-AL"/>
              </w:rPr>
              <w:t>2</w:t>
            </w:r>
            <w:r w:rsidRPr="00641640">
              <w:rPr>
                <w:rFonts w:ascii="Times New Roman" w:hAnsi="Times New Roman" w:cs="Times New Roman"/>
                <w:b/>
                <w:noProof/>
                <w:sz w:val="22"/>
                <w:szCs w:val="22"/>
                <w:lang w:val="sq-AL"/>
              </w:rPr>
              <w:t>.4.4</w:t>
            </w:r>
          </w:p>
        </w:tc>
        <w:tc>
          <w:tcPr>
            <w:tcW w:w="8545" w:type="dxa"/>
            <w:shd w:val="clear" w:color="auto" w:fill="auto"/>
          </w:tcPr>
          <w:p w14:paraId="3025AEF0" w14:textId="46023C8B" w:rsidR="001161DE" w:rsidRPr="00641640" w:rsidRDefault="00D92B79" w:rsidP="00F85974">
            <w:pPr>
              <w:spacing w:line="276" w:lineRule="auto"/>
              <w:jc w:val="both"/>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 xml:space="preserve">Përgatitja dhe zhvillimi i një pakete të plotë trajnimi për të gjitha modulet e HRMIS për </w:t>
            </w:r>
            <w:r w:rsidR="0011193F" w:rsidRPr="00641640">
              <w:rPr>
                <w:rFonts w:ascii="Times New Roman" w:hAnsi="Times New Roman" w:cs="Times New Roman"/>
                <w:noProof/>
                <w:sz w:val="22"/>
                <w:szCs w:val="22"/>
                <w:lang w:val="sq-AL"/>
              </w:rPr>
              <w:t>d</w:t>
            </w:r>
            <w:r w:rsidRPr="00641640">
              <w:rPr>
                <w:rFonts w:ascii="Times New Roman" w:hAnsi="Times New Roman" w:cs="Times New Roman"/>
                <w:noProof/>
                <w:sz w:val="22"/>
                <w:szCs w:val="22"/>
                <w:lang w:val="sq-AL"/>
              </w:rPr>
              <w:t xml:space="preserve">rejtoritë e </w:t>
            </w:r>
            <w:r w:rsidR="0011193F" w:rsidRPr="00641640">
              <w:rPr>
                <w:rFonts w:ascii="Times New Roman" w:hAnsi="Times New Roman" w:cs="Times New Roman"/>
                <w:noProof/>
                <w:sz w:val="22"/>
                <w:szCs w:val="22"/>
                <w:lang w:val="sq-AL"/>
              </w:rPr>
              <w:t>b</w:t>
            </w:r>
            <w:r w:rsidRPr="00641640">
              <w:rPr>
                <w:rFonts w:ascii="Times New Roman" w:hAnsi="Times New Roman" w:cs="Times New Roman"/>
                <w:noProof/>
                <w:sz w:val="22"/>
                <w:szCs w:val="22"/>
                <w:lang w:val="sq-AL"/>
              </w:rPr>
              <w:t xml:space="preserve">urimeve </w:t>
            </w:r>
            <w:r w:rsidR="0011193F" w:rsidRPr="00641640">
              <w:rPr>
                <w:rFonts w:ascii="Times New Roman" w:hAnsi="Times New Roman" w:cs="Times New Roman"/>
                <w:noProof/>
                <w:sz w:val="22"/>
                <w:szCs w:val="22"/>
                <w:lang w:val="sq-AL"/>
              </w:rPr>
              <w:t>n</w:t>
            </w:r>
            <w:r w:rsidRPr="00641640">
              <w:rPr>
                <w:rFonts w:ascii="Times New Roman" w:hAnsi="Times New Roman" w:cs="Times New Roman"/>
                <w:noProof/>
                <w:sz w:val="22"/>
                <w:szCs w:val="22"/>
                <w:lang w:val="sq-AL"/>
              </w:rPr>
              <w:t>jerëzore në institucionet e administratës publike</w:t>
            </w:r>
            <w:r w:rsidR="00F85974" w:rsidRPr="00641640">
              <w:rPr>
                <w:rFonts w:ascii="Times New Roman" w:hAnsi="Times New Roman" w:cs="Times New Roman"/>
                <w:noProof/>
                <w:sz w:val="22"/>
                <w:szCs w:val="22"/>
                <w:lang w:val="sq-AL"/>
              </w:rPr>
              <w:t>.</w:t>
            </w:r>
          </w:p>
        </w:tc>
      </w:tr>
      <w:bookmarkEnd w:id="34"/>
    </w:tbl>
    <w:p w14:paraId="5F885295" w14:textId="77777777" w:rsidR="00245BE3" w:rsidRDefault="00245BE3" w:rsidP="003A395D">
      <w:pPr>
        <w:spacing w:line="276" w:lineRule="auto"/>
        <w:jc w:val="both"/>
        <w:rPr>
          <w:rFonts w:ascii="Times New Roman" w:hAnsi="Times New Roman" w:cs="Times New Roman"/>
          <w:b/>
          <w:bCs/>
          <w:noProof/>
          <w:sz w:val="24"/>
          <w:szCs w:val="24"/>
          <w:lang w:val="sq-AL"/>
        </w:rPr>
      </w:pPr>
    </w:p>
    <w:p w14:paraId="04A59379" w14:textId="53402996" w:rsidR="00EE7FD9" w:rsidRPr="00641640" w:rsidRDefault="00EE7FD9"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Lidhja e treguesve kryesorë të performancës më Qëllimin e Politikës I</w:t>
      </w:r>
      <w:r w:rsidR="007E3919" w:rsidRPr="00641640">
        <w:rPr>
          <w:rFonts w:ascii="Times New Roman" w:hAnsi="Times New Roman" w:cs="Times New Roman"/>
          <w:b/>
          <w:bCs/>
          <w:noProof/>
          <w:sz w:val="24"/>
          <w:szCs w:val="24"/>
          <w:lang w:val="sq-AL"/>
        </w:rPr>
        <w:t>I</w:t>
      </w:r>
      <w:r w:rsidRPr="00641640">
        <w:rPr>
          <w:rFonts w:ascii="Times New Roman" w:hAnsi="Times New Roman" w:cs="Times New Roman"/>
          <w:b/>
          <w:bCs/>
          <w:noProof/>
          <w:sz w:val="24"/>
          <w:szCs w:val="24"/>
          <w:lang w:val="sq-AL"/>
        </w:rPr>
        <w:t xml:space="preserve">, Objektivin Specifik </w:t>
      </w:r>
      <w:r w:rsidR="007E3919" w:rsidRPr="00641640">
        <w:rPr>
          <w:rFonts w:ascii="Times New Roman" w:hAnsi="Times New Roman" w:cs="Times New Roman"/>
          <w:b/>
          <w:bCs/>
          <w:noProof/>
          <w:sz w:val="24"/>
          <w:szCs w:val="24"/>
          <w:lang w:val="sq-AL"/>
        </w:rPr>
        <w:t>2</w:t>
      </w:r>
      <w:r w:rsidRPr="00641640">
        <w:rPr>
          <w:rFonts w:ascii="Times New Roman" w:hAnsi="Times New Roman" w:cs="Times New Roman"/>
          <w:b/>
          <w:bCs/>
          <w:noProof/>
          <w:sz w:val="24"/>
          <w:szCs w:val="24"/>
          <w:lang w:val="sq-AL"/>
        </w:rPr>
        <w:t>.</w:t>
      </w:r>
      <w:r w:rsidR="007E3919" w:rsidRPr="00641640">
        <w:rPr>
          <w:rFonts w:ascii="Times New Roman" w:hAnsi="Times New Roman" w:cs="Times New Roman"/>
          <w:b/>
          <w:bCs/>
          <w:noProof/>
          <w:sz w:val="24"/>
          <w:szCs w:val="24"/>
          <w:lang w:val="sq-AL"/>
        </w:rPr>
        <w:t>4</w:t>
      </w:r>
      <w:r w:rsidRPr="00641640">
        <w:rPr>
          <w:rFonts w:ascii="Times New Roman" w:hAnsi="Times New Roman" w:cs="Times New Roman"/>
          <w:b/>
          <w:bCs/>
          <w:noProof/>
          <w:sz w:val="24"/>
          <w:szCs w:val="24"/>
          <w:lang w:val="sq-AL"/>
        </w:rPr>
        <w:t xml:space="preserve"> dhe institucionet përgjegjëse.</w:t>
      </w:r>
    </w:p>
    <w:tbl>
      <w:tblPr>
        <w:tblStyle w:val="TableGrid"/>
        <w:tblW w:w="93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2"/>
        <w:gridCol w:w="1980"/>
        <w:gridCol w:w="2160"/>
        <w:gridCol w:w="2340"/>
        <w:gridCol w:w="1890"/>
      </w:tblGrid>
      <w:tr w:rsidR="00EE7FD9" w:rsidRPr="00641640" w14:paraId="72DF6D80" w14:textId="77777777" w:rsidTr="008E101A">
        <w:trPr>
          <w:trHeight w:val="15"/>
        </w:trPr>
        <w:tc>
          <w:tcPr>
            <w:tcW w:w="982" w:type="dxa"/>
            <w:shd w:val="clear" w:color="auto" w:fill="C5E0B3" w:themeFill="accent6" w:themeFillTint="66"/>
            <w:tcMar>
              <w:top w:w="15" w:type="dxa"/>
              <w:left w:w="75" w:type="dxa"/>
              <w:bottom w:w="15" w:type="dxa"/>
              <w:right w:w="75" w:type="dxa"/>
            </w:tcMar>
          </w:tcPr>
          <w:p w14:paraId="5F174D37" w14:textId="77777777" w:rsidR="00EE7FD9" w:rsidRPr="00641640" w:rsidRDefault="00EE7FD9" w:rsidP="003A395D">
            <w:pPr>
              <w:spacing w:line="276" w:lineRule="auto"/>
              <w:jc w:val="center"/>
              <w:rPr>
                <w:rFonts w:ascii="Times New Roman" w:eastAsia="Arial" w:hAnsi="Times New Roman" w:cs="Times New Roman"/>
                <w:b/>
                <w:bCs/>
                <w:noProof/>
                <w:sz w:val="22"/>
                <w:szCs w:val="22"/>
                <w:lang w:val="sq-AL"/>
              </w:rPr>
            </w:pPr>
          </w:p>
          <w:p w14:paraId="1BFA2308" w14:textId="77777777" w:rsidR="00EE7FD9" w:rsidRPr="00641640" w:rsidRDefault="00EE7FD9"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Lloji i treguesit</w:t>
            </w:r>
          </w:p>
        </w:tc>
        <w:tc>
          <w:tcPr>
            <w:tcW w:w="1980" w:type="dxa"/>
            <w:shd w:val="clear" w:color="auto" w:fill="C5E0B3" w:themeFill="accent6" w:themeFillTint="66"/>
            <w:tcMar>
              <w:top w:w="15" w:type="dxa"/>
              <w:left w:w="75" w:type="dxa"/>
              <w:bottom w:w="15" w:type="dxa"/>
              <w:right w:w="75" w:type="dxa"/>
            </w:tcMar>
          </w:tcPr>
          <w:p w14:paraId="661E9A88" w14:textId="77777777" w:rsidR="00EE7FD9" w:rsidRPr="00641640" w:rsidRDefault="00EE7FD9" w:rsidP="003A395D">
            <w:pPr>
              <w:spacing w:line="276" w:lineRule="auto"/>
              <w:jc w:val="center"/>
              <w:rPr>
                <w:rFonts w:ascii="Times New Roman" w:eastAsia="Arial" w:hAnsi="Times New Roman" w:cs="Times New Roman"/>
                <w:b/>
                <w:bCs/>
                <w:noProof/>
                <w:sz w:val="22"/>
                <w:szCs w:val="22"/>
                <w:lang w:val="sq-AL"/>
              </w:rPr>
            </w:pPr>
          </w:p>
          <w:p w14:paraId="3F1B4F30" w14:textId="77777777" w:rsidR="00EE7FD9" w:rsidRPr="00641640" w:rsidRDefault="00EE7FD9"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Emërtimi i treguesit të performancës</w:t>
            </w:r>
          </w:p>
          <w:p w14:paraId="15B9C0FA" w14:textId="77777777" w:rsidR="00EE7FD9" w:rsidRPr="00641640" w:rsidRDefault="00EE7FD9" w:rsidP="003A395D">
            <w:pPr>
              <w:spacing w:line="276" w:lineRule="auto"/>
              <w:jc w:val="center"/>
              <w:rPr>
                <w:rFonts w:ascii="Times New Roman" w:eastAsia="Arial" w:hAnsi="Times New Roman" w:cs="Times New Roman"/>
                <w:noProof/>
                <w:sz w:val="22"/>
                <w:szCs w:val="22"/>
                <w:lang w:val="sq-AL"/>
              </w:rPr>
            </w:pPr>
          </w:p>
        </w:tc>
        <w:tc>
          <w:tcPr>
            <w:tcW w:w="2160" w:type="dxa"/>
            <w:shd w:val="clear" w:color="auto" w:fill="C5E0B3" w:themeFill="accent6" w:themeFillTint="66"/>
          </w:tcPr>
          <w:p w14:paraId="122CF6D0" w14:textId="77777777" w:rsidR="00EE7FD9" w:rsidRPr="00641640" w:rsidRDefault="00EE7FD9" w:rsidP="003A395D">
            <w:pPr>
              <w:spacing w:line="276" w:lineRule="auto"/>
              <w:jc w:val="center"/>
              <w:rPr>
                <w:rFonts w:ascii="Times New Roman" w:eastAsia="Arial" w:hAnsi="Times New Roman" w:cs="Times New Roman"/>
                <w:b/>
                <w:bCs/>
                <w:noProof/>
                <w:sz w:val="22"/>
                <w:szCs w:val="22"/>
                <w:lang w:val="sq-AL"/>
              </w:rPr>
            </w:pPr>
          </w:p>
          <w:p w14:paraId="620541AF" w14:textId="77777777" w:rsidR="00EE7FD9" w:rsidRPr="00641640" w:rsidRDefault="00EE7FD9"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Qëllimin e Politikës</w:t>
            </w:r>
          </w:p>
        </w:tc>
        <w:tc>
          <w:tcPr>
            <w:tcW w:w="2340" w:type="dxa"/>
            <w:shd w:val="clear" w:color="auto" w:fill="C5E0B3" w:themeFill="accent6" w:themeFillTint="66"/>
          </w:tcPr>
          <w:p w14:paraId="7EB5B248" w14:textId="77777777" w:rsidR="00EE7FD9" w:rsidRPr="00641640" w:rsidRDefault="00EE7FD9" w:rsidP="003A395D">
            <w:pPr>
              <w:spacing w:line="276" w:lineRule="auto"/>
              <w:jc w:val="center"/>
              <w:rPr>
                <w:rFonts w:ascii="Times New Roman" w:eastAsia="Arial" w:hAnsi="Times New Roman" w:cs="Times New Roman"/>
                <w:b/>
                <w:bCs/>
                <w:noProof/>
                <w:sz w:val="22"/>
                <w:szCs w:val="22"/>
                <w:lang w:val="sq-AL"/>
              </w:rPr>
            </w:pPr>
          </w:p>
          <w:p w14:paraId="1B8580F3" w14:textId="77777777" w:rsidR="00EE7FD9" w:rsidRPr="00641640" w:rsidRDefault="00EE7FD9"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Objektivin Specifik</w:t>
            </w:r>
          </w:p>
        </w:tc>
        <w:tc>
          <w:tcPr>
            <w:tcW w:w="1890" w:type="dxa"/>
            <w:shd w:val="clear" w:color="auto" w:fill="C5E0B3" w:themeFill="accent6" w:themeFillTint="66"/>
            <w:tcMar>
              <w:top w:w="15" w:type="dxa"/>
              <w:left w:w="75" w:type="dxa"/>
              <w:bottom w:w="15" w:type="dxa"/>
              <w:right w:w="75" w:type="dxa"/>
            </w:tcMar>
          </w:tcPr>
          <w:p w14:paraId="6BB0A971" w14:textId="77777777" w:rsidR="00EE7FD9" w:rsidRPr="00641640" w:rsidRDefault="00EE7FD9" w:rsidP="003A395D">
            <w:pPr>
              <w:spacing w:line="276" w:lineRule="auto"/>
              <w:jc w:val="center"/>
              <w:rPr>
                <w:rFonts w:ascii="Times New Roman" w:eastAsia="Arial" w:hAnsi="Times New Roman" w:cs="Times New Roman"/>
                <w:noProof/>
                <w:sz w:val="22"/>
                <w:szCs w:val="22"/>
                <w:lang w:val="sq-AL"/>
              </w:rPr>
            </w:pPr>
          </w:p>
          <w:p w14:paraId="7361329C" w14:textId="77777777" w:rsidR="00EE7FD9" w:rsidRPr="00641640" w:rsidRDefault="00EE7FD9"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Institucioni përgjegjës</w:t>
            </w:r>
          </w:p>
        </w:tc>
      </w:tr>
      <w:tr w:rsidR="002B2E02" w:rsidRPr="00641640" w14:paraId="034E3B9B" w14:textId="77777777" w:rsidTr="002B2E02">
        <w:trPr>
          <w:trHeight w:val="965"/>
        </w:trPr>
        <w:tc>
          <w:tcPr>
            <w:tcW w:w="982" w:type="dxa"/>
            <w:shd w:val="clear" w:color="auto" w:fill="auto"/>
            <w:tcMar>
              <w:top w:w="15" w:type="dxa"/>
              <w:left w:w="75" w:type="dxa"/>
              <w:bottom w:w="15" w:type="dxa"/>
              <w:right w:w="75" w:type="dxa"/>
            </w:tcMar>
          </w:tcPr>
          <w:p w14:paraId="3CD41FCD" w14:textId="35ECDDB1" w:rsidR="002B2E02" w:rsidRPr="00641640" w:rsidRDefault="007E3919"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Rezultati</w:t>
            </w:r>
          </w:p>
        </w:tc>
        <w:tc>
          <w:tcPr>
            <w:tcW w:w="1980" w:type="dxa"/>
            <w:shd w:val="clear" w:color="auto" w:fill="auto"/>
            <w:tcMar>
              <w:top w:w="15" w:type="dxa"/>
              <w:left w:w="75" w:type="dxa"/>
              <w:bottom w:w="15" w:type="dxa"/>
              <w:right w:w="75" w:type="dxa"/>
            </w:tcMar>
          </w:tcPr>
          <w:p w14:paraId="30D4D29E" w14:textId="0BD4F7F9" w:rsidR="002B2E02" w:rsidRPr="00641640" w:rsidRDefault="006A5034"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2.4.1 Shkalla e implementimit të sistem</w:t>
            </w:r>
            <w:r w:rsidR="005A3174" w:rsidRPr="00641640">
              <w:rPr>
                <w:rFonts w:ascii="Times New Roman" w:hAnsi="Times New Roman" w:cs="Times New Roman"/>
                <w:noProof/>
                <w:sz w:val="22"/>
                <w:szCs w:val="22"/>
                <w:lang w:val="sq-AL"/>
              </w:rPr>
              <w:t>it</w:t>
            </w:r>
            <w:r w:rsidRPr="00641640">
              <w:rPr>
                <w:rFonts w:ascii="Times New Roman" w:hAnsi="Times New Roman" w:cs="Times New Roman"/>
                <w:noProof/>
                <w:sz w:val="22"/>
                <w:szCs w:val="22"/>
                <w:lang w:val="sq-AL"/>
              </w:rPr>
              <w:t xml:space="preserve"> HRMIS</w:t>
            </w:r>
            <w:r w:rsidR="00245BE3">
              <w:rPr>
                <w:rFonts w:ascii="Times New Roman" w:hAnsi="Times New Roman" w:cs="Times New Roman"/>
                <w:noProof/>
                <w:sz w:val="22"/>
                <w:szCs w:val="22"/>
                <w:lang w:val="sq-AL"/>
              </w:rPr>
              <w:t>.</w:t>
            </w:r>
          </w:p>
        </w:tc>
        <w:tc>
          <w:tcPr>
            <w:tcW w:w="2160" w:type="dxa"/>
            <w:shd w:val="clear" w:color="auto" w:fill="auto"/>
          </w:tcPr>
          <w:p w14:paraId="6FA0B463" w14:textId="13FB5387" w:rsidR="002B2E02" w:rsidRPr="00641640" w:rsidRDefault="002B51F0"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Shërbimi civil dhe menaxhimi i burimeve njerëzore</w:t>
            </w:r>
          </w:p>
        </w:tc>
        <w:tc>
          <w:tcPr>
            <w:tcW w:w="2340" w:type="dxa"/>
            <w:shd w:val="clear" w:color="auto" w:fill="auto"/>
          </w:tcPr>
          <w:p w14:paraId="1FE4B633" w14:textId="3BC3AE07" w:rsidR="002B2E02" w:rsidRPr="00641640" w:rsidRDefault="002B51F0"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2.4 Procedurat e Menaxhimit të Burimeve Njerëzore facilitohen nga sistemet e gjenerimit të të dhënave të sakta dhe përdorimi i plotë i teknologjisë për thjeshtimin e proceseve të punës në fushën e MBNJ.</w:t>
            </w:r>
          </w:p>
          <w:p w14:paraId="033534A0" w14:textId="03E0E1DA" w:rsidR="006D437E" w:rsidRPr="00641640" w:rsidRDefault="006D437E" w:rsidP="003A395D">
            <w:pPr>
              <w:spacing w:line="276" w:lineRule="auto"/>
              <w:rPr>
                <w:rFonts w:ascii="Times New Roman" w:eastAsia="Arial" w:hAnsi="Times New Roman" w:cs="Times New Roman"/>
                <w:noProof/>
                <w:sz w:val="22"/>
                <w:szCs w:val="22"/>
                <w:lang w:val="sq-AL"/>
              </w:rPr>
            </w:pPr>
          </w:p>
        </w:tc>
        <w:tc>
          <w:tcPr>
            <w:tcW w:w="1890" w:type="dxa"/>
            <w:shd w:val="clear" w:color="auto" w:fill="auto"/>
            <w:tcMar>
              <w:top w:w="15" w:type="dxa"/>
              <w:left w:w="75" w:type="dxa"/>
              <w:bottom w:w="15" w:type="dxa"/>
              <w:right w:w="75" w:type="dxa"/>
            </w:tcMar>
          </w:tcPr>
          <w:p w14:paraId="2B309EF1" w14:textId="23A79DFD" w:rsidR="002B2E02" w:rsidRPr="00641640" w:rsidRDefault="009F0D58" w:rsidP="003A395D">
            <w:pPr>
              <w:spacing w:line="276" w:lineRule="auto"/>
              <w:jc w:val="center"/>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DAP</w:t>
            </w:r>
            <w:r w:rsidR="002B51F0" w:rsidRPr="00641640">
              <w:rPr>
                <w:rFonts w:ascii="Times New Roman" w:eastAsia="Arial" w:hAnsi="Times New Roman" w:cs="Times New Roman"/>
                <w:noProof/>
                <w:sz w:val="22"/>
                <w:szCs w:val="22"/>
                <w:lang w:val="sq-AL"/>
              </w:rPr>
              <w:t xml:space="preserve"> </w:t>
            </w:r>
          </w:p>
        </w:tc>
      </w:tr>
    </w:tbl>
    <w:p w14:paraId="4DD4C2D4" w14:textId="2769BF80" w:rsidR="00AE6F2A" w:rsidRDefault="00AE6F2A" w:rsidP="003A395D">
      <w:pPr>
        <w:spacing w:line="276" w:lineRule="auto"/>
        <w:rPr>
          <w:rFonts w:ascii="Times New Roman" w:hAnsi="Times New Roman" w:cs="Times New Roman"/>
          <w:noProof/>
          <w:lang w:val="sq-AL"/>
        </w:rPr>
      </w:pPr>
    </w:p>
    <w:p w14:paraId="3404637F" w14:textId="22ACFF58" w:rsidR="0034418A" w:rsidRPr="00641640" w:rsidRDefault="00AE6F2A" w:rsidP="00AE6F2A">
      <w:pPr>
        <w:rPr>
          <w:rFonts w:ascii="Times New Roman" w:hAnsi="Times New Roman" w:cs="Times New Roman"/>
          <w:noProof/>
          <w:lang w:val="sq-AL"/>
        </w:rPr>
      </w:pPr>
      <w:r>
        <w:rPr>
          <w:rFonts w:ascii="Times New Roman" w:hAnsi="Times New Roman" w:cs="Times New Roman"/>
          <w:noProof/>
          <w:lang w:val="sq-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934"/>
      </w:tblGrid>
      <w:tr w:rsidR="000E4860" w:rsidRPr="00641640" w14:paraId="5CA153BB" w14:textId="77777777" w:rsidTr="000E4860">
        <w:tc>
          <w:tcPr>
            <w:tcW w:w="363" w:type="dxa"/>
          </w:tcPr>
          <w:p w14:paraId="4CD85B72" w14:textId="2892850A" w:rsidR="000E4860" w:rsidRPr="00641640" w:rsidRDefault="000E4860" w:rsidP="003A395D">
            <w:pPr>
              <w:spacing w:line="276" w:lineRule="auto"/>
              <w:rPr>
                <w:rFonts w:ascii="Times New Roman" w:hAnsi="Times New Roman" w:cs="Times New Roman"/>
                <w:b/>
                <w:bCs/>
                <w:noProof/>
                <w:sz w:val="28"/>
                <w:szCs w:val="28"/>
                <w:lang w:val="sq-AL"/>
              </w:rPr>
            </w:pPr>
            <w:r w:rsidRPr="00641640">
              <w:rPr>
                <w:rFonts w:ascii="Times New Roman" w:hAnsi="Times New Roman" w:cs="Times New Roman"/>
                <w:b/>
                <w:bCs/>
                <w:noProof/>
                <w:sz w:val="28"/>
                <w:szCs w:val="28"/>
                <w:lang w:val="sq-AL"/>
              </w:rPr>
              <w:lastRenderedPageBreak/>
              <w:t>3.</w:t>
            </w:r>
          </w:p>
        </w:tc>
        <w:tc>
          <w:tcPr>
            <w:tcW w:w="8987" w:type="dxa"/>
          </w:tcPr>
          <w:p w14:paraId="2338FF28" w14:textId="6E629792" w:rsidR="000E4860" w:rsidRPr="00641640" w:rsidRDefault="000E4860" w:rsidP="003A395D">
            <w:pPr>
              <w:spacing w:line="276" w:lineRule="auto"/>
              <w:jc w:val="both"/>
              <w:rPr>
                <w:rFonts w:ascii="Times New Roman" w:hAnsi="Times New Roman" w:cs="Times New Roman"/>
                <w:b/>
                <w:bCs/>
                <w:noProof/>
                <w:sz w:val="28"/>
                <w:szCs w:val="28"/>
                <w:lang w:val="sq-AL"/>
              </w:rPr>
            </w:pPr>
            <w:r w:rsidRPr="00641640">
              <w:rPr>
                <w:rFonts w:ascii="Times New Roman" w:hAnsi="Times New Roman" w:cs="Times New Roman"/>
                <w:b/>
                <w:bCs/>
                <w:noProof/>
                <w:sz w:val="28"/>
                <w:szCs w:val="28"/>
                <w:lang w:val="sq-AL"/>
              </w:rPr>
              <w:t>QËLLIMI I POLITIKËS 3: OFRIMI I SHËRBIMEVE DHE DIGJITALIZIMI</w:t>
            </w:r>
          </w:p>
        </w:tc>
      </w:tr>
    </w:tbl>
    <w:p w14:paraId="0FB3B8CD" w14:textId="77777777" w:rsidR="000147D5" w:rsidRPr="00641640" w:rsidRDefault="000147D5" w:rsidP="003A395D">
      <w:pPr>
        <w:spacing w:line="276" w:lineRule="auto"/>
        <w:rPr>
          <w:rFonts w:ascii="Times New Roman" w:hAnsi="Times New Roman" w:cs="Times New Roman"/>
          <w:noProof/>
          <w:lang w:val="sq-AL"/>
        </w:rPr>
      </w:pPr>
    </w:p>
    <w:p w14:paraId="5746575F" w14:textId="3D22AD77" w:rsidR="001B18B0" w:rsidRPr="00641640" w:rsidRDefault="001B18B0" w:rsidP="003A395D">
      <w:pPr>
        <w:spacing w:line="276" w:lineRule="auto"/>
        <w:jc w:val="both"/>
        <w:rPr>
          <w:rFonts w:ascii="Times New Roman" w:hAnsi="Times New Roman" w:cs="Times New Roman"/>
          <w:bCs/>
          <w:noProof/>
          <w:sz w:val="24"/>
          <w:szCs w:val="24"/>
          <w:lang w:val="sq-AL"/>
        </w:rPr>
      </w:pPr>
      <w:r w:rsidRPr="00641640">
        <w:rPr>
          <w:rFonts w:ascii="Times New Roman" w:hAnsi="Times New Roman" w:cs="Times New Roman"/>
          <w:noProof/>
          <w:sz w:val="24"/>
          <w:szCs w:val="24"/>
          <w:lang w:val="sq-AL"/>
        </w:rPr>
        <w:t>Qëllimi i Politikës 3 për</w:t>
      </w:r>
      <w:r w:rsidRPr="00641640">
        <w:rPr>
          <w:rFonts w:ascii="Times New Roman" w:hAnsi="Times New Roman" w:cs="Times New Roman"/>
          <w:bCs/>
          <w:noProof/>
          <w:sz w:val="24"/>
          <w:szCs w:val="24"/>
          <w:lang w:val="sq-AL"/>
        </w:rPr>
        <w:t xml:space="preserve"> ofrimin e shërbimeve publike për qytetarët dhe bizneset përmes një portali të vetëm </w:t>
      </w:r>
      <w:r w:rsidR="00A41D84" w:rsidRPr="00641640">
        <w:rPr>
          <w:rFonts w:ascii="Times New Roman" w:hAnsi="Times New Roman" w:cs="Times New Roman"/>
          <w:bCs/>
          <w:noProof/>
          <w:sz w:val="24"/>
          <w:szCs w:val="24"/>
          <w:lang w:val="sq-AL"/>
        </w:rPr>
        <w:t>synon</w:t>
      </w:r>
      <w:r w:rsidRPr="00641640">
        <w:rPr>
          <w:rFonts w:ascii="Times New Roman" w:hAnsi="Times New Roman" w:cs="Times New Roman"/>
          <w:bCs/>
          <w:noProof/>
          <w:sz w:val="24"/>
          <w:szCs w:val="24"/>
          <w:lang w:val="sq-AL"/>
        </w:rPr>
        <w:t xml:space="preserve"> përmirësimi</w:t>
      </w:r>
      <w:r w:rsidR="00A41D84" w:rsidRPr="00641640">
        <w:rPr>
          <w:rFonts w:ascii="Times New Roman" w:hAnsi="Times New Roman" w:cs="Times New Roman"/>
          <w:bCs/>
          <w:noProof/>
          <w:sz w:val="24"/>
          <w:szCs w:val="24"/>
          <w:lang w:val="sq-AL"/>
        </w:rPr>
        <w:t>n e</w:t>
      </w:r>
      <w:r w:rsidRPr="00641640">
        <w:rPr>
          <w:rFonts w:ascii="Times New Roman" w:hAnsi="Times New Roman" w:cs="Times New Roman"/>
          <w:bCs/>
          <w:noProof/>
          <w:sz w:val="24"/>
          <w:szCs w:val="24"/>
          <w:lang w:val="sq-AL"/>
        </w:rPr>
        <w:t xml:space="preserve"> vazhduesh</w:t>
      </w:r>
      <w:r w:rsidR="00E72046"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m </w:t>
      </w:r>
      <w:r w:rsidR="00A41D84" w:rsidRPr="00641640">
        <w:rPr>
          <w:rFonts w:ascii="Times New Roman" w:hAnsi="Times New Roman" w:cs="Times New Roman"/>
          <w:bCs/>
          <w:noProof/>
          <w:sz w:val="24"/>
          <w:szCs w:val="24"/>
          <w:lang w:val="sq-AL"/>
        </w:rPr>
        <w:t>t</w:t>
      </w:r>
      <w:r w:rsidR="00870DCD"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aksesit në to dhe efikasitetit të tyre. Kjo qasje synon të thjeshtojë proceset, të reduktojë burokracinë dhe të ofrojë një përvojë më të mirë përdoruesish, duke lehtësuar ndërveprimin mes qytetarëve, bizneseve dhe administratës publike. Impakti fundor i k</w:t>
      </w:r>
      <w:r w:rsidR="00E72046"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saj qasjeje targeton forcimin e besimit në institucionet publike, duke ndikuar edhe n</w:t>
      </w:r>
      <w:r w:rsidR="00E72046"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nxitjen e zhvillimit ekonomik.</w:t>
      </w:r>
    </w:p>
    <w:p w14:paraId="72AD4BD2" w14:textId="2ECF20CD" w:rsidR="001B18B0" w:rsidRPr="00641640" w:rsidRDefault="001B18B0" w:rsidP="003A395D">
      <w:pPr>
        <w:spacing w:line="276" w:lineRule="auto"/>
        <w:jc w:val="both"/>
        <w:rPr>
          <w:rFonts w:ascii="Times New Roman" w:hAnsi="Times New Roman" w:cs="Times New Roman"/>
          <w:bCs/>
          <w:noProof/>
          <w:sz w:val="24"/>
          <w:szCs w:val="24"/>
          <w:lang w:val="sq-AL"/>
        </w:rPr>
      </w:pPr>
      <w:r w:rsidRPr="00641640">
        <w:rPr>
          <w:rFonts w:ascii="Times New Roman" w:hAnsi="Times New Roman" w:cs="Times New Roman"/>
          <w:bCs/>
          <w:noProof/>
          <w:sz w:val="24"/>
          <w:szCs w:val="24"/>
          <w:lang w:val="sq-AL"/>
        </w:rPr>
        <w:t>Teksa teknologjia ndryshon me ritme t</w:t>
      </w:r>
      <w:r w:rsidR="00E72046"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w:t>
      </w:r>
      <w:r w:rsidR="00400125" w:rsidRPr="00641640">
        <w:rPr>
          <w:rFonts w:ascii="Times New Roman" w:hAnsi="Times New Roman" w:cs="Times New Roman"/>
          <w:bCs/>
          <w:noProof/>
          <w:sz w:val="24"/>
          <w:szCs w:val="24"/>
          <w:lang w:val="sq-AL"/>
        </w:rPr>
        <w:t>shpejta dhe sfidat e siguris</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 xml:space="preserve"> rriten n</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 xml:space="preserve"> m</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nyr</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 xml:space="preserve"> eksponenciale n</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 xml:space="preserve"> ekosisteme gjithnj</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 xml:space="preserve"> e m</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 xml:space="preserve"> komplekse,</w:t>
      </w:r>
      <w:r w:rsidRPr="00641640">
        <w:rPr>
          <w:rFonts w:ascii="Times New Roman" w:hAnsi="Times New Roman" w:cs="Times New Roman"/>
          <w:bCs/>
          <w:noProof/>
          <w:sz w:val="24"/>
          <w:szCs w:val="24"/>
          <w:lang w:val="sq-AL"/>
        </w:rPr>
        <w:t xml:space="preserve"> p</w:t>
      </w:r>
      <w:r w:rsidR="00E72046"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rshtatja dhe zbatimi i teknologjive t</w:t>
      </w:r>
      <w:r w:rsidR="00E72046"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reja </w:t>
      </w:r>
      <w:r w:rsidR="00400125" w:rsidRPr="00641640">
        <w:rPr>
          <w:rFonts w:ascii="Times New Roman" w:hAnsi="Times New Roman" w:cs="Times New Roman"/>
          <w:bCs/>
          <w:noProof/>
          <w:sz w:val="24"/>
          <w:szCs w:val="24"/>
          <w:lang w:val="sq-AL"/>
        </w:rPr>
        <w:t xml:space="preserve">mbetet </w:t>
      </w:r>
      <w:r w:rsidRPr="00641640">
        <w:rPr>
          <w:rFonts w:ascii="Times New Roman" w:hAnsi="Times New Roman" w:cs="Times New Roman"/>
          <w:bCs/>
          <w:noProof/>
          <w:sz w:val="24"/>
          <w:szCs w:val="24"/>
          <w:lang w:val="sq-AL"/>
        </w:rPr>
        <w:t>nj</w:t>
      </w:r>
      <w:r w:rsidR="00E72046"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sfid</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 xml:space="preserve"> e</w:t>
      </w:r>
      <w:r w:rsidRPr="00641640">
        <w:rPr>
          <w:rFonts w:ascii="Times New Roman" w:hAnsi="Times New Roman" w:cs="Times New Roman"/>
          <w:bCs/>
          <w:noProof/>
          <w:sz w:val="24"/>
          <w:szCs w:val="24"/>
          <w:lang w:val="sq-AL"/>
        </w:rPr>
        <w:t xml:space="preserve"> vazhdueshme p</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r individ</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t, bizneset dhe qeverit</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 xml:space="preserve"> n</w:t>
      </w:r>
      <w:r w:rsidR="00E72046"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epoken e qeverisjes elektronike</w:t>
      </w:r>
      <w:r w:rsidR="00400125" w:rsidRPr="00641640">
        <w:rPr>
          <w:rFonts w:ascii="Times New Roman" w:hAnsi="Times New Roman" w:cs="Times New Roman"/>
          <w:bCs/>
          <w:noProof/>
          <w:sz w:val="24"/>
          <w:szCs w:val="24"/>
          <w:lang w:val="sq-AL"/>
        </w:rPr>
        <w:t>. N</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 xml:space="preserve"> k</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t</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 xml:space="preserve"> kontekst, si nj</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 xml:space="preserve"> platform</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 xml:space="preserve"> kyçe p</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r sh</w:t>
      </w:r>
      <w:r w:rsidR="00E72046"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rbimet publike, </w:t>
      </w:r>
      <w:r w:rsidR="00400125" w:rsidRPr="00641640">
        <w:rPr>
          <w:rFonts w:ascii="Times New Roman" w:hAnsi="Times New Roman" w:cs="Times New Roman"/>
          <w:bCs/>
          <w:noProof/>
          <w:sz w:val="24"/>
          <w:szCs w:val="24"/>
          <w:lang w:val="sq-AL"/>
        </w:rPr>
        <w:t>portal</w:t>
      </w:r>
      <w:r w:rsidR="009F7BAD">
        <w:rPr>
          <w:rFonts w:ascii="Times New Roman" w:hAnsi="Times New Roman" w:cs="Times New Roman"/>
          <w:bCs/>
          <w:noProof/>
          <w:sz w:val="24"/>
          <w:szCs w:val="24"/>
          <w:lang w:val="sq-AL"/>
        </w:rPr>
        <w:t>i</w:t>
      </w:r>
      <w:r w:rsidR="00400125" w:rsidRPr="00641640">
        <w:rPr>
          <w:rFonts w:ascii="Times New Roman" w:hAnsi="Times New Roman" w:cs="Times New Roman"/>
          <w:bCs/>
          <w:noProof/>
          <w:sz w:val="24"/>
          <w:szCs w:val="24"/>
          <w:lang w:val="sq-AL"/>
        </w:rPr>
        <w:t xml:space="preserve"> </w:t>
      </w:r>
      <w:r w:rsidR="009F7BAD">
        <w:rPr>
          <w:rFonts w:ascii="Times New Roman" w:hAnsi="Times New Roman" w:cs="Times New Roman"/>
          <w:bCs/>
          <w:noProof/>
          <w:sz w:val="24"/>
          <w:szCs w:val="24"/>
          <w:lang w:val="sq-AL"/>
        </w:rPr>
        <w:t>“</w:t>
      </w:r>
      <w:r w:rsidR="00400125" w:rsidRPr="00641640">
        <w:rPr>
          <w:rFonts w:ascii="Times New Roman" w:hAnsi="Times New Roman" w:cs="Times New Roman"/>
          <w:bCs/>
          <w:noProof/>
          <w:sz w:val="24"/>
          <w:szCs w:val="24"/>
          <w:lang w:val="sq-AL"/>
        </w:rPr>
        <w:t>e-</w:t>
      </w:r>
      <w:r w:rsidR="009F7BAD">
        <w:rPr>
          <w:rFonts w:ascii="Times New Roman" w:hAnsi="Times New Roman" w:cs="Times New Roman"/>
          <w:bCs/>
          <w:noProof/>
          <w:sz w:val="24"/>
          <w:szCs w:val="24"/>
          <w:lang w:val="sq-AL"/>
        </w:rPr>
        <w:t>A</w:t>
      </w:r>
      <w:r w:rsidR="00400125" w:rsidRPr="00641640">
        <w:rPr>
          <w:rFonts w:ascii="Times New Roman" w:hAnsi="Times New Roman" w:cs="Times New Roman"/>
          <w:bCs/>
          <w:noProof/>
          <w:sz w:val="24"/>
          <w:szCs w:val="24"/>
          <w:lang w:val="sq-AL"/>
        </w:rPr>
        <w:t>lbania</w:t>
      </w:r>
      <w:r w:rsidR="009F7BAD">
        <w:rPr>
          <w:rFonts w:ascii="Times New Roman" w:hAnsi="Times New Roman" w:cs="Times New Roman"/>
          <w:bCs/>
          <w:noProof/>
          <w:sz w:val="24"/>
          <w:szCs w:val="24"/>
          <w:lang w:val="sq-AL"/>
        </w:rPr>
        <w:t>”</w:t>
      </w:r>
      <w:r w:rsidR="00400125" w:rsidRPr="00641640">
        <w:rPr>
          <w:rFonts w:ascii="Times New Roman" w:hAnsi="Times New Roman" w:cs="Times New Roman"/>
          <w:bCs/>
          <w:noProof/>
          <w:sz w:val="24"/>
          <w:szCs w:val="24"/>
          <w:lang w:val="sq-AL"/>
        </w:rPr>
        <w:t xml:space="preserve"> duhet t</w:t>
      </w:r>
      <w:r w:rsidR="00E72046"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jet</w:t>
      </w:r>
      <w:r w:rsidR="00E72046"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fleksib</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l dhe t</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 xml:space="preserve"> adaptohet me teknologjit</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 xml:space="preserve"> e reja, me q</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llim si ruajtjen e standardit t</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 xml:space="preserve"> vendosur p</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r qeverisjen digjitale, ashtu edhe p</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r t</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 xml:space="preserve"> p</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rmir</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suar m</w:t>
      </w:r>
      <w:r w:rsidR="00E72046"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tej ofrimin e sh</w:t>
      </w:r>
      <w:r w:rsidR="00E72046"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rbimeve publike. Duke qen</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 xml:space="preserve"> pika e vetme e kontaktit t</w:t>
      </w:r>
      <w:r w:rsidR="00E72046" w:rsidRPr="00641640">
        <w:rPr>
          <w:rFonts w:ascii="Times New Roman" w:hAnsi="Times New Roman" w:cs="Times New Roman"/>
          <w:bCs/>
          <w:noProof/>
          <w:sz w:val="24"/>
          <w:szCs w:val="24"/>
          <w:lang w:val="sq-AL"/>
        </w:rPr>
        <w:t>ë</w:t>
      </w:r>
      <w:r w:rsidR="00400125" w:rsidRPr="00641640">
        <w:rPr>
          <w:rFonts w:ascii="Times New Roman" w:hAnsi="Times New Roman" w:cs="Times New Roman"/>
          <w:bCs/>
          <w:noProof/>
          <w:sz w:val="24"/>
          <w:szCs w:val="24"/>
          <w:lang w:val="sq-AL"/>
        </w:rPr>
        <w:t xml:space="preserve"> qytetar</w:t>
      </w:r>
      <w:r w:rsidR="00E72046"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ve dhe bizneseve p</w:t>
      </w:r>
      <w:r w:rsidR="009F7BAD">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r marrjen e sh</w:t>
      </w:r>
      <w:r w:rsidR="009F7BAD">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rbimeve publike sfida e viteve t</w:t>
      </w:r>
      <w:r w:rsidR="009F7BAD">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fundit ka qen</w:t>
      </w:r>
      <w:r w:rsidR="009F7BAD">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p</w:t>
      </w:r>
      <w:r w:rsidR="009F7BAD">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rballja me rritjen e p</w:t>
      </w:r>
      <w:r w:rsidR="009F7BAD">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rdorueshm</w:t>
      </w:r>
      <w:r w:rsidR="009F7BAD">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ris</w:t>
      </w:r>
      <w:r w:rsidR="009F7BAD">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dhe trafikut n</w:t>
      </w:r>
      <w:r w:rsidR="009F7BAD">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m</w:t>
      </w:r>
      <w:r w:rsidR="009F7BAD">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nyr</w:t>
      </w:r>
      <w:r w:rsidR="009F7BAD">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eksponenciale si dhe garantimin e performa</w:t>
      </w:r>
      <w:r w:rsidR="00E72046" w:rsidRPr="00641640">
        <w:rPr>
          <w:rFonts w:ascii="Times New Roman" w:hAnsi="Times New Roman" w:cs="Times New Roman"/>
          <w:bCs/>
          <w:noProof/>
          <w:sz w:val="24"/>
          <w:szCs w:val="24"/>
          <w:lang w:val="sq-AL"/>
        </w:rPr>
        <w:t>nc</w:t>
      </w:r>
      <w:r w:rsidR="00DA55E2" w:rsidRPr="00641640">
        <w:rPr>
          <w:rFonts w:ascii="Times New Roman" w:hAnsi="Times New Roman" w:cs="Times New Roman"/>
          <w:bCs/>
          <w:noProof/>
          <w:sz w:val="24"/>
          <w:szCs w:val="24"/>
          <w:lang w:val="sq-AL"/>
        </w:rPr>
        <w:t>ë</w:t>
      </w:r>
      <w:r w:rsidR="00E72046" w:rsidRPr="00641640">
        <w:rPr>
          <w:rFonts w:ascii="Times New Roman" w:hAnsi="Times New Roman" w:cs="Times New Roman"/>
          <w:bCs/>
          <w:noProof/>
          <w:sz w:val="24"/>
          <w:szCs w:val="24"/>
          <w:lang w:val="sq-AL"/>
        </w:rPr>
        <w:t>s s</w:t>
      </w:r>
      <w:r w:rsidR="00DA55E2" w:rsidRPr="00641640">
        <w:rPr>
          <w:rFonts w:ascii="Times New Roman" w:hAnsi="Times New Roman" w:cs="Times New Roman"/>
          <w:bCs/>
          <w:noProof/>
          <w:sz w:val="24"/>
          <w:szCs w:val="24"/>
          <w:lang w:val="sq-AL"/>
        </w:rPr>
        <w:t>ë</w:t>
      </w:r>
      <w:r w:rsidR="00E72046" w:rsidRPr="00641640">
        <w:rPr>
          <w:rFonts w:ascii="Times New Roman" w:hAnsi="Times New Roman" w:cs="Times New Roman"/>
          <w:bCs/>
          <w:noProof/>
          <w:sz w:val="24"/>
          <w:szCs w:val="24"/>
          <w:lang w:val="sq-AL"/>
        </w:rPr>
        <w:t xml:space="preserve"> k</w:t>
      </w:r>
      <w:r w:rsidR="00DA55E2"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tyre infrastrukturave ekzistuese t</w:t>
      </w:r>
      <w:r w:rsidR="00DA55E2" w:rsidRPr="00641640">
        <w:rPr>
          <w:rFonts w:ascii="Times New Roman" w:hAnsi="Times New Roman" w:cs="Times New Roman"/>
          <w:bCs/>
          <w:noProof/>
          <w:sz w:val="24"/>
          <w:szCs w:val="24"/>
          <w:lang w:val="sq-AL"/>
        </w:rPr>
        <w:t>ë</w:t>
      </w:r>
      <w:r w:rsidR="00E72046" w:rsidRPr="00641640">
        <w:rPr>
          <w:rFonts w:ascii="Times New Roman" w:hAnsi="Times New Roman" w:cs="Times New Roman"/>
          <w:bCs/>
          <w:noProof/>
          <w:sz w:val="24"/>
          <w:szCs w:val="24"/>
          <w:lang w:val="sq-AL"/>
        </w:rPr>
        <w:t xml:space="preserve"> implementuara me teknologjit</w:t>
      </w:r>
      <w:r w:rsidR="00DA55E2"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e fundit</w:t>
      </w:r>
      <w:r w:rsidR="00E72046" w:rsidRPr="00641640">
        <w:rPr>
          <w:rFonts w:ascii="Times New Roman" w:hAnsi="Times New Roman" w:cs="Times New Roman"/>
          <w:bCs/>
          <w:noProof/>
          <w:sz w:val="24"/>
          <w:szCs w:val="24"/>
          <w:lang w:val="sq-AL"/>
        </w:rPr>
        <w:t>.</w:t>
      </w:r>
    </w:p>
    <w:p w14:paraId="17A66263" w14:textId="39E64FC9" w:rsidR="00197710" w:rsidRPr="00641640" w:rsidRDefault="001B18B0"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bCs/>
          <w:noProof/>
          <w:sz w:val="24"/>
          <w:szCs w:val="24"/>
          <w:lang w:val="sq-AL"/>
        </w:rPr>
        <w:t>Komponent</w:t>
      </w:r>
      <w:r w:rsidR="00E72046"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t e k</w:t>
      </w:r>
      <w:r w:rsidR="00E72046"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saj shtylle adresojn</w:t>
      </w:r>
      <w:r w:rsidR="00E72046" w:rsidRPr="00641640">
        <w:rPr>
          <w:rFonts w:ascii="Times New Roman" w:hAnsi="Times New Roman" w:cs="Times New Roman"/>
          <w:bCs/>
          <w:noProof/>
          <w:sz w:val="24"/>
          <w:szCs w:val="24"/>
          <w:lang w:val="sq-AL"/>
        </w:rPr>
        <w:t>ë</w:t>
      </w:r>
      <w:r w:rsidRPr="00641640">
        <w:rPr>
          <w:rFonts w:ascii="Times New Roman" w:hAnsi="Times New Roman" w:cs="Times New Roman"/>
          <w:bCs/>
          <w:noProof/>
          <w:sz w:val="24"/>
          <w:szCs w:val="24"/>
          <w:lang w:val="sq-AL"/>
        </w:rPr>
        <w:t xml:space="preserve"> </w:t>
      </w:r>
      <w:r w:rsidRPr="00641640">
        <w:rPr>
          <w:rFonts w:ascii="Times New Roman" w:hAnsi="Times New Roman" w:cs="Times New Roman"/>
          <w:noProof/>
          <w:sz w:val="24"/>
          <w:szCs w:val="24"/>
          <w:lang w:val="sq-AL"/>
        </w:rPr>
        <w:t>p</w:t>
      </w:r>
      <w:r w:rsidR="00197710" w:rsidRPr="00641640">
        <w:rPr>
          <w:rFonts w:ascii="Times New Roman" w:hAnsi="Times New Roman" w:cs="Times New Roman"/>
          <w:noProof/>
          <w:sz w:val="24"/>
          <w:szCs w:val="24"/>
          <w:lang w:val="sq-AL"/>
        </w:rPr>
        <w:t>ërmirësimi</w:t>
      </w:r>
      <w:r w:rsidRPr="00641640">
        <w:rPr>
          <w:rFonts w:ascii="Times New Roman" w:hAnsi="Times New Roman" w:cs="Times New Roman"/>
          <w:noProof/>
          <w:sz w:val="24"/>
          <w:szCs w:val="24"/>
          <w:lang w:val="sq-AL"/>
        </w:rPr>
        <w:t>n e</w:t>
      </w:r>
      <w:r w:rsidR="00197710" w:rsidRPr="00641640">
        <w:rPr>
          <w:rFonts w:ascii="Times New Roman" w:hAnsi="Times New Roman" w:cs="Times New Roman"/>
          <w:noProof/>
          <w:sz w:val="24"/>
          <w:szCs w:val="24"/>
          <w:lang w:val="sq-AL"/>
        </w:rPr>
        <w:t xml:space="preserve"> platformës e-Albania, </w:t>
      </w:r>
      <w:r w:rsidRPr="00641640">
        <w:rPr>
          <w:rFonts w:ascii="Times New Roman" w:hAnsi="Times New Roman" w:cs="Times New Roman"/>
          <w:noProof/>
          <w:sz w:val="24"/>
          <w:szCs w:val="24"/>
          <w:lang w:val="sq-AL"/>
        </w:rPr>
        <w:t>r</w:t>
      </w:r>
      <w:r w:rsidR="00197710" w:rsidRPr="00641640">
        <w:rPr>
          <w:rFonts w:ascii="Times New Roman" w:hAnsi="Times New Roman" w:cs="Times New Roman"/>
          <w:noProof/>
          <w:sz w:val="24"/>
          <w:szCs w:val="24"/>
          <w:lang w:val="sq-AL"/>
        </w:rPr>
        <w:t xml:space="preserve">i-inxhinierimin e shërbimeve </w:t>
      </w:r>
      <w:r w:rsidR="00A41D84" w:rsidRPr="00641640">
        <w:rPr>
          <w:rFonts w:ascii="Times New Roman" w:hAnsi="Times New Roman" w:cs="Times New Roman"/>
          <w:noProof/>
          <w:sz w:val="24"/>
          <w:szCs w:val="24"/>
          <w:lang w:val="sq-AL"/>
        </w:rPr>
        <w:t>p</w:t>
      </w:r>
      <w:r w:rsidR="00870DCD" w:rsidRPr="00641640">
        <w:rPr>
          <w:rFonts w:ascii="Times New Roman" w:hAnsi="Times New Roman" w:cs="Times New Roman"/>
          <w:noProof/>
          <w:sz w:val="24"/>
          <w:szCs w:val="24"/>
          <w:lang w:val="sq-AL"/>
        </w:rPr>
        <w:t>ë</w:t>
      </w:r>
      <w:r w:rsidR="00A41D84" w:rsidRPr="00641640">
        <w:rPr>
          <w:rFonts w:ascii="Times New Roman" w:hAnsi="Times New Roman" w:cs="Times New Roman"/>
          <w:noProof/>
          <w:sz w:val="24"/>
          <w:szCs w:val="24"/>
          <w:lang w:val="sq-AL"/>
        </w:rPr>
        <w:t xml:space="preserve">rmes </w:t>
      </w:r>
      <w:r w:rsidR="00197710" w:rsidRPr="00641640">
        <w:rPr>
          <w:rFonts w:ascii="Times New Roman" w:hAnsi="Times New Roman" w:cs="Times New Roman"/>
          <w:noProof/>
          <w:sz w:val="24"/>
          <w:szCs w:val="24"/>
          <w:lang w:val="sq-AL"/>
        </w:rPr>
        <w:t>thjeshtimi</w:t>
      </w:r>
      <w:r w:rsidR="00A41D84" w:rsidRPr="00641640">
        <w:rPr>
          <w:rFonts w:ascii="Times New Roman" w:hAnsi="Times New Roman" w:cs="Times New Roman"/>
          <w:noProof/>
          <w:sz w:val="24"/>
          <w:szCs w:val="24"/>
          <w:lang w:val="sq-AL"/>
        </w:rPr>
        <w:t>t t</w:t>
      </w:r>
      <w:r w:rsidR="00870DCD" w:rsidRPr="00641640">
        <w:rPr>
          <w:rFonts w:ascii="Times New Roman" w:hAnsi="Times New Roman" w:cs="Times New Roman"/>
          <w:noProof/>
          <w:sz w:val="24"/>
          <w:szCs w:val="24"/>
          <w:lang w:val="sq-AL"/>
        </w:rPr>
        <w:t>ë</w:t>
      </w:r>
      <w:r w:rsidR="00197710" w:rsidRPr="00641640">
        <w:rPr>
          <w:rFonts w:ascii="Times New Roman" w:hAnsi="Times New Roman" w:cs="Times New Roman"/>
          <w:noProof/>
          <w:sz w:val="24"/>
          <w:szCs w:val="24"/>
          <w:lang w:val="sq-AL"/>
        </w:rPr>
        <w:t xml:space="preserve"> procedurave administrative, si dhe </w:t>
      </w:r>
      <w:r w:rsidRPr="00641640">
        <w:rPr>
          <w:rFonts w:ascii="Times New Roman" w:hAnsi="Times New Roman" w:cs="Times New Roman"/>
          <w:noProof/>
          <w:sz w:val="24"/>
          <w:szCs w:val="24"/>
          <w:lang w:val="sq-AL"/>
        </w:rPr>
        <w:t>nd</w:t>
      </w:r>
      <w:r w:rsidR="00E72046"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rtimin dhe p</w:t>
      </w:r>
      <w:r w:rsidR="00E72046"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rsosjen e </w:t>
      </w:r>
      <w:r w:rsidR="00197710" w:rsidRPr="00641640">
        <w:rPr>
          <w:rFonts w:ascii="Times New Roman" w:hAnsi="Times New Roman" w:cs="Times New Roman"/>
          <w:noProof/>
          <w:sz w:val="24"/>
          <w:szCs w:val="24"/>
          <w:lang w:val="sq-AL"/>
        </w:rPr>
        <w:t>aftësi</w:t>
      </w:r>
      <w:r w:rsidRPr="00641640">
        <w:rPr>
          <w:rFonts w:ascii="Times New Roman" w:hAnsi="Times New Roman" w:cs="Times New Roman"/>
          <w:noProof/>
          <w:sz w:val="24"/>
          <w:szCs w:val="24"/>
          <w:lang w:val="sq-AL"/>
        </w:rPr>
        <w:t>ve</w:t>
      </w:r>
      <w:r w:rsidR="00197710" w:rsidRPr="00641640">
        <w:rPr>
          <w:rFonts w:ascii="Times New Roman" w:hAnsi="Times New Roman" w:cs="Times New Roman"/>
          <w:noProof/>
          <w:sz w:val="24"/>
          <w:szCs w:val="24"/>
          <w:lang w:val="sq-AL"/>
        </w:rPr>
        <w:t xml:space="preserve"> digjitale</w:t>
      </w:r>
      <w:r w:rsidRPr="00641640">
        <w:rPr>
          <w:rFonts w:ascii="Times New Roman" w:hAnsi="Times New Roman" w:cs="Times New Roman"/>
          <w:noProof/>
          <w:sz w:val="24"/>
          <w:szCs w:val="24"/>
          <w:lang w:val="sq-AL"/>
        </w:rPr>
        <w:t xml:space="preserve"> t</w:t>
      </w:r>
      <w:r w:rsidR="00E72046"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shoq</w:t>
      </w:r>
      <w:r w:rsidR="00E72046"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ris</w:t>
      </w:r>
      <w:r w:rsidR="00E72046"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s</w:t>
      </w:r>
      <w:r w:rsidR="00E72046" w:rsidRPr="00641640">
        <w:rPr>
          <w:rFonts w:ascii="Times New Roman" w:hAnsi="Times New Roman" w:cs="Times New Roman"/>
          <w:noProof/>
          <w:sz w:val="24"/>
          <w:szCs w:val="24"/>
          <w:lang w:val="sq-AL"/>
        </w:rPr>
        <w:t>ë</w:t>
      </w:r>
      <w:r w:rsidRPr="00641640">
        <w:rPr>
          <w:rFonts w:ascii="Times New Roman" w:hAnsi="Times New Roman" w:cs="Times New Roman"/>
          <w:noProof/>
          <w:sz w:val="24"/>
          <w:szCs w:val="24"/>
          <w:lang w:val="sq-AL"/>
        </w:rPr>
        <w:t xml:space="preserve"> gjer</w:t>
      </w:r>
      <w:r w:rsidR="00E72046" w:rsidRPr="00641640">
        <w:rPr>
          <w:rFonts w:ascii="Times New Roman" w:hAnsi="Times New Roman" w:cs="Times New Roman"/>
          <w:noProof/>
          <w:sz w:val="24"/>
          <w:szCs w:val="24"/>
          <w:lang w:val="sq-AL"/>
        </w:rPr>
        <w:t>ë</w:t>
      </w:r>
      <w:r w:rsidR="00197710" w:rsidRPr="0064164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w:t>
      </w:r>
      <w:r w:rsidR="00197710" w:rsidRPr="00641640">
        <w:rPr>
          <w:rFonts w:ascii="Times New Roman" w:hAnsi="Times New Roman" w:cs="Times New Roman"/>
          <w:noProof/>
          <w:sz w:val="24"/>
          <w:szCs w:val="24"/>
          <w:lang w:val="sq-AL"/>
        </w:rPr>
        <w:t xml:space="preserve">Masat që do të ndërmerren nën këtë shtyllë të </w:t>
      </w:r>
      <w:r w:rsidRPr="00641640">
        <w:rPr>
          <w:rFonts w:ascii="Times New Roman" w:hAnsi="Times New Roman" w:cs="Times New Roman"/>
          <w:noProof/>
          <w:sz w:val="24"/>
          <w:szCs w:val="24"/>
          <w:lang w:val="sq-AL"/>
        </w:rPr>
        <w:t>S</w:t>
      </w:r>
      <w:r w:rsidR="00197710" w:rsidRPr="00641640">
        <w:rPr>
          <w:rFonts w:ascii="Times New Roman" w:hAnsi="Times New Roman" w:cs="Times New Roman"/>
          <w:noProof/>
          <w:sz w:val="24"/>
          <w:szCs w:val="24"/>
          <w:lang w:val="sq-AL"/>
        </w:rPr>
        <w:t xml:space="preserve">trategjisë synojnë të ofrojnë shërbime digjitale gjithëpërfshirëse dhe pa kufi, për qytetarët dhe bizneset. </w:t>
      </w:r>
    </w:p>
    <w:p w14:paraId="65192D41" w14:textId="520EAD98" w:rsidR="00197710" w:rsidRPr="00641640" w:rsidRDefault="00197710"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Vizioni është i qartë dhe ambicioz sa i përket vijimit të punës për </w:t>
      </w:r>
      <w:r w:rsidR="008634DF" w:rsidRPr="00641640">
        <w:rPr>
          <w:rFonts w:ascii="Times New Roman" w:hAnsi="Times New Roman" w:cs="Times New Roman"/>
          <w:noProof/>
          <w:sz w:val="24"/>
          <w:szCs w:val="24"/>
          <w:lang w:val="sq-AL"/>
        </w:rPr>
        <w:t>t</w:t>
      </w:r>
      <w:r w:rsidRPr="00641640">
        <w:rPr>
          <w:rFonts w:ascii="Times New Roman" w:hAnsi="Times New Roman" w:cs="Times New Roman"/>
          <w:noProof/>
          <w:sz w:val="24"/>
          <w:szCs w:val="24"/>
          <w:lang w:val="sq-AL"/>
        </w:rPr>
        <w:t xml:space="preserve">ransformimin </w:t>
      </w:r>
      <w:r w:rsidR="008634DF" w:rsidRPr="00641640">
        <w:rPr>
          <w:rFonts w:ascii="Times New Roman" w:hAnsi="Times New Roman" w:cs="Times New Roman"/>
          <w:noProof/>
          <w:sz w:val="24"/>
          <w:szCs w:val="24"/>
          <w:lang w:val="sq-AL"/>
        </w:rPr>
        <w:t>d</w:t>
      </w:r>
      <w:r w:rsidRPr="00641640">
        <w:rPr>
          <w:rFonts w:ascii="Times New Roman" w:hAnsi="Times New Roman" w:cs="Times New Roman"/>
          <w:noProof/>
          <w:sz w:val="24"/>
          <w:szCs w:val="24"/>
          <w:lang w:val="sq-AL"/>
        </w:rPr>
        <w:t>igjital, të mbështetur nga Agjenda Digjitale e Shqipërisë 2022 – 2026, e cila ka synimin të inkurajojë investimet në fushat kyçe të teknologjisë, siç janë</w:t>
      </w:r>
      <w:r w:rsidR="003A46EA">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informatika e avancuar, përpunimi i të dhënave, inteligjenca artificiale, siguria kibernetike dhe aftësitë digjitale të avancuara, të cilat janë thelbësore për zhvillimin e vendit. Synimi është</w:t>
      </w:r>
      <w:r w:rsidR="003A46EA">
        <w:rPr>
          <w:rFonts w:ascii="Times New Roman" w:hAnsi="Times New Roman" w:cs="Times New Roman"/>
          <w:noProof/>
          <w:sz w:val="24"/>
          <w:szCs w:val="24"/>
          <w:lang w:val="sq-AL"/>
        </w:rPr>
        <w:t xml:space="preserve"> që</w:t>
      </w:r>
      <w:r w:rsidRPr="00641640">
        <w:rPr>
          <w:rFonts w:ascii="Times New Roman" w:hAnsi="Times New Roman" w:cs="Times New Roman"/>
          <w:noProof/>
          <w:sz w:val="24"/>
          <w:szCs w:val="24"/>
          <w:lang w:val="sq-AL"/>
        </w:rPr>
        <w:t xml:space="preserve"> të lidhim bizneset, administratën publike dhe qytetarët me teknologjinë dhe burimet më të fundit të saj, duke siguruar njëkohësisht që këto shërbime të jenë të aksesueshme edhe për personat me njohuri digjitale të limituar apo mungesë në mjetet teknologjike që i nevojiten. </w:t>
      </w:r>
    </w:p>
    <w:p w14:paraId="11EA06C9" w14:textId="77777777" w:rsidR="00197710" w:rsidRPr="00641640" w:rsidRDefault="00197710"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Në kuadër të këtij vizioni, do të punohet për të zhvilluar më tej qeverisjen elektronike dhe proceset e digjitalizimit të administratës publike. Synohet të përmirësohet qasja e qytetarëve dhe bizneseve ndaj shërbimeve, duke u ofruar atyre mundësi më të lehta dhe të shpejta për të përfituar shërbimet publike. Ky përmirësim do të shoqërohet me një rritje të ndjeshme të cilësisë së shërbimeve elektronike, duke i bërë ato më efikase dhe transparente.</w:t>
      </w:r>
    </w:p>
    <w:p w14:paraId="3C768AFC" w14:textId="3B076E95" w:rsidR="00002538" w:rsidRPr="00641640" w:rsidRDefault="002B0163" w:rsidP="003A395D">
      <w:pPr>
        <w:spacing w:line="276" w:lineRule="auto"/>
        <w:jc w:val="both"/>
        <w:rPr>
          <w:rFonts w:ascii="Times New Roman" w:hAnsi="Times New Roman" w:cs="Times New Roman"/>
          <w:bCs/>
          <w:noProof/>
          <w:sz w:val="24"/>
          <w:szCs w:val="24"/>
          <w:lang w:val="sq-AL"/>
        </w:rPr>
      </w:pPr>
      <w:r w:rsidRPr="00641640">
        <w:rPr>
          <w:rFonts w:ascii="Times New Roman" w:hAnsi="Times New Roman" w:cs="Times New Roman"/>
          <w:bCs/>
          <w:noProof/>
          <w:sz w:val="24"/>
          <w:szCs w:val="24"/>
          <w:lang w:val="sq-AL"/>
        </w:rPr>
        <w:lastRenderedPageBreak/>
        <w:t xml:space="preserve">Objektivat </w:t>
      </w:r>
      <w:r w:rsidR="00F522A2" w:rsidRPr="00641640">
        <w:rPr>
          <w:rFonts w:ascii="Times New Roman" w:hAnsi="Times New Roman" w:cs="Times New Roman"/>
          <w:bCs/>
          <w:noProof/>
          <w:sz w:val="24"/>
          <w:szCs w:val="24"/>
          <w:lang w:val="sq-AL"/>
        </w:rPr>
        <w:t>Specifikë të</w:t>
      </w:r>
      <w:r w:rsidRPr="00641640">
        <w:rPr>
          <w:rFonts w:ascii="Times New Roman" w:hAnsi="Times New Roman" w:cs="Times New Roman"/>
          <w:bCs/>
          <w:noProof/>
          <w:sz w:val="24"/>
          <w:szCs w:val="24"/>
          <w:lang w:val="sq-AL"/>
        </w:rPr>
        <w:t xml:space="preserve"> mëposhtëm dhe masat e renditura për secilin </w:t>
      </w:r>
      <w:r w:rsidR="00DB6CE3" w:rsidRPr="00641640">
        <w:rPr>
          <w:rFonts w:ascii="Times New Roman" w:hAnsi="Times New Roman" w:cs="Times New Roman"/>
          <w:bCs/>
          <w:noProof/>
          <w:sz w:val="24"/>
          <w:szCs w:val="24"/>
          <w:lang w:val="sq-AL"/>
        </w:rPr>
        <w:t>O</w:t>
      </w:r>
      <w:r w:rsidRPr="00641640">
        <w:rPr>
          <w:rFonts w:ascii="Times New Roman" w:hAnsi="Times New Roman" w:cs="Times New Roman"/>
          <w:bCs/>
          <w:noProof/>
          <w:sz w:val="24"/>
          <w:szCs w:val="24"/>
          <w:lang w:val="sq-AL"/>
        </w:rPr>
        <w:t xml:space="preserve">bjektiv do t’i shërbejnë arritjes së </w:t>
      </w:r>
      <w:r w:rsidR="00DB6CE3" w:rsidRPr="00641640">
        <w:rPr>
          <w:rFonts w:ascii="Times New Roman" w:hAnsi="Times New Roman" w:cs="Times New Roman"/>
          <w:bCs/>
          <w:noProof/>
          <w:sz w:val="24"/>
          <w:szCs w:val="24"/>
          <w:lang w:val="sq-AL"/>
        </w:rPr>
        <w:t>Q</w:t>
      </w:r>
      <w:r w:rsidRPr="00641640">
        <w:rPr>
          <w:rFonts w:ascii="Times New Roman" w:hAnsi="Times New Roman" w:cs="Times New Roman"/>
          <w:bCs/>
          <w:noProof/>
          <w:sz w:val="24"/>
          <w:szCs w:val="24"/>
          <w:lang w:val="sq-AL"/>
        </w:rPr>
        <w:t xml:space="preserve">ëllimit të </w:t>
      </w:r>
      <w:r w:rsidR="00DB6CE3" w:rsidRPr="00641640">
        <w:rPr>
          <w:rFonts w:ascii="Times New Roman" w:hAnsi="Times New Roman" w:cs="Times New Roman"/>
          <w:bCs/>
          <w:noProof/>
          <w:sz w:val="24"/>
          <w:szCs w:val="24"/>
          <w:lang w:val="sq-AL"/>
        </w:rPr>
        <w:t>P</w:t>
      </w:r>
      <w:r w:rsidRPr="00641640">
        <w:rPr>
          <w:rFonts w:ascii="Times New Roman" w:hAnsi="Times New Roman" w:cs="Times New Roman"/>
          <w:bCs/>
          <w:noProof/>
          <w:sz w:val="24"/>
          <w:szCs w:val="24"/>
          <w:lang w:val="sq-AL"/>
        </w:rPr>
        <w:t>olitik</w:t>
      </w:r>
      <w:r w:rsidR="00DB6CE3" w:rsidRPr="00641640">
        <w:rPr>
          <w:rFonts w:ascii="Times New Roman" w:hAnsi="Times New Roman" w:cs="Times New Roman"/>
          <w:bCs/>
          <w:noProof/>
          <w:sz w:val="24"/>
          <w:szCs w:val="24"/>
          <w:lang w:val="sq-AL"/>
        </w:rPr>
        <w:t>ës</w:t>
      </w:r>
      <w:r w:rsidRPr="00641640">
        <w:rPr>
          <w:rFonts w:ascii="Times New Roman" w:hAnsi="Times New Roman" w:cs="Times New Roman"/>
          <w:bCs/>
          <w:noProof/>
          <w:sz w:val="24"/>
          <w:szCs w:val="24"/>
          <w:lang w:val="sq-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165"/>
        <w:gridCol w:w="276"/>
        <w:gridCol w:w="534"/>
        <w:gridCol w:w="7375"/>
      </w:tblGrid>
      <w:tr w:rsidR="00002538" w:rsidRPr="00641640" w14:paraId="6178908D" w14:textId="77777777" w:rsidTr="00DB080D">
        <w:tc>
          <w:tcPr>
            <w:tcW w:w="9350" w:type="dxa"/>
            <w:gridSpan w:val="4"/>
            <w:shd w:val="clear" w:color="auto" w:fill="E2EFD9" w:themeFill="accent6" w:themeFillTint="33"/>
          </w:tcPr>
          <w:p w14:paraId="002A9562" w14:textId="1320F670" w:rsidR="00002538" w:rsidRPr="00641640" w:rsidRDefault="00002538" w:rsidP="00ED1AF0">
            <w:pPr>
              <w:pStyle w:val="T-normal"/>
              <w:shd w:val="clear" w:color="auto" w:fill="E2EFD9" w:themeFill="accent6" w:themeFillTint="33"/>
              <w:spacing w:before="240" w:line="276" w:lineRule="auto"/>
              <w:jc w:val="center"/>
              <w:rPr>
                <w:rFonts w:ascii="Times New Roman" w:hAnsi="Times New Roman" w:cs="Times New Roman"/>
                <w:b/>
                <w:bCs/>
                <w:noProof/>
                <w:color w:val="003300"/>
                <w:sz w:val="18"/>
                <w:szCs w:val="18"/>
                <w:lang w:val="sq-AL"/>
              </w:rPr>
            </w:pPr>
            <w:r w:rsidRPr="00641640">
              <w:rPr>
                <w:rFonts w:ascii="Times New Roman" w:hAnsi="Times New Roman" w:cs="Times New Roman"/>
                <w:b/>
                <w:bCs/>
                <w:noProof/>
                <w:color w:val="003300"/>
                <w:sz w:val="18"/>
                <w:szCs w:val="18"/>
                <w:lang w:val="sq-AL"/>
              </w:rPr>
              <w:t xml:space="preserve">PËRMBLEDHJE E QËLLIMIT TË POLITIKËS </w:t>
            </w:r>
            <w:r w:rsidR="00B618D2" w:rsidRPr="00641640">
              <w:rPr>
                <w:rFonts w:ascii="Times New Roman" w:hAnsi="Times New Roman" w:cs="Times New Roman"/>
                <w:b/>
                <w:bCs/>
                <w:noProof/>
                <w:color w:val="003300"/>
                <w:sz w:val="18"/>
                <w:szCs w:val="18"/>
                <w:lang w:val="sq-AL"/>
              </w:rPr>
              <w:t>III</w:t>
            </w:r>
            <w:r w:rsidRPr="00641640">
              <w:rPr>
                <w:rFonts w:ascii="Times New Roman" w:hAnsi="Times New Roman" w:cs="Times New Roman"/>
                <w:b/>
                <w:bCs/>
                <w:noProof/>
                <w:color w:val="003300"/>
                <w:sz w:val="18"/>
                <w:szCs w:val="18"/>
                <w:lang w:val="sq-AL"/>
              </w:rPr>
              <w:t xml:space="preserve"> – </w:t>
            </w:r>
            <w:r w:rsidR="00505038" w:rsidRPr="00641640">
              <w:rPr>
                <w:rFonts w:ascii="Times New Roman" w:hAnsi="Times New Roman" w:cs="Times New Roman"/>
                <w:b/>
                <w:bCs/>
                <w:noProof/>
                <w:color w:val="003300"/>
                <w:sz w:val="18"/>
                <w:szCs w:val="18"/>
                <w:lang w:val="sq-AL"/>
              </w:rPr>
              <w:t>OFRIMI I SHËRBIMEVE DHE DIGJITALIZIMI</w:t>
            </w:r>
          </w:p>
          <w:p w14:paraId="37841724" w14:textId="46EE4076" w:rsidR="00ED1AF0" w:rsidRPr="00641640" w:rsidRDefault="00ED1AF0" w:rsidP="00ED1AF0">
            <w:pPr>
              <w:pStyle w:val="T-normal"/>
              <w:shd w:val="clear" w:color="auto" w:fill="E2EFD9" w:themeFill="accent6" w:themeFillTint="33"/>
              <w:spacing w:line="276" w:lineRule="auto"/>
              <w:jc w:val="center"/>
              <w:rPr>
                <w:rFonts w:ascii="Times New Roman" w:hAnsi="Times New Roman" w:cs="Times New Roman"/>
                <w:b/>
                <w:bCs/>
                <w:noProof/>
                <w:color w:val="385623" w:themeColor="accent6" w:themeShade="80"/>
                <w:sz w:val="18"/>
                <w:szCs w:val="18"/>
                <w:lang w:val="sq-AL"/>
              </w:rPr>
            </w:pPr>
          </w:p>
        </w:tc>
      </w:tr>
      <w:tr w:rsidR="00002538" w:rsidRPr="00641640" w14:paraId="7C1B310D" w14:textId="77777777" w:rsidTr="00DB080D">
        <w:tc>
          <w:tcPr>
            <w:tcW w:w="9350" w:type="dxa"/>
            <w:gridSpan w:val="4"/>
            <w:shd w:val="clear" w:color="auto" w:fill="E2EFD9" w:themeFill="accent6" w:themeFillTint="33"/>
          </w:tcPr>
          <w:p w14:paraId="040C10DB" w14:textId="77777777" w:rsidR="00002538" w:rsidRPr="00641640" w:rsidRDefault="0084525E" w:rsidP="002C31DE">
            <w:pPr>
              <w:pStyle w:val="T-normal"/>
              <w:spacing w:line="276" w:lineRule="auto"/>
              <w:jc w:val="both"/>
              <w:rPr>
                <w:rFonts w:ascii="Times New Roman" w:eastAsia="Times New Roman" w:hAnsi="Times New Roman" w:cs="Times New Roman"/>
                <w:b/>
                <w:i/>
                <w:iCs/>
                <w:noProof/>
                <w:color w:val="C45911" w:themeColor="accent2" w:themeShade="BF"/>
                <w:sz w:val="20"/>
                <w:szCs w:val="20"/>
                <w:lang w:val="sq-AL"/>
              </w:rPr>
            </w:pPr>
            <w:r w:rsidRPr="00641640">
              <w:rPr>
                <w:rFonts w:ascii="Times New Roman" w:hAnsi="Times New Roman" w:cs="Times New Roman"/>
                <w:b/>
                <w:bCs/>
                <w:i/>
                <w:iCs/>
                <w:noProof/>
                <w:color w:val="C45911" w:themeColor="accent2" w:themeShade="BF"/>
                <w:sz w:val="20"/>
                <w:szCs w:val="20"/>
                <w:lang w:val="sq-AL"/>
              </w:rPr>
              <w:t>Komponenti 3.1</w:t>
            </w:r>
            <w:r w:rsidR="00B618D2" w:rsidRPr="00641640">
              <w:rPr>
                <w:rFonts w:ascii="Times New Roman" w:hAnsi="Times New Roman" w:cs="Times New Roman"/>
                <w:b/>
                <w:bCs/>
                <w:i/>
                <w:iCs/>
                <w:noProof/>
                <w:color w:val="C45911" w:themeColor="accent2" w:themeShade="BF"/>
                <w:sz w:val="20"/>
                <w:szCs w:val="20"/>
                <w:lang w:val="sq-AL"/>
              </w:rPr>
              <w:t xml:space="preserve">: </w:t>
            </w:r>
            <w:r w:rsidRPr="00641640">
              <w:rPr>
                <w:rFonts w:ascii="Times New Roman" w:eastAsia="Times New Roman" w:hAnsi="Times New Roman" w:cs="Times New Roman"/>
                <w:b/>
                <w:i/>
                <w:iCs/>
                <w:noProof/>
                <w:color w:val="C45911" w:themeColor="accent2" w:themeShade="BF"/>
                <w:sz w:val="20"/>
                <w:szCs w:val="20"/>
                <w:lang w:val="sq-AL"/>
              </w:rPr>
              <w:t>Ri-inxhinierimi i shërbimeve dhe thjeshtimi i procedurave administrative</w:t>
            </w:r>
          </w:p>
          <w:p w14:paraId="694E4E35" w14:textId="02F13B65" w:rsidR="00D66D4B" w:rsidRPr="00641640" w:rsidRDefault="00D66D4B" w:rsidP="002C31DE">
            <w:pPr>
              <w:pStyle w:val="T-normal"/>
              <w:spacing w:line="276" w:lineRule="auto"/>
              <w:jc w:val="both"/>
              <w:rPr>
                <w:rFonts w:ascii="Times New Roman" w:hAnsi="Times New Roman" w:cs="Times New Roman"/>
                <w:i/>
                <w:iCs/>
                <w:noProof/>
                <w:color w:val="C45911" w:themeColor="accent2" w:themeShade="BF"/>
                <w:sz w:val="10"/>
                <w:szCs w:val="10"/>
                <w:lang w:val="sq-AL"/>
              </w:rPr>
            </w:pPr>
          </w:p>
        </w:tc>
      </w:tr>
      <w:tr w:rsidR="00002538" w:rsidRPr="00641640" w14:paraId="3DE496C7" w14:textId="77777777" w:rsidTr="00DB080D">
        <w:tc>
          <w:tcPr>
            <w:tcW w:w="1975" w:type="dxa"/>
            <w:gridSpan w:val="3"/>
            <w:shd w:val="clear" w:color="auto" w:fill="E2EFD9" w:themeFill="accent6" w:themeFillTint="33"/>
          </w:tcPr>
          <w:p w14:paraId="3A35ABD8" w14:textId="6BC6EC5D" w:rsidR="00002538" w:rsidRPr="00641640" w:rsidRDefault="00002538" w:rsidP="002C31DE">
            <w:pPr>
              <w:pStyle w:val="T-normal"/>
              <w:spacing w:line="276" w:lineRule="auto"/>
              <w:jc w:val="both"/>
              <w:rPr>
                <w:rFonts w:ascii="Times New Roman" w:hAnsi="Times New Roman" w:cs="Times New Roman"/>
                <w:noProof/>
                <w:color w:val="003300"/>
                <w:sz w:val="18"/>
                <w:szCs w:val="18"/>
                <w:lang w:val="sq-AL"/>
              </w:rPr>
            </w:pPr>
            <w:r w:rsidRPr="00641640">
              <w:rPr>
                <w:rFonts w:ascii="Times New Roman" w:hAnsi="Times New Roman" w:cs="Times New Roman"/>
                <w:b/>
                <w:bCs/>
                <w:noProof/>
                <w:color w:val="003300"/>
                <w:sz w:val="18"/>
                <w:szCs w:val="18"/>
                <w:lang w:val="sq-AL"/>
              </w:rPr>
              <w:t xml:space="preserve">Objektivi Specifik </w:t>
            </w:r>
            <w:r w:rsidR="00505038" w:rsidRPr="00641640">
              <w:rPr>
                <w:rFonts w:ascii="Times New Roman" w:hAnsi="Times New Roman" w:cs="Times New Roman"/>
                <w:b/>
                <w:bCs/>
                <w:noProof/>
                <w:color w:val="003300"/>
                <w:sz w:val="18"/>
                <w:szCs w:val="18"/>
                <w:lang w:val="sq-AL"/>
              </w:rPr>
              <w:t>3</w:t>
            </w:r>
            <w:r w:rsidRPr="00641640">
              <w:rPr>
                <w:rFonts w:ascii="Times New Roman" w:hAnsi="Times New Roman" w:cs="Times New Roman"/>
                <w:b/>
                <w:bCs/>
                <w:noProof/>
                <w:color w:val="003300"/>
                <w:sz w:val="18"/>
                <w:szCs w:val="18"/>
                <w:lang w:val="sq-AL"/>
              </w:rPr>
              <w:t>.1:</w:t>
            </w:r>
          </w:p>
        </w:tc>
        <w:tc>
          <w:tcPr>
            <w:tcW w:w="7375" w:type="dxa"/>
            <w:shd w:val="clear" w:color="auto" w:fill="E2EFD9" w:themeFill="accent6" w:themeFillTint="33"/>
          </w:tcPr>
          <w:p w14:paraId="5C88DB14" w14:textId="77777777" w:rsidR="00002538" w:rsidRPr="00641640" w:rsidRDefault="00C52E5C" w:rsidP="00505038">
            <w:pPr>
              <w:pStyle w:val="T-normal"/>
              <w:spacing w:line="276" w:lineRule="auto"/>
              <w:jc w:val="both"/>
              <w:rPr>
                <w:rFonts w:ascii="Times New Roman" w:hAnsi="Times New Roman" w:cs="Times New Roman"/>
                <w:b/>
                <w:bCs/>
                <w:noProof/>
                <w:color w:val="003300"/>
                <w:sz w:val="18"/>
                <w:szCs w:val="18"/>
                <w:lang w:val="sq-AL"/>
              </w:rPr>
            </w:pPr>
            <w:r w:rsidRPr="00641640">
              <w:rPr>
                <w:rFonts w:ascii="Times New Roman" w:hAnsi="Times New Roman" w:cs="Times New Roman"/>
                <w:b/>
                <w:bCs/>
                <w:noProof/>
                <w:color w:val="003300"/>
                <w:sz w:val="18"/>
                <w:szCs w:val="18"/>
                <w:lang w:val="sq-AL"/>
              </w:rPr>
              <w:t>Ri-inxhinierimi dhe optimizimi i shërbimeve publike elektronike, duke rritur aksesin për qytetarët dhe bizneset, si dhe efikasitetin përmes teknologjisë së avancuar dhe thjeshtimit të proceseve me fokus te përdoruesi.</w:t>
            </w:r>
          </w:p>
          <w:p w14:paraId="19D93C22" w14:textId="71D9CEE9" w:rsidR="00D22B33" w:rsidRPr="00641640" w:rsidRDefault="00D22B33" w:rsidP="00505038">
            <w:pPr>
              <w:pStyle w:val="T-normal"/>
              <w:spacing w:line="276" w:lineRule="auto"/>
              <w:jc w:val="both"/>
              <w:rPr>
                <w:rFonts w:ascii="Times New Roman" w:hAnsi="Times New Roman" w:cs="Times New Roman"/>
                <w:b/>
                <w:bCs/>
                <w:noProof/>
                <w:color w:val="003300"/>
                <w:sz w:val="12"/>
                <w:szCs w:val="12"/>
                <w:lang w:val="sq-AL"/>
              </w:rPr>
            </w:pPr>
          </w:p>
        </w:tc>
      </w:tr>
      <w:tr w:rsidR="00002538" w:rsidRPr="00641640" w14:paraId="3BAF98E0" w14:textId="77777777" w:rsidTr="00DB080D">
        <w:tc>
          <w:tcPr>
            <w:tcW w:w="1165" w:type="dxa"/>
            <w:shd w:val="clear" w:color="auto" w:fill="E2EFD9" w:themeFill="accent6" w:themeFillTint="33"/>
          </w:tcPr>
          <w:p w14:paraId="08BEC79D" w14:textId="62A9C8C5" w:rsidR="00002538" w:rsidRPr="00641640" w:rsidRDefault="00002538"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D22B33" w:rsidRPr="00641640">
              <w:rPr>
                <w:rFonts w:ascii="Times New Roman" w:hAnsi="Times New Roman" w:cs="Times New Roman"/>
                <w:noProof/>
                <w:sz w:val="18"/>
                <w:szCs w:val="18"/>
                <w:lang w:val="sq-AL"/>
              </w:rPr>
              <w:t>3</w:t>
            </w:r>
            <w:r w:rsidRPr="00641640">
              <w:rPr>
                <w:rFonts w:ascii="Times New Roman" w:hAnsi="Times New Roman" w:cs="Times New Roman"/>
                <w:noProof/>
                <w:sz w:val="18"/>
                <w:szCs w:val="18"/>
                <w:lang w:val="sq-AL"/>
              </w:rPr>
              <w:t>.1.1</w:t>
            </w:r>
          </w:p>
        </w:tc>
        <w:tc>
          <w:tcPr>
            <w:tcW w:w="276" w:type="dxa"/>
            <w:shd w:val="clear" w:color="auto" w:fill="E2EFD9" w:themeFill="accent6" w:themeFillTint="33"/>
          </w:tcPr>
          <w:p w14:paraId="19FC8B95" w14:textId="77777777" w:rsidR="00002538" w:rsidRPr="00641640" w:rsidRDefault="00002538"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75DBE305" w14:textId="77777777" w:rsidR="00002538" w:rsidRPr="00641640" w:rsidRDefault="000D59FC"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Ri-inxhinierimi i portalit e-Albania bazuar në Aksesueshmërinë dhe Përvojën e Përdoruesit (UX).</w:t>
            </w:r>
          </w:p>
          <w:p w14:paraId="088399CA" w14:textId="4DE53A34" w:rsidR="00297F4C" w:rsidRPr="00641640" w:rsidRDefault="00297F4C" w:rsidP="002C31DE">
            <w:pPr>
              <w:pStyle w:val="T-normal"/>
              <w:spacing w:line="276" w:lineRule="auto"/>
              <w:jc w:val="both"/>
              <w:rPr>
                <w:rFonts w:ascii="Times New Roman" w:hAnsi="Times New Roman" w:cs="Times New Roman"/>
                <w:noProof/>
                <w:sz w:val="8"/>
                <w:szCs w:val="8"/>
                <w:lang w:val="sq-AL"/>
              </w:rPr>
            </w:pPr>
          </w:p>
        </w:tc>
      </w:tr>
      <w:tr w:rsidR="00002538" w:rsidRPr="00641640" w14:paraId="14964E8D" w14:textId="77777777" w:rsidTr="00DB080D">
        <w:tc>
          <w:tcPr>
            <w:tcW w:w="1165" w:type="dxa"/>
            <w:shd w:val="clear" w:color="auto" w:fill="E2EFD9" w:themeFill="accent6" w:themeFillTint="33"/>
          </w:tcPr>
          <w:p w14:paraId="5A888F95" w14:textId="1C252E20" w:rsidR="00002538" w:rsidRPr="00641640" w:rsidRDefault="00002538"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w:t>
            </w:r>
            <w:r w:rsidRPr="00641640" w:rsidDel="009179B8">
              <w:rPr>
                <w:rFonts w:ascii="Times New Roman" w:hAnsi="Times New Roman" w:cs="Times New Roman"/>
                <w:noProof/>
                <w:sz w:val="18"/>
                <w:szCs w:val="18"/>
                <w:lang w:val="sq-AL"/>
              </w:rPr>
              <w:t xml:space="preserve"> </w:t>
            </w:r>
            <w:r w:rsidR="000D59FC" w:rsidRPr="00641640">
              <w:rPr>
                <w:rFonts w:ascii="Times New Roman" w:hAnsi="Times New Roman" w:cs="Times New Roman"/>
                <w:noProof/>
                <w:sz w:val="18"/>
                <w:szCs w:val="18"/>
                <w:lang w:val="sq-AL"/>
              </w:rPr>
              <w:t>3</w:t>
            </w:r>
            <w:r w:rsidRPr="00641640">
              <w:rPr>
                <w:rFonts w:ascii="Times New Roman" w:hAnsi="Times New Roman" w:cs="Times New Roman"/>
                <w:noProof/>
                <w:sz w:val="18"/>
                <w:szCs w:val="18"/>
                <w:lang w:val="sq-AL"/>
              </w:rPr>
              <w:t>.1.2</w:t>
            </w:r>
          </w:p>
        </w:tc>
        <w:tc>
          <w:tcPr>
            <w:tcW w:w="276" w:type="dxa"/>
            <w:shd w:val="clear" w:color="auto" w:fill="E2EFD9" w:themeFill="accent6" w:themeFillTint="33"/>
          </w:tcPr>
          <w:p w14:paraId="43F92889" w14:textId="77777777" w:rsidR="00002538" w:rsidRPr="00641640" w:rsidRDefault="00002538"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3413CBCF" w14:textId="77777777" w:rsidR="00002538" w:rsidRPr="00641640" w:rsidRDefault="0052201D"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Riorganizimi i shërbimeve elektronike me standarde të larta, të personalizuara dhe të bazuara në ngjarje proaktive.</w:t>
            </w:r>
          </w:p>
          <w:p w14:paraId="4894EEB4" w14:textId="2E81D478" w:rsidR="00297F4C" w:rsidRPr="00641640" w:rsidRDefault="00297F4C" w:rsidP="002C31DE">
            <w:pPr>
              <w:pStyle w:val="T-normal"/>
              <w:spacing w:line="276" w:lineRule="auto"/>
              <w:jc w:val="both"/>
              <w:rPr>
                <w:rFonts w:ascii="Times New Roman" w:hAnsi="Times New Roman" w:cs="Times New Roman"/>
                <w:noProof/>
                <w:sz w:val="8"/>
                <w:szCs w:val="8"/>
                <w:lang w:val="sq-AL"/>
              </w:rPr>
            </w:pPr>
          </w:p>
        </w:tc>
      </w:tr>
      <w:tr w:rsidR="00002538" w:rsidRPr="00641640" w14:paraId="09F89011" w14:textId="77777777" w:rsidTr="00DB080D">
        <w:tc>
          <w:tcPr>
            <w:tcW w:w="1165" w:type="dxa"/>
            <w:shd w:val="clear" w:color="auto" w:fill="E2EFD9" w:themeFill="accent6" w:themeFillTint="33"/>
          </w:tcPr>
          <w:p w14:paraId="655044EC" w14:textId="68AEE9A1" w:rsidR="00002538" w:rsidRPr="00641640" w:rsidRDefault="00002538"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w:t>
            </w:r>
            <w:r w:rsidRPr="00641640" w:rsidDel="009179B8">
              <w:rPr>
                <w:rFonts w:ascii="Times New Roman" w:hAnsi="Times New Roman" w:cs="Times New Roman"/>
                <w:noProof/>
                <w:sz w:val="18"/>
                <w:szCs w:val="18"/>
                <w:lang w:val="sq-AL"/>
              </w:rPr>
              <w:t xml:space="preserve"> </w:t>
            </w:r>
            <w:r w:rsidR="000D59FC" w:rsidRPr="00641640">
              <w:rPr>
                <w:rFonts w:ascii="Times New Roman" w:hAnsi="Times New Roman" w:cs="Times New Roman"/>
                <w:noProof/>
                <w:sz w:val="18"/>
                <w:szCs w:val="18"/>
                <w:lang w:val="sq-AL"/>
              </w:rPr>
              <w:t>3</w:t>
            </w:r>
            <w:r w:rsidRPr="00641640">
              <w:rPr>
                <w:rFonts w:ascii="Times New Roman" w:hAnsi="Times New Roman" w:cs="Times New Roman"/>
                <w:noProof/>
                <w:sz w:val="18"/>
                <w:szCs w:val="18"/>
                <w:lang w:val="sq-AL"/>
              </w:rPr>
              <w:t>.1.3</w:t>
            </w:r>
          </w:p>
        </w:tc>
        <w:tc>
          <w:tcPr>
            <w:tcW w:w="276" w:type="dxa"/>
            <w:shd w:val="clear" w:color="auto" w:fill="E2EFD9" w:themeFill="accent6" w:themeFillTint="33"/>
          </w:tcPr>
          <w:p w14:paraId="5370F96F" w14:textId="77777777" w:rsidR="00002538" w:rsidRPr="00641640" w:rsidRDefault="00002538"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301E0026" w14:textId="7EFE61E6" w:rsidR="00002538" w:rsidRPr="00641640" w:rsidRDefault="0052201D"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Përditësimi i Infrastrukturës bazë të shërbimeve elektronike dhe Platformës Qeveritare të Ndërveprimit (GG).</w:t>
            </w:r>
          </w:p>
        </w:tc>
      </w:tr>
      <w:tr w:rsidR="00002538" w:rsidRPr="00641640" w14:paraId="512A85BB" w14:textId="77777777" w:rsidTr="00DB080D">
        <w:tc>
          <w:tcPr>
            <w:tcW w:w="9350" w:type="dxa"/>
            <w:gridSpan w:val="4"/>
            <w:shd w:val="clear" w:color="auto" w:fill="E2EFD9" w:themeFill="accent6" w:themeFillTint="33"/>
          </w:tcPr>
          <w:p w14:paraId="2449DF46" w14:textId="77777777" w:rsidR="00002538" w:rsidRPr="00641640" w:rsidRDefault="00002538" w:rsidP="002C31DE">
            <w:pPr>
              <w:pStyle w:val="T-normal"/>
              <w:spacing w:line="276" w:lineRule="auto"/>
              <w:jc w:val="both"/>
              <w:rPr>
                <w:rFonts w:ascii="Times New Roman" w:hAnsi="Times New Roman" w:cs="Times New Roman"/>
                <w:noProof/>
                <w:sz w:val="18"/>
                <w:szCs w:val="18"/>
                <w:lang w:val="sq-AL"/>
              </w:rPr>
            </w:pPr>
          </w:p>
          <w:p w14:paraId="6E6C5CAE" w14:textId="77777777" w:rsidR="00002538" w:rsidRPr="00641640" w:rsidRDefault="00504412" w:rsidP="002C31DE">
            <w:pPr>
              <w:pStyle w:val="T-normal"/>
              <w:spacing w:line="276" w:lineRule="auto"/>
              <w:jc w:val="both"/>
              <w:rPr>
                <w:rFonts w:ascii="Times New Roman" w:hAnsi="Times New Roman" w:cs="Times New Roman"/>
                <w:b/>
                <w:bCs/>
                <w:i/>
                <w:iCs/>
                <w:noProof/>
                <w:color w:val="C45911" w:themeColor="accent2" w:themeShade="BF"/>
                <w:sz w:val="20"/>
                <w:szCs w:val="20"/>
                <w:lang w:val="sq-AL"/>
              </w:rPr>
            </w:pPr>
            <w:r w:rsidRPr="00641640">
              <w:rPr>
                <w:rFonts w:ascii="Times New Roman" w:hAnsi="Times New Roman" w:cs="Times New Roman"/>
                <w:b/>
                <w:bCs/>
                <w:i/>
                <w:iCs/>
                <w:noProof/>
                <w:color w:val="C45911" w:themeColor="accent2" w:themeShade="BF"/>
                <w:sz w:val="20"/>
                <w:szCs w:val="20"/>
                <w:lang w:val="sq-AL"/>
              </w:rPr>
              <w:t>Komponenti 3.2</w:t>
            </w:r>
            <w:r w:rsidR="00B618D2" w:rsidRPr="00641640">
              <w:rPr>
                <w:rFonts w:ascii="Times New Roman" w:hAnsi="Times New Roman" w:cs="Times New Roman"/>
                <w:b/>
                <w:bCs/>
                <w:i/>
                <w:iCs/>
                <w:noProof/>
                <w:color w:val="C45911" w:themeColor="accent2" w:themeShade="BF"/>
                <w:sz w:val="20"/>
                <w:szCs w:val="20"/>
                <w:lang w:val="sq-AL"/>
              </w:rPr>
              <w:t xml:space="preserve">: </w:t>
            </w:r>
            <w:r w:rsidRPr="00641640">
              <w:rPr>
                <w:rFonts w:ascii="Times New Roman" w:hAnsi="Times New Roman" w:cs="Times New Roman"/>
                <w:b/>
                <w:bCs/>
                <w:i/>
                <w:iCs/>
                <w:noProof/>
                <w:color w:val="C45911" w:themeColor="accent2" w:themeShade="BF"/>
                <w:sz w:val="20"/>
                <w:szCs w:val="20"/>
                <w:lang w:val="sq-AL"/>
              </w:rPr>
              <w:t>Aftësitë digjitale</w:t>
            </w:r>
          </w:p>
          <w:p w14:paraId="410753E6" w14:textId="4D859AA9" w:rsidR="004D642A" w:rsidRPr="00641640" w:rsidRDefault="004D642A" w:rsidP="002C31DE">
            <w:pPr>
              <w:pStyle w:val="T-normal"/>
              <w:spacing w:line="276" w:lineRule="auto"/>
              <w:jc w:val="both"/>
              <w:rPr>
                <w:rFonts w:ascii="Times New Roman" w:hAnsi="Times New Roman" w:cs="Times New Roman"/>
                <w:i/>
                <w:iCs/>
                <w:noProof/>
                <w:sz w:val="10"/>
                <w:szCs w:val="10"/>
                <w:lang w:val="sq-AL"/>
              </w:rPr>
            </w:pPr>
          </w:p>
        </w:tc>
      </w:tr>
      <w:tr w:rsidR="00002538" w:rsidRPr="00641640" w14:paraId="4D66FBD6" w14:textId="77777777" w:rsidTr="00DB080D">
        <w:tc>
          <w:tcPr>
            <w:tcW w:w="1975" w:type="dxa"/>
            <w:gridSpan w:val="3"/>
            <w:shd w:val="clear" w:color="auto" w:fill="E2EFD9" w:themeFill="accent6" w:themeFillTint="33"/>
          </w:tcPr>
          <w:p w14:paraId="67593557" w14:textId="6AD097FB" w:rsidR="00002538" w:rsidRPr="00641640" w:rsidRDefault="00002538" w:rsidP="002C31DE">
            <w:pPr>
              <w:pStyle w:val="T-normal"/>
              <w:spacing w:line="276" w:lineRule="auto"/>
              <w:jc w:val="both"/>
              <w:rPr>
                <w:rFonts w:ascii="Times New Roman" w:hAnsi="Times New Roman" w:cs="Times New Roman"/>
                <w:noProof/>
                <w:color w:val="003300"/>
                <w:sz w:val="18"/>
                <w:szCs w:val="18"/>
                <w:lang w:val="sq-AL"/>
              </w:rPr>
            </w:pPr>
            <w:r w:rsidRPr="00641640">
              <w:rPr>
                <w:rFonts w:ascii="Times New Roman" w:eastAsia="Times New Roman" w:hAnsi="Times New Roman" w:cs="Times New Roman"/>
                <w:b/>
                <w:noProof/>
                <w:color w:val="003300"/>
                <w:sz w:val="18"/>
                <w:szCs w:val="18"/>
                <w:lang w:val="sq-AL"/>
              </w:rPr>
              <w:t xml:space="preserve">Objektivi Specifik </w:t>
            </w:r>
            <w:r w:rsidR="0052201D" w:rsidRPr="00641640">
              <w:rPr>
                <w:rFonts w:ascii="Times New Roman" w:eastAsia="Times New Roman" w:hAnsi="Times New Roman" w:cs="Times New Roman"/>
                <w:b/>
                <w:noProof/>
                <w:color w:val="003300"/>
                <w:sz w:val="18"/>
                <w:szCs w:val="18"/>
                <w:lang w:val="sq-AL"/>
              </w:rPr>
              <w:t>3</w:t>
            </w:r>
            <w:r w:rsidRPr="00641640">
              <w:rPr>
                <w:rFonts w:ascii="Times New Roman" w:eastAsia="Times New Roman" w:hAnsi="Times New Roman" w:cs="Times New Roman"/>
                <w:b/>
                <w:noProof/>
                <w:color w:val="003300"/>
                <w:sz w:val="18"/>
                <w:szCs w:val="18"/>
                <w:lang w:val="sq-AL"/>
              </w:rPr>
              <w:t>.2:</w:t>
            </w:r>
          </w:p>
        </w:tc>
        <w:tc>
          <w:tcPr>
            <w:tcW w:w="7375" w:type="dxa"/>
            <w:shd w:val="clear" w:color="auto" w:fill="E2EFD9" w:themeFill="accent6" w:themeFillTint="33"/>
          </w:tcPr>
          <w:p w14:paraId="646045B6" w14:textId="15BD84C5" w:rsidR="00002538" w:rsidRPr="00641640" w:rsidRDefault="00CA745B" w:rsidP="002C31DE">
            <w:pPr>
              <w:pStyle w:val="T-normal"/>
              <w:spacing w:line="276" w:lineRule="auto"/>
              <w:jc w:val="both"/>
              <w:rPr>
                <w:rFonts w:ascii="Times New Roman" w:eastAsia="Times New Roman" w:hAnsi="Times New Roman" w:cs="Times New Roman"/>
                <w:b/>
                <w:noProof/>
                <w:color w:val="003300"/>
                <w:sz w:val="18"/>
                <w:szCs w:val="18"/>
                <w:lang w:val="sq-AL"/>
              </w:rPr>
            </w:pPr>
            <w:r w:rsidRPr="00641640">
              <w:rPr>
                <w:rFonts w:ascii="Times New Roman" w:eastAsia="Times New Roman" w:hAnsi="Times New Roman" w:cs="Times New Roman"/>
                <w:b/>
                <w:noProof/>
                <w:color w:val="003300"/>
                <w:sz w:val="18"/>
                <w:szCs w:val="18"/>
                <w:lang w:val="sq-AL"/>
              </w:rPr>
              <w:t>Rritja e aftësive dhe gjithëpërfshirjes digjitale përmes zbatimit të masave që sigurojnë arritjen e kompetencave bazë digjitale për nxënësit, përmirësojnë aksesin dhe cilësinë e shërbimeve elektronike për qytetarët, dhe fuqizojnë mundësuesit teknologjikë në sektorin publik</w:t>
            </w:r>
            <w:r w:rsidR="00002538" w:rsidRPr="00641640">
              <w:rPr>
                <w:rFonts w:ascii="Times New Roman" w:eastAsia="Times New Roman" w:hAnsi="Times New Roman" w:cs="Times New Roman"/>
                <w:b/>
                <w:noProof/>
                <w:color w:val="003300"/>
                <w:sz w:val="18"/>
                <w:szCs w:val="18"/>
                <w:lang w:val="sq-AL"/>
              </w:rPr>
              <w:t>.</w:t>
            </w:r>
          </w:p>
          <w:p w14:paraId="5C5F41AA" w14:textId="77777777" w:rsidR="00002538" w:rsidRPr="00641640" w:rsidRDefault="00002538" w:rsidP="002C31DE">
            <w:pPr>
              <w:pStyle w:val="T-normal"/>
              <w:spacing w:line="276" w:lineRule="auto"/>
              <w:jc w:val="both"/>
              <w:rPr>
                <w:rFonts w:ascii="Times New Roman" w:hAnsi="Times New Roman" w:cs="Times New Roman"/>
                <w:noProof/>
                <w:color w:val="003300"/>
                <w:sz w:val="12"/>
                <w:szCs w:val="12"/>
                <w:lang w:val="sq-AL"/>
              </w:rPr>
            </w:pPr>
          </w:p>
        </w:tc>
      </w:tr>
      <w:tr w:rsidR="00002538" w:rsidRPr="00641640" w14:paraId="34D4A1D3" w14:textId="77777777" w:rsidTr="00DB080D">
        <w:tc>
          <w:tcPr>
            <w:tcW w:w="1165" w:type="dxa"/>
            <w:shd w:val="clear" w:color="auto" w:fill="E2EFD9" w:themeFill="accent6" w:themeFillTint="33"/>
          </w:tcPr>
          <w:p w14:paraId="560A92F6" w14:textId="19E758A6" w:rsidR="00002538" w:rsidRPr="00641640" w:rsidRDefault="00002538"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B20959">
              <w:rPr>
                <w:rFonts w:ascii="Times New Roman" w:hAnsi="Times New Roman" w:cs="Times New Roman"/>
                <w:noProof/>
                <w:sz w:val="18"/>
                <w:szCs w:val="18"/>
                <w:lang w:val="sq-AL"/>
              </w:rPr>
              <w:t>3</w:t>
            </w:r>
            <w:r w:rsidRPr="00641640">
              <w:rPr>
                <w:rFonts w:ascii="Times New Roman" w:hAnsi="Times New Roman" w:cs="Times New Roman"/>
                <w:noProof/>
                <w:sz w:val="18"/>
                <w:szCs w:val="18"/>
                <w:lang w:val="sq-AL"/>
              </w:rPr>
              <w:t>.2.1</w:t>
            </w:r>
          </w:p>
        </w:tc>
        <w:tc>
          <w:tcPr>
            <w:tcW w:w="276" w:type="dxa"/>
            <w:shd w:val="clear" w:color="auto" w:fill="E2EFD9" w:themeFill="accent6" w:themeFillTint="33"/>
          </w:tcPr>
          <w:p w14:paraId="6EB4BAE9" w14:textId="77777777" w:rsidR="00002538" w:rsidRPr="00641640" w:rsidRDefault="00002538"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7A12F70E" w14:textId="77777777" w:rsidR="00002538" w:rsidRPr="00641640" w:rsidRDefault="00001E8C"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Forcimi i kompetencave bazë minimale të aftësive digjitale në arsimin parauniversita</w:t>
            </w:r>
            <w:r w:rsidR="00F522A2" w:rsidRPr="00641640">
              <w:rPr>
                <w:rFonts w:ascii="Times New Roman" w:hAnsi="Times New Roman" w:cs="Times New Roman"/>
                <w:noProof/>
                <w:sz w:val="18"/>
                <w:szCs w:val="18"/>
                <w:lang w:val="sq-AL"/>
              </w:rPr>
              <w:t>r.</w:t>
            </w:r>
          </w:p>
          <w:p w14:paraId="26736ACB" w14:textId="0FCF06B5" w:rsidR="00620846" w:rsidRPr="00641640" w:rsidRDefault="00620846" w:rsidP="002C31DE">
            <w:pPr>
              <w:pStyle w:val="T-normal"/>
              <w:spacing w:line="276" w:lineRule="auto"/>
              <w:jc w:val="both"/>
              <w:rPr>
                <w:rFonts w:ascii="Times New Roman" w:hAnsi="Times New Roman" w:cs="Times New Roman"/>
                <w:noProof/>
                <w:sz w:val="8"/>
                <w:szCs w:val="8"/>
                <w:lang w:val="sq-AL"/>
              </w:rPr>
            </w:pPr>
          </w:p>
        </w:tc>
      </w:tr>
      <w:tr w:rsidR="00002538" w:rsidRPr="00641640" w14:paraId="1F709830" w14:textId="77777777" w:rsidTr="00DB080D">
        <w:tc>
          <w:tcPr>
            <w:tcW w:w="1165" w:type="dxa"/>
            <w:shd w:val="clear" w:color="auto" w:fill="E2EFD9" w:themeFill="accent6" w:themeFillTint="33"/>
          </w:tcPr>
          <w:p w14:paraId="5C50D858" w14:textId="5889AEF2" w:rsidR="00002538" w:rsidRPr="00641640" w:rsidRDefault="00002538"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B20959">
              <w:rPr>
                <w:rFonts w:ascii="Times New Roman" w:hAnsi="Times New Roman" w:cs="Times New Roman"/>
                <w:noProof/>
                <w:sz w:val="18"/>
                <w:szCs w:val="18"/>
                <w:lang w:val="sq-AL"/>
              </w:rPr>
              <w:t>3</w:t>
            </w:r>
            <w:r w:rsidRPr="00641640">
              <w:rPr>
                <w:rFonts w:ascii="Times New Roman" w:hAnsi="Times New Roman" w:cs="Times New Roman"/>
                <w:noProof/>
                <w:sz w:val="18"/>
                <w:szCs w:val="18"/>
                <w:lang w:val="sq-AL"/>
              </w:rPr>
              <w:t>.2.2</w:t>
            </w:r>
          </w:p>
        </w:tc>
        <w:tc>
          <w:tcPr>
            <w:tcW w:w="276" w:type="dxa"/>
            <w:shd w:val="clear" w:color="auto" w:fill="E2EFD9" w:themeFill="accent6" w:themeFillTint="33"/>
          </w:tcPr>
          <w:p w14:paraId="248886C1" w14:textId="77777777" w:rsidR="00002538" w:rsidRPr="00641640" w:rsidRDefault="00002538"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4C447230" w14:textId="77777777" w:rsidR="00002538" w:rsidRPr="00641640" w:rsidRDefault="00001E8C"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Përmirësimi i aksesueshmërisë së shërbimeve për qytetarët dhe bizneset</w:t>
            </w:r>
            <w:r w:rsidR="00F522A2" w:rsidRPr="00641640">
              <w:rPr>
                <w:rFonts w:ascii="Times New Roman" w:hAnsi="Times New Roman" w:cs="Times New Roman"/>
                <w:noProof/>
                <w:sz w:val="18"/>
                <w:szCs w:val="18"/>
                <w:lang w:val="sq-AL"/>
              </w:rPr>
              <w:t>.</w:t>
            </w:r>
          </w:p>
          <w:p w14:paraId="24A66B56" w14:textId="14410CEC" w:rsidR="00620846" w:rsidRPr="00641640" w:rsidRDefault="00620846" w:rsidP="002C31DE">
            <w:pPr>
              <w:pStyle w:val="T-normal"/>
              <w:spacing w:line="276" w:lineRule="auto"/>
              <w:jc w:val="both"/>
              <w:rPr>
                <w:rFonts w:ascii="Times New Roman" w:hAnsi="Times New Roman" w:cs="Times New Roman"/>
                <w:noProof/>
                <w:sz w:val="8"/>
                <w:szCs w:val="8"/>
                <w:lang w:val="sq-AL"/>
              </w:rPr>
            </w:pPr>
          </w:p>
        </w:tc>
      </w:tr>
      <w:tr w:rsidR="00002538" w:rsidRPr="00641640" w14:paraId="46846FA8" w14:textId="77777777" w:rsidTr="00DB080D">
        <w:tc>
          <w:tcPr>
            <w:tcW w:w="1165" w:type="dxa"/>
            <w:shd w:val="clear" w:color="auto" w:fill="E2EFD9" w:themeFill="accent6" w:themeFillTint="33"/>
          </w:tcPr>
          <w:p w14:paraId="3D8B2A07" w14:textId="424C1FDF" w:rsidR="00002538" w:rsidRPr="00641640" w:rsidRDefault="00002538"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B20959">
              <w:rPr>
                <w:rFonts w:ascii="Times New Roman" w:hAnsi="Times New Roman" w:cs="Times New Roman"/>
                <w:noProof/>
                <w:sz w:val="18"/>
                <w:szCs w:val="18"/>
                <w:lang w:val="sq-AL"/>
              </w:rPr>
              <w:t>3</w:t>
            </w:r>
            <w:r w:rsidRPr="00641640">
              <w:rPr>
                <w:rFonts w:ascii="Times New Roman" w:hAnsi="Times New Roman" w:cs="Times New Roman"/>
                <w:noProof/>
                <w:sz w:val="18"/>
                <w:szCs w:val="18"/>
                <w:lang w:val="sq-AL"/>
              </w:rPr>
              <w:t>.2.3</w:t>
            </w:r>
          </w:p>
        </w:tc>
        <w:tc>
          <w:tcPr>
            <w:tcW w:w="276" w:type="dxa"/>
            <w:shd w:val="clear" w:color="auto" w:fill="E2EFD9" w:themeFill="accent6" w:themeFillTint="33"/>
          </w:tcPr>
          <w:p w14:paraId="1ED8180D" w14:textId="77777777" w:rsidR="00002538" w:rsidRPr="00641640" w:rsidRDefault="00002538"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6456060A" w14:textId="77777777" w:rsidR="00002538" w:rsidRPr="00641640" w:rsidRDefault="00001E8C"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Përmirësimi i aksesit në shërbimet elektronike për target-grupe të caktuara</w:t>
            </w:r>
            <w:r w:rsidR="00F522A2" w:rsidRPr="00641640">
              <w:rPr>
                <w:rFonts w:ascii="Times New Roman" w:hAnsi="Times New Roman" w:cs="Times New Roman"/>
                <w:noProof/>
                <w:sz w:val="18"/>
                <w:szCs w:val="18"/>
                <w:lang w:val="sq-AL"/>
              </w:rPr>
              <w:t>.</w:t>
            </w:r>
          </w:p>
          <w:p w14:paraId="631F6577" w14:textId="4E8A3962" w:rsidR="00620846" w:rsidRPr="00641640" w:rsidRDefault="00620846" w:rsidP="002C31DE">
            <w:pPr>
              <w:pStyle w:val="T-normal"/>
              <w:spacing w:line="276" w:lineRule="auto"/>
              <w:jc w:val="both"/>
              <w:rPr>
                <w:rFonts w:ascii="Times New Roman" w:hAnsi="Times New Roman" w:cs="Times New Roman"/>
                <w:noProof/>
                <w:sz w:val="8"/>
                <w:szCs w:val="8"/>
                <w:lang w:val="sq-AL"/>
              </w:rPr>
            </w:pPr>
          </w:p>
        </w:tc>
      </w:tr>
      <w:tr w:rsidR="00002538" w:rsidRPr="00641640" w14:paraId="12FCF826" w14:textId="77777777" w:rsidTr="00DB080D">
        <w:tc>
          <w:tcPr>
            <w:tcW w:w="1165" w:type="dxa"/>
            <w:shd w:val="clear" w:color="auto" w:fill="E2EFD9" w:themeFill="accent6" w:themeFillTint="33"/>
          </w:tcPr>
          <w:p w14:paraId="61BC494F" w14:textId="3A318E13" w:rsidR="00002538" w:rsidRPr="00641640" w:rsidRDefault="00002538"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B20959">
              <w:rPr>
                <w:rFonts w:ascii="Times New Roman" w:hAnsi="Times New Roman" w:cs="Times New Roman"/>
                <w:noProof/>
                <w:sz w:val="18"/>
                <w:szCs w:val="18"/>
                <w:lang w:val="sq-AL"/>
              </w:rPr>
              <w:t>3</w:t>
            </w:r>
            <w:r w:rsidRPr="00641640">
              <w:rPr>
                <w:rFonts w:ascii="Times New Roman" w:hAnsi="Times New Roman" w:cs="Times New Roman"/>
                <w:noProof/>
                <w:sz w:val="18"/>
                <w:szCs w:val="18"/>
                <w:lang w:val="sq-AL"/>
              </w:rPr>
              <w:t>.2.4</w:t>
            </w:r>
          </w:p>
        </w:tc>
        <w:tc>
          <w:tcPr>
            <w:tcW w:w="276" w:type="dxa"/>
            <w:shd w:val="clear" w:color="auto" w:fill="E2EFD9" w:themeFill="accent6" w:themeFillTint="33"/>
          </w:tcPr>
          <w:p w14:paraId="0F554E45" w14:textId="77777777" w:rsidR="00002538" w:rsidRPr="00641640" w:rsidRDefault="00002538"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5683A79C" w14:textId="77777777" w:rsidR="00002538" w:rsidRPr="00641640" w:rsidRDefault="00F522A2"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Forcimi i mundësuesve parësorë të GovTech-ut: Data Governance.</w:t>
            </w:r>
          </w:p>
          <w:p w14:paraId="56A85620" w14:textId="27C84A6E" w:rsidR="00620846" w:rsidRPr="00641640" w:rsidRDefault="00620846" w:rsidP="002C31DE">
            <w:pPr>
              <w:pStyle w:val="T-normal"/>
              <w:spacing w:line="276" w:lineRule="auto"/>
              <w:jc w:val="both"/>
              <w:rPr>
                <w:rFonts w:ascii="Times New Roman" w:hAnsi="Times New Roman" w:cs="Times New Roman"/>
                <w:noProof/>
                <w:sz w:val="8"/>
                <w:szCs w:val="8"/>
                <w:lang w:val="sq-AL"/>
              </w:rPr>
            </w:pPr>
          </w:p>
        </w:tc>
      </w:tr>
      <w:tr w:rsidR="00002538" w:rsidRPr="00641640" w14:paraId="581715B1" w14:textId="77777777" w:rsidTr="00DB080D">
        <w:tc>
          <w:tcPr>
            <w:tcW w:w="1165" w:type="dxa"/>
            <w:shd w:val="clear" w:color="auto" w:fill="E2EFD9" w:themeFill="accent6" w:themeFillTint="33"/>
          </w:tcPr>
          <w:p w14:paraId="0DC87A36" w14:textId="7DE1E8DD" w:rsidR="00002538" w:rsidRPr="00641640" w:rsidRDefault="00002538"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B20959">
              <w:rPr>
                <w:rFonts w:ascii="Times New Roman" w:hAnsi="Times New Roman" w:cs="Times New Roman"/>
                <w:noProof/>
                <w:sz w:val="18"/>
                <w:szCs w:val="18"/>
                <w:lang w:val="sq-AL"/>
              </w:rPr>
              <w:t>3</w:t>
            </w:r>
            <w:r w:rsidRPr="00641640">
              <w:rPr>
                <w:rFonts w:ascii="Times New Roman" w:hAnsi="Times New Roman" w:cs="Times New Roman"/>
                <w:noProof/>
                <w:sz w:val="18"/>
                <w:szCs w:val="18"/>
                <w:lang w:val="sq-AL"/>
              </w:rPr>
              <w:t>.2.5</w:t>
            </w:r>
          </w:p>
        </w:tc>
        <w:tc>
          <w:tcPr>
            <w:tcW w:w="276" w:type="dxa"/>
            <w:shd w:val="clear" w:color="auto" w:fill="E2EFD9" w:themeFill="accent6" w:themeFillTint="33"/>
          </w:tcPr>
          <w:p w14:paraId="5F052A21" w14:textId="77777777" w:rsidR="00002538" w:rsidRPr="00641640" w:rsidRDefault="00002538"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642E1CE3" w14:textId="49DC3208" w:rsidR="00002538" w:rsidRPr="00641640" w:rsidRDefault="00F522A2" w:rsidP="00F522A2">
            <w:pPr>
              <w:pStyle w:val="T-normal"/>
              <w:spacing w:after="240"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Përmirësimi i mundësuesve parësorë të GovTech-ut: Institucionet publike.</w:t>
            </w:r>
          </w:p>
        </w:tc>
      </w:tr>
    </w:tbl>
    <w:p w14:paraId="531714C1" w14:textId="77777777" w:rsidR="00002538" w:rsidRPr="00641640" w:rsidRDefault="00002538" w:rsidP="00CE5E3E">
      <w:pPr>
        <w:jc w:val="both"/>
        <w:rPr>
          <w:rFonts w:ascii="Times New Roman" w:hAnsi="Times New Roman" w:cs="Times New Roman"/>
          <w:b/>
          <w:noProof/>
          <w:sz w:val="24"/>
          <w:szCs w:val="24"/>
          <w:lang w:val="sq-AL"/>
        </w:rPr>
      </w:pPr>
    </w:p>
    <w:p w14:paraId="2D1B7704" w14:textId="0754B65E" w:rsidR="00CE5E3E" w:rsidRPr="00641640" w:rsidRDefault="00CE5E3E" w:rsidP="003A395D">
      <w:pPr>
        <w:spacing w:line="276" w:lineRule="auto"/>
        <w:jc w:val="both"/>
        <w:rPr>
          <w:rFonts w:ascii="Times New Roman" w:hAnsi="Times New Roman" w:cs="Times New Roman"/>
          <w:b/>
          <w:i/>
          <w:noProof/>
          <w:sz w:val="24"/>
          <w:szCs w:val="24"/>
          <w:lang w:val="sq-AL"/>
        </w:rPr>
      </w:pPr>
      <w:r w:rsidRPr="00641640">
        <w:rPr>
          <w:rFonts w:ascii="Times New Roman" w:hAnsi="Times New Roman" w:cs="Times New Roman"/>
          <w:b/>
          <w:i/>
          <w:noProof/>
          <w:sz w:val="24"/>
          <w:szCs w:val="24"/>
          <w:lang w:val="sq-AL"/>
        </w:rPr>
        <w:t>Komponenti 3.1</w:t>
      </w:r>
      <w:r w:rsidR="002A196F" w:rsidRPr="00641640">
        <w:rPr>
          <w:rFonts w:ascii="Times New Roman" w:hAnsi="Times New Roman" w:cs="Times New Roman"/>
          <w:b/>
          <w:i/>
          <w:noProof/>
          <w:sz w:val="24"/>
          <w:szCs w:val="24"/>
          <w:lang w:val="sq-AL"/>
        </w:rPr>
        <w:t xml:space="preserve">: </w:t>
      </w:r>
      <w:r w:rsidRPr="00641640">
        <w:rPr>
          <w:rFonts w:ascii="Times New Roman" w:hAnsi="Times New Roman" w:cs="Times New Roman"/>
          <w:b/>
          <w:i/>
          <w:noProof/>
          <w:sz w:val="24"/>
          <w:szCs w:val="24"/>
          <w:lang w:val="sq-AL"/>
        </w:rPr>
        <w:t>Ri-inxhinierimi i shërbimeve dhe thjeshtimi i procedurave administrative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E4"/>
        <w:tblLook w:val="04A0" w:firstRow="1" w:lastRow="0" w:firstColumn="1" w:lastColumn="0" w:noHBand="0" w:noVBand="1"/>
      </w:tblPr>
      <w:tblGrid>
        <w:gridCol w:w="535"/>
        <w:gridCol w:w="8815"/>
      </w:tblGrid>
      <w:tr w:rsidR="00FE6576" w:rsidRPr="00641640" w14:paraId="4F71BE02" w14:textId="77777777" w:rsidTr="00FE6576">
        <w:tc>
          <w:tcPr>
            <w:tcW w:w="535" w:type="dxa"/>
            <w:shd w:val="clear" w:color="auto" w:fill="EAF4E4"/>
          </w:tcPr>
          <w:p w14:paraId="4BFC94C4" w14:textId="4FB76428" w:rsidR="002A196F" w:rsidRPr="00641640" w:rsidRDefault="002A196F" w:rsidP="003A395D">
            <w:pPr>
              <w:spacing w:line="276" w:lineRule="auto"/>
              <w:jc w:val="both"/>
              <w:rPr>
                <w:rFonts w:ascii="Times New Roman" w:hAnsi="Times New Roman" w:cs="Times New Roman"/>
                <w:b/>
                <w:iCs/>
                <w:noProof/>
                <w:color w:val="003300"/>
                <w:sz w:val="24"/>
                <w:szCs w:val="24"/>
                <w:lang w:val="sq-AL"/>
              </w:rPr>
            </w:pPr>
            <w:r w:rsidRPr="00641640">
              <w:rPr>
                <w:rFonts w:ascii="Times New Roman" w:hAnsi="Times New Roman" w:cs="Times New Roman"/>
                <w:b/>
                <w:iCs/>
                <w:noProof/>
                <w:color w:val="003300"/>
                <w:sz w:val="24"/>
                <w:szCs w:val="24"/>
                <w:lang w:val="sq-AL"/>
              </w:rPr>
              <w:t>3.1</w:t>
            </w:r>
          </w:p>
        </w:tc>
        <w:tc>
          <w:tcPr>
            <w:tcW w:w="8815" w:type="dxa"/>
            <w:shd w:val="clear" w:color="auto" w:fill="EAF4E4"/>
          </w:tcPr>
          <w:p w14:paraId="33E41120" w14:textId="1C715C54" w:rsidR="002A196F" w:rsidRPr="00641640" w:rsidRDefault="00FE6576" w:rsidP="003A395D">
            <w:pPr>
              <w:spacing w:line="276" w:lineRule="auto"/>
              <w:jc w:val="both"/>
              <w:rPr>
                <w:rFonts w:ascii="Times New Roman" w:hAnsi="Times New Roman" w:cs="Times New Roman"/>
                <w:b/>
                <w:iCs/>
                <w:noProof/>
                <w:color w:val="003300"/>
                <w:sz w:val="24"/>
                <w:szCs w:val="24"/>
                <w:lang w:val="sq-AL"/>
              </w:rPr>
            </w:pPr>
            <w:r w:rsidRPr="00641640">
              <w:rPr>
                <w:rFonts w:ascii="Times New Roman" w:hAnsi="Times New Roman" w:cs="Times New Roman"/>
                <w:b/>
                <w:bCs/>
                <w:noProof/>
                <w:color w:val="003300"/>
                <w:sz w:val="24"/>
                <w:szCs w:val="24"/>
                <w:lang w:val="sq-AL"/>
              </w:rPr>
              <w:t>Objektivi specifik 3.1: Ri-inxhinierimi dhe optimizimi i shërbimeve publike elektronike, duke rritur aksesin për qytetarët dhe bizneset, si dhe efikasitetin përmes teknologjisë së avancuar dhe thjeshtimit të proceseve me fokus te përdoruesi</w:t>
            </w:r>
          </w:p>
        </w:tc>
      </w:tr>
    </w:tbl>
    <w:p w14:paraId="64C3AF98" w14:textId="57696D69" w:rsidR="00CE5E3E" w:rsidRPr="00641640" w:rsidRDefault="00CE5E3E" w:rsidP="003A395D">
      <w:pPr>
        <w:shd w:val="clear" w:color="auto" w:fill="FFFFFF" w:themeFill="background1"/>
        <w:spacing w:beforeAutospacing="1" w:line="276" w:lineRule="auto"/>
        <w:jc w:val="both"/>
        <w:textAlignment w:val="baseline"/>
        <w:rPr>
          <w:rFonts w:ascii="Times New Roman" w:hAnsi="Times New Roman" w:cs="Times New Roman"/>
          <w:b/>
          <w:bCs/>
          <w:noProof/>
          <w:color w:val="000000" w:themeColor="text1"/>
          <w:sz w:val="24"/>
          <w:szCs w:val="24"/>
          <w:lang w:val="sq-AL"/>
        </w:rPr>
      </w:pPr>
      <w:r w:rsidRPr="00641640">
        <w:rPr>
          <w:rFonts w:ascii="Times New Roman" w:hAnsi="Times New Roman" w:cs="Times New Roman"/>
          <w:b/>
          <w:bCs/>
          <w:noProof/>
          <w:color w:val="000000" w:themeColor="text1"/>
          <w:sz w:val="24"/>
          <w:szCs w:val="24"/>
          <w:lang w:val="sq-AL"/>
        </w:rPr>
        <w:t>Prioritetet</w:t>
      </w:r>
    </w:p>
    <w:p w14:paraId="423444D8" w14:textId="0D16C637" w:rsidR="00CE5E3E" w:rsidRPr="00641640" w:rsidRDefault="00CE5E3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Në kuadër të nismës së qeverisë, çdo shërbim publik tashmë ofrohet online përmes platformës </w:t>
      </w:r>
      <w:r w:rsidR="007840E4">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e-</w:t>
      </w:r>
      <w:r w:rsidR="00E43638">
        <w:rPr>
          <w:rFonts w:ascii="Times New Roman" w:hAnsi="Times New Roman" w:cs="Times New Roman"/>
          <w:noProof/>
          <w:sz w:val="24"/>
          <w:szCs w:val="24"/>
          <w:lang w:val="sq-AL"/>
        </w:rPr>
        <w:t>A</w:t>
      </w:r>
      <w:r w:rsidRPr="00641640">
        <w:rPr>
          <w:rFonts w:ascii="Times New Roman" w:hAnsi="Times New Roman" w:cs="Times New Roman"/>
          <w:noProof/>
          <w:sz w:val="24"/>
          <w:szCs w:val="24"/>
          <w:lang w:val="sq-AL"/>
        </w:rPr>
        <w:t>lbania</w:t>
      </w:r>
      <w:r w:rsidR="007840E4">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për qytetarët dhe bizneset, dhe jo më në sportele si një hap i rëndësishëm i epokës së re të Revolucionit Digjital, me përjashtim të rasteve kur prania fizike e qytetarit është e domosdoshme. </w:t>
      </w:r>
    </w:p>
    <w:p w14:paraId="6A41D826" w14:textId="77777777" w:rsidR="00CE5E3E" w:rsidRPr="00641640" w:rsidRDefault="00CE5E3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Një nismë e rëndësishme është vijimi i suksesshëm i procesit të ri-inxhinierimit të shërbimeve dhe thjeshtimi i mëtejshëm i procedurave administrative, për të lehtësuar marrjen e tyre nga qytetarët </w:t>
      </w:r>
      <w:r w:rsidRPr="00641640">
        <w:rPr>
          <w:rFonts w:ascii="Times New Roman" w:hAnsi="Times New Roman" w:cs="Times New Roman"/>
          <w:noProof/>
          <w:sz w:val="24"/>
          <w:szCs w:val="24"/>
          <w:lang w:val="sq-AL"/>
        </w:rPr>
        <w:lastRenderedPageBreak/>
        <w:t xml:space="preserve">dhe bizneset, si dhe për të ulur kohën e nevojshme për të marrë shërbimin. </w:t>
      </w:r>
      <w:r w:rsidRPr="00641640">
        <w:rPr>
          <w:rFonts w:ascii="Times New Roman" w:eastAsiaTheme="minorHAnsi" w:hAnsi="Times New Roman" w:cs="Times New Roman"/>
          <w:noProof/>
          <w:sz w:val="24"/>
          <w:szCs w:val="24"/>
          <w:lang w:val="sq-AL"/>
        </w:rPr>
        <w:t>Realizimi i procesit të riinxhinierimit dhe derregullimit do kalojë nëpër disa faza dhe më në detaje përfshin:</w:t>
      </w:r>
    </w:p>
    <w:p w14:paraId="7B0E2728" w14:textId="53B5EB5F" w:rsidR="00CE5E3E" w:rsidRPr="00641640" w:rsidRDefault="00CE5E3E" w:rsidP="003A395D">
      <w:pPr>
        <w:numPr>
          <w:ilvl w:val="0"/>
          <w:numId w:val="7"/>
        </w:numPr>
        <w:spacing w:after="0" w:line="276" w:lineRule="auto"/>
        <w:jc w:val="both"/>
        <w:rPr>
          <w:rFonts w:ascii="Times New Roman" w:eastAsia="Calibri" w:hAnsi="Times New Roman" w:cs="Times New Roman"/>
          <w:noProof/>
          <w:sz w:val="24"/>
          <w:szCs w:val="24"/>
          <w:lang w:val="sq-AL"/>
        </w:rPr>
      </w:pPr>
      <w:r w:rsidRPr="00641640">
        <w:rPr>
          <w:rFonts w:ascii="Times New Roman" w:eastAsia="Calibri" w:hAnsi="Times New Roman" w:cs="Times New Roman"/>
          <w:noProof/>
          <w:sz w:val="24"/>
          <w:szCs w:val="24"/>
          <w:lang w:val="sq-AL"/>
        </w:rPr>
        <w:t>inventarizimin e t</w:t>
      </w:r>
      <w:r w:rsidR="007840E4">
        <w:rPr>
          <w:rFonts w:ascii="Times New Roman" w:eastAsia="Calibri" w:hAnsi="Times New Roman" w:cs="Times New Roman"/>
          <w:noProof/>
          <w:sz w:val="24"/>
          <w:szCs w:val="24"/>
          <w:lang w:val="sq-AL"/>
        </w:rPr>
        <w:t>ë</w:t>
      </w:r>
      <w:r w:rsidRPr="00641640">
        <w:rPr>
          <w:rFonts w:ascii="Times New Roman" w:eastAsia="Calibri" w:hAnsi="Times New Roman" w:cs="Times New Roman"/>
          <w:noProof/>
          <w:sz w:val="24"/>
          <w:szCs w:val="24"/>
          <w:lang w:val="sq-AL"/>
        </w:rPr>
        <w:t xml:space="preserve"> gjithë sh</w:t>
      </w:r>
      <w:r w:rsidR="007840E4">
        <w:rPr>
          <w:rFonts w:ascii="Times New Roman" w:eastAsia="Calibri" w:hAnsi="Times New Roman" w:cs="Times New Roman"/>
          <w:noProof/>
          <w:sz w:val="24"/>
          <w:szCs w:val="24"/>
          <w:lang w:val="sq-AL"/>
        </w:rPr>
        <w:t>ë</w:t>
      </w:r>
      <w:r w:rsidRPr="00641640">
        <w:rPr>
          <w:rFonts w:ascii="Times New Roman" w:eastAsia="Calibri" w:hAnsi="Times New Roman" w:cs="Times New Roman"/>
          <w:noProof/>
          <w:sz w:val="24"/>
          <w:szCs w:val="24"/>
          <w:lang w:val="sq-AL"/>
        </w:rPr>
        <w:t>rbimeve online dhe offline, nga konsultimi i bazës ligjore mbi të cilën rregullohen;</w:t>
      </w:r>
    </w:p>
    <w:p w14:paraId="69012550" w14:textId="77777777" w:rsidR="00CE5E3E" w:rsidRPr="00641640" w:rsidRDefault="00CE5E3E" w:rsidP="003A395D">
      <w:pPr>
        <w:numPr>
          <w:ilvl w:val="0"/>
          <w:numId w:val="7"/>
        </w:numPr>
        <w:spacing w:after="0" w:line="276" w:lineRule="auto"/>
        <w:jc w:val="both"/>
        <w:rPr>
          <w:rFonts w:ascii="Times New Roman" w:eastAsia="Calibri" w:hAnsi="Times New Roman" w:cs="Times New Roman"/>
          <w:noProof/>
          <w:sz w:val="24"/>
          <w:szCs w:val="24"/>
          <w:lang w:val="sq-AL"/>
        </w:rPr>
      </w:pPr>
      <w:r w:rsidRPr="00641640">
        <w:rPr>
          <w:rFonts w:ascii="Times New Roman" w:eastAsia="Calibri" w:hAnsi="Times New Roman" w:cs="Times New Roman"/>
          <w:noProof/>
          <w:sz w:val="24"/>
          <w:szCs w:val="24"/>
          <w:lang w:val="sq-AL"/>
        </w:rPr>
        <w:t>reduktimin dhe thjeshtëzimin e kritereve thelbësore për përfitimin e shërbimit;</w:t>
      </w:r>
    </w:p>
    <w:p w14:paraId="6C014A99" w14:textId="77777777" w:rsidR="00CE5E3E" w:rsidRPr="00641640" w:rsidRDefault="00CE5E3E" w:rsidP="003A395D">
      <w:pPr>
        <w:numPr>
          <w:ilvl w:val="0"/>
          <w:numId w:val="7"/>
        </w:numPr>
        <w:spacing w:after="0" w:line="276" w:lineRule="auto"/>
        <w:jc w:val="both"/>
        <w:rPr>
          <w:rFonts w:ascii="Times New Roman" w:eastAsia="Calibri" w:hAnsi="Times New Roman" w:cs="Times New Roman"/>
          <w:noProof/>
          <w:sz w:val="24"/>
          <w:szCs w:val="24"/>
          <w:lang w:val="sq-AL"/>
        </w:rPr>
      </w:pPr>
      <w:r w:rsidRPr="00641640">
        <w:rPr>
          <w:rFonts w:ascii="Times New Roman" w:eastAsia="Calibri" w:hAnsi="Times New Roman" w:cs="Times New Roman"/>
          <w:noProof/>
          <w:sz w:val="24"/>
          <w:szCs w:val="24"/>
          <w:lang w:val="sq-AL"/>
        </w:rPr>
        <w:t xml:space="preserve">eliminimin e dokumenteve që mund të administrohen përmes ndërveprimit të institucioneve publike;  </w:t>
      </w:r>
    </w:p>
    <w:p w14:paraId="0897B5F0" w14:textId="358D4FA6" w:rsidR="00CE5E3E" w:rsidRPr="00641640" w:rsidRDefault="00CE5E3E" w:rsidP="003A395D">
      <w:pPr>
        <w:numPr>
          <w:ilvl w:val="0"/>
          <w:numId w:val="7"/>
        </w:numPr>
        <w:spacing w:line="276" w:lineRule="auto"/>
        <w:contextualSpacing/>
        <w:jc w:val="both"/>
        <w:rPr>
          <w:rFonts w:ascii="Times New Roman" w:hAnsi="Times New Roman" w:cs="Times New Roman"/>
          <w:noProof/>
          <w:sz w:val="24"/>
          <w:szCs w:val="24"/>
          <w:lang w:val="sq-AL"/>
        </w:rPr>
      </w:pPr>
      <w:r w:rsidRPr="00641640">
        <w:rPr>
          <w:rFonts w:ascii="Times New Roman" w:eastAsia="Calibri" w:hAnsi="Times New Roman" w:cs="Times New Roman"/>
          <w:noProof/>
          <w:sz w:val="24"/>
          <w:szCs w:val="24"/>
          <w:lang w:val="sq-AL"/>
        </w:rPr>
        <w:t>uljen e afateve për p</w:t>
      </w:r>
      <w:r w:rsidR="00F03CC5">
        <w:rPr>
          <w:rFonts w:ascii="Times New Roman" w:eastAsia="Calibri" w:hAnsi="Times New Roman" w:cs="Times New Roman"/>
          <w:noProof/>
          <w:sz w:val="24"/>
          <w:szCs w:val="24"/>
          <w:lang w:val="sq-AL"/>
        </w:rPr>
        <w:t>ë</w:t>
      </w:r>
      <w:r w:rsidRPr="00641640">
        <w:rPr>
          <w:rFonts w:ascii="Times New Roman" w:eastAsia="Calibri" w:hAnsi="Times New Roman" w:cs="Times New Roman"/>
          <w:noProof/>
          <w:sz w:val="24"/>
          <w:szCs w:val="24"/>
          <w:lang w:val="sq-AL"/>
        </w:rPr>
        <w:t>rfitimin e aktit administrativ, përmes ndryshime ligjore përkatëse.</w:t>
      </w:r>
    </w:p>
    <w:p w14:paraId="7459E38D" w14:textId="77777777" w:rsidR="003748C9" w:rsidRPr="00641640" w:rsidRDefault="003748C9" w:rsidP="003A395D">
      <w:pPr>
        <w:spacing w:line="276" w:lineRule="auto"/>
        <w:ind w:left="1080"/>
        <w:contextualSpacing/>
        <w:jc w:val="both"/>
        <w:rPr>
          <w:rFonts w:ascii="Times New Roman" w:hAnsi="Times New Roman" w:cs="Times New Roman"/>
          <w:noProof/>
          <w:sz w:val="24"/>
          <w:szCs w:val="24"/>
          <w:lang w:val="sq-AL"/>
        </w:rPr>
      </w:pPr>
    </w:p>
    <w:p w14:paraId="00862228" w14:textId="75F9E594" w:rsidR="00CE5E3E" w:rsidRPr="00641640" w:rsidRDefault="00CE5E3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Shërbimet do të mund të organizohen sipas modelit ‘life events’ për të unifikuar të gjitha shërbimet e nevojshme për  qytetarët, nga momenti që lindin (certifikata e lindjes) e duke e ndjekur në të gjitha hapat e jetës. Rëndësi të veçantë në të gjitha këto nisma do të kenë edhe personat me nevoja të veçanta, duke punuar për ta bërë </w:t>
      </w:r>
      <w:r w:rsidR="00E43638">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e-Albania</w:t>
      </w:r>
      <w:r w:rsidR="00E43638">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të aksesueshme për të gjithë. </w:t>
      </w:r>
    </w:p>
    <w:p w14:paraId="5B5E7BEA" w14:textId="77777777" w:rsidR="00A61275" w:rsidRPr="00641640" w:rsidRDefault="00A61275" w:rsidP="00F863ED">
      <w:pPr>
        <w:spacing w:after="0" w:line="276" w:lineRule="auto"/>
        <w:jc w:val="both"/>
        <w:rPr>
          <w:rFonts w:ascii="Times New Roman" w:hAnsi="Times New Roman" w:cs="Times New Roman"/>
          <w:noProof/>
          <w:sz w:val="24"/>
          <w:szCs w:val="24"/>
          <w:lang w:val="sq-AL"/>
        </w:rPr>
      </w:pPr>
    </w:p>
    <w:p w14:paraId="1C151E78" w14:textId="77777777" w:rsidR="00003663" w:rsidRPr="00641640" w:rsidRDefault="00003663"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Rezultatet e pritshme nga zbatimi i masave që lidhen me Objektivin Specifik</w:t>
      </w:r>
    </w:p>
    <w:p w14:paraId="713E9C8F" w14:textId="776280C1" w:rsidR="00003663" w:rsidRPr="00641640" w:rsidRDefault="00003663"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 xml:space="preserve">Objektivi Specifik </w:t>
      </w:r>
      <w:r w:rsidR="00CA6434" w:rsidRPr="00641640">
        <w:rPr>
          <w:rFonts w:ascii="Times New Roman" w:eastAsia="Times New Roman" w:hAnsi="Times New Roman" w:cs="Times New Roman"/>
          <w:noProof/>
          <w:sz w:val="24"/>
          <w:szCs w:val="24"/>
          <w:lang w:val="sq-AL"/>
        </w:rPr>
        <w:t>3</w:t>
      </w:r>
      <w:r w:rsidRPr="00641640">
        <w:rPr>
          <w:rFonts w:ascii="Times New Roman" w:eastAsia="Times New Roman" w:hAnsi="Times New Roman" w:cs="Times New Roman"/>
          <w:noProof/>
          <w:sz w:val="24"/>
          <w:szCs w:val="24"/>
          <w:lang w:val="sq-AL"/>
        </w:rPr>
        <w:t>.1,</w:t>
      </w:r>
      <w:r w:rsidR="00F074B2" w:rsidRPr="00641640">
        <w:rPr>
          <w:rFonts w:ascii="Times New Roman" w:eastAsia="Times New Roman" w:hAnsi="Times New Roman" w:cs="Times New Roman"/>
          <w:noProof/>
          <w:sz w:val="24"/>
          <w:szCs w:val="24"/>
          <w:lang w:val="sq-AL"/>
        </w:rPr>
        <w:t xml:space="preserve"> </w:t>
      </w:r>
      <w:r w:rsidR="006C2655" w:rsidRPr="00641640">
        <w:rPr>
          <w:rFonts w:ascii="Times New Roman" w:eastAsia="Times New Roman" w:hAnsi="Times New Roman" w:cs="Times New Roman"/>
          <w:noProof/>
          <w:sz w:val="24"/>
          <w:szCs w:val="24"/>
          <w:lang w:val="sq-AL"/>
        </w:rPr>
        <w:t xml:space="preserve">i cili synon </w:t>
      </w:r>
      <w:r w:rsidR="006E3A27" w:rsidRPr="00641640">
        <w:rPr>
          <w:rFonts w:ascii="Times New Roman" w:hAnsi="Times New Roman" w:cs="Times New Roman"/>
          <w:noProof/>
          <w:sz w:val="24"/>
          <w:szCs w:val="24"/>
          <w:lang w:val="sq-AL"/>
        </w:rPr>
        <w:t>ri-inxhinierimin e shërbimeve dhe thjeshtimin e procedurave administrative, pritet t</w:t>
      </w:r>
      <w:r w:rsidR="00E12B5D" w:rsidRPr="00641640">
        <w:rPr>
          <w:rFonts w:ascii="Times New Roman" w:hAnsi="Times New Roman" w:cs="Times New Roman"/>
          <w:noProof/>
          <w:sz w:val="24"/>
          <w:szCs w:val="24"/>
          <w:lang w:val="sq-AL"/>
        </w:rPr>
        <w:t>ë</w:t>
      </w:r>
      <w:r w:rsidR="006E3A27" w:rsidRPr="00641640">
        <w:rPr>
          <w:rFonts w:ascii="Times New Roman" w:hAnsi="Times New Roman" w:cs="Times New Roman"/>
          <w:noProof/>
          <w:sz w:val="24"/>
          <w:szCs w:val="24"/>
          <w:lang w:val="sq-AL"/>
        </w:rPr>
        <w:t xml:space="preserve"> jap</w:t>
      </w:r>
      <w:r w:rsidR="00E12B5D" w:rsidRPr="00641640">
        <w:rPr>
          <w:rFonts w:ascii="Times New Roman" w:hAnsi="Times New Roman" w:cs="Times New Roman"/>
          <w:noProof/>
          <w:sz w:val="24"/>
          <w:szCs w:val="24"/>
          <w:lang w:val="sq-AL"/>
        </w:rPr>
        <w:t>ë</w:t>
      </w:r>
      <w:r w:rsidR="006E3A27" w:rsidRPr="00641640">
        <w:rPr>
          <w:rFonts w:ascii="Times New Roman" w:hAnsi="Times New Roman" w:cs="Times New Roman"/>
          <w:noProof/>
          <w:sz w:val="24"/>
          <w:szCs w:val="24"/>
          <w:lang w:val="sq-AL"/>
        </w:rPr>
        <w:t xml:space="preserve"> rezultatet s</w:t>
      </w:r>
      <w:r w:rsidR="0011702B" w:rsidRPr="00641640">
        <w:rPr>
          <w:rFonts w:ascii="Times New Roman" w:hAnsi="Times New Roman" w:cs="Times New Roman"/>
          <w:noProof/>
          <w:sz w:val="24"/>
          <w:szCs w:val="24"/>
          <w:lang w:val="sq-AL"/>
        </w:rPr>
        <w:t>i m</w:t>
      </w:r>
      <w:r w:rsidR="00E12B5D" w:rsidRPr="00641640">
        <w:rPr>
          <w:rFonts w:ascii="Times New Roman" w:hAnsi="Times New Roman" w:cs="Times New Roman"/>
          <w:noProof/>
          <w:sz w:val="24"/>
          <w:szCs w:val="24"/>
          <w:lang w:val="sq-AL"/>
        </w:rPr>
        <w:t>ë</w:t>
      </w:r>
      <w:r w:rsidR="0011702B" w:rsidRPr="00641640">
        <w:rPr>
          <w:rFonts w:ascii="Times New Roman" w:hAnsi="Times New Roman" w:cs="Times New Roman"/>
          <w:noProof/>
          <w:sz w:val="24"/>
          <w:szCs w:val="24"/>
          <w:lang w:val="sq-AL"/>
        </w:rPr>
        <w:t xml:space="preserve"> posht</w:t>
      </w:r>
      <w:r w:rsidR="00E12B5D" w:rsidRPr="00641640">
        <w:rPr>
          <w:rFonts w:ascii="Times New Roman" w:hAnsi="Times New Roman" w:cs="Times New Roman"/>
          <w:noProof/>
          <w:sz w:val="24"/>
          <w:szCs w:val="24"/>
          <w:lang w:val="sq-AL"/>
        </w:rPr>
        <w:t>ë</w:t>
      </w:r>
      <w:r w:rsidR="0011702B" w:rsidRPr="00641640">
        <w:rPr>
          <w:rFonts w:ascii="Times New Roman" w:hAnsi="Times New Roman" w:cs="Times New Roman"/>
          <w:noProof/>
          <w:sz w:val="24"/>
          <w:szCs w:val="24"/>
          <w:lang w:val="sq-AL"/>
        </w:rPr>
        <w:t>:</w:t>
      </w:r>
    </w:p>
    <w:p w14:paraId="19F53F3A" w14:textId="74C75186" w:rsidR="00003663" w:rsidRPr="00641640" w:rsidRDefault="00003663" w:rsidP="00F863ED">
      <w:pPr>
        <w:spacing w:line="276" w:lineRule="auto"/>
        <w:jc w:val="both"/>
        <w:rPr>
          <w:rFonts w:ascii="Times New Roman" w:eastAsiaTheme="minorHAnsi"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1:</w:t>
      </w:r>
      <w:r w:rsidRPr="00641640">
        <w:rPr>
          <w:rFonts w:ascii="Times New Roman" w:eastAsia="Times New Roman" w:hAnsi="Times New Roman" w:cs="Times New Roman"/>
          <w:noProof/>
          <w:sz w:val="24"/>
          <w:szCs w:val="24"/>
          <w:lang w:val="sq-AL"/>
        </w:rPr>
        <w:t xml:space="preserve"> </w:t>
      </w:r>
      <w:r w:rsidR="008965CE" w:rsidRPr="00641640">
        <w:rPr>
          <w:rFonts w:ascii="Times New Roman" w:eastAsiaTheme="minorHAnsi" w:hAnsi="Times New Roman" w:cs="Times New Roman"/>
          <w:noProof/>
          <w:sz w:val="24"/>
          <w:szCs w:val="24"/>
          <w:lang w:val="sq-AL"/>
        </w:rPr>
        <w:t>P</w:t>
      </w:r>
      <w:r w:rsidR="00E12B5D" w:rsidRPr="00641640">
        <w:rPr>
          <w:rFonts w:ascii="Times New Roman" w:eastAsiaTheme="minorHAnsi" w:hAnsi="Times New Roman" w:cs="Times New Roman"/>
          <w:noProof/>
          <w:sz w:val="24"/>
          <w:szCs w:val="24"/>
          <w:lang w:val="sq-AL"/>
        </w:rPr>
        <w:t>ë</w:t>
      </w:r>
      <w:r w:rsidR="008965CE" w:rsidRPr="00641640">
        <w:rPr>
          <w:rFonts w:ascii="Times New Roman" w:eastAsiaTheme="minorHAnsi" w:hAnsi="Times New Roman" w:cs="Times New Roman"/>
          <w:noProof/>
          <w:sz w:val="24"/>
          <w:szCs w:val="24"/>
          <w:lang w:val="sq-AL"/>
        </w:rPr>
        <w:t>rmir</w:t>
      </w:r>
      <w:r w:rsidR="00E12B5D" w:rsidRPr="00641640">
        <w:rPr>
          <w:rFonts w:ascii="Times New Roman" w:eastAsiaTheme="minorHAnsi" w:hAnsi="Times New Roman" w:cs="Times New Roman"/>
          <w:noProof/>
          <w:sz w:val="24"/>
          <w:szCs w:val="24"/>
          <w:lang w:val="sq-AL"/>
        </w:rPr>
        <w:t>ë</w:t>
      </w:r>
      <w:r w:rsidR="008965CE" w:rsidRPr="00641640">
        <w:rPr>
          <w:rFonts w:ascii="Times New Roman" w:eastAsiaTheme="minorHAnsi" w:hAnsi="Times New Roman" w:cs="Times New Roman"/>
          <w:noProof/>
          <w:sz w:val="24"/>
          <w:szCs w:val="24"/>
          <w:lang w:val="sq-AL"/>
        </w:rPr>
        <w:t xml:space="preserve">simi i </w:t>
      </w:r>
      <w:r w:rsidR="0004421E" w:rsidRPr="00641640">
        <w:rPr>
          <w:rFonts w:ascii="Times New Roman" w:hAnsi="Times New Roman" w:cs="Times New Roman"/>
          <w:noProof/>
          <w:sz w:val="24"/>
          <w:szCs w:val="24"/>
          <w:lang w:val="sq-AL"/>
        </w:rPr>
        <w:t xml:space="preserve">portalit </w:t>
      </w:r>
      <w:r w:rsidR="0004421E" w:rsidRPr="00641640">
        <w:rPr>
          <w:rFonts w:ascii="Times New Roman" w:hAnsi="Times New Roman" w:cs="Times New Roman"/>
          <w:i/>
          <w:noProof/>
          <w:sz w:val="24"/>
          <w:szCs w:val="24"/>
          <w:lang w:val="sq-AL"/>
        </w:rPr>
        <w:t xml:space="preserve">e-Albania </w:t>
      </w:r>
      <w:r w:rsidR="0004421E" w:rsidRPr="00641640">
        <w:rPr>
          <w:rFonts w:ascii="Times New Roman" w:hAnsi="Times New Roman" w:cs="Times New Roman"/>
          <w:iCs/>
          <w:noProof/>
          <w:sz w:val="24"/>
          <w:szCs w:val="24"/>
          <w:lang w:val="sq-AL"/>
        </w:rPr>
        <w:t>(</w:t>
      </w:r>
      <w:r w:rsidR="00E12B5D" w:rsidRPr="00641640">
        <w:rPr>
          <w:rFonts w:ascii="Times New Roman" w:hAnsi="Times New Roman" w:cs="Times New Roman"/>
          <w:iCs/>
          <w:noProof/>
          <w:sz w:val="24"/>
          <w:szCs w:val="24"/>
          <w:lang w:val="sq-AL"/>
        </w:rPr>
        <w:t>w</w:t>
      </w:r>
      <w:r w:rsidR="0004421E" w:rsidRPr="00641640">
        <w:rPr>
          <w:rFonts w:ascii="Times New Roman" w:hAnsi="Times New Roman" w:cs="Times New Roman"/>
          <w:iCs/>
          <w:noProof/>
          <w:sz w:val="24"/>
          <w:szCs w:val="24"/>
          <w:lang w:val="sq-AL"/>
        </w:rPr>
        <w:t>eb</w:t>
      </w:r>
      <w:r w:rsidR="0004421E" w:rsidRPr="00641640">
        <w:rPr>
          <w:rFonts w:ascii="Times New Roman" w:hAnsi="Times New Roman" w:cs="Times New Roman"/>
          <w:noProof/>
          <w:sz w:val="24"/>
          <w:szCs w:val="24"/>
          <w:lang w:val="sq-AL"/>
        </w:rPr>
        <w:t xml:space="preserve"> dhe mobile)</w:t>
      </w:r>
      <w:r w:rsidR="00E17CE8" w:rsidRPr="00641640">
        <w:rPr>
          <w:rFonts w:ascii="Times New Roman" w:hAnsi="Times New Roman" w:cs="Times New Roman"/>
          <w:noProof/>
          <w:sz w:val="24"/>
          <w:szCs w:val="24"/>
          <w:lang w:val="sq-AL"/>
        </w:rPr>
        <w:t xml:space="preserve"> me funksionalitete të reja dhe në përputhje me standardet e pranueshme të aksesueshmërisë</w:t>
      </w:r>
      <w:r w:rsidR="00E12B5D" w:rsidRPr="00641640">
        <w:rPr>
          <w:rFonts w:ascii="Times New Roman" w:hAnsi="Times New Roman" w:cs="Times New Roman"/>
          <w:noProof/>
          <w:sz w:val="24"/>
          <w:szCs w:val="24"/>
          <w:lang w:val="sq-AL"/>
        </w:rPr>
        <w:t>.</w:t>
      </w:r>
    </w:p>
    <w:p w14:paraId="708748F8" w14:textId="3A2D3429" w:rsidR="00003663" w:rsidRPr="00641640" w:rsidRDefault="00003663" w:rsidP="00F863ED">
      <w:pPr>
        <w:spacing w:line="276" w:lineRule="auto"/>
        <w:jc w:val="both"/>
        <w:rPr>
          <w:rFonts w:ascii="Times New Roman" w:eastAsiaTheme="minorHAnsi" w:hAnsi="Times New Roman" w:cs="Times New Roman"/>
          <w:bCs/>
          <w:noProof/>
          <w:sz w:val="24"/>
          <w:szCs w:val="24"/>
          <w:lang w:val="sq-AL"/>
        </w:rPr>
      </w:pPr>
      <w:r w:rsidRPr="00641640">
        <w:rPr>
          <w:rFonts w:ascii="Times New Roman" w:eastAsia="Times New Roman" w:hAnsi="Times New Roman" w:cs="Times New Roman"/>
          <w:b/>
          <w:bCs/>
          <w:noProof/>
          <w:sz w:val="24"/>
          <w:szCs w:val="24"/>
          <w:lang w:val="sq-AL"/>
        </w:rPr>
        <w:t>Rezultati 2:</w:t>
      </w:r>
      <w:r w:rsidRPr="00641640">
        <w:rPr>
          <w:rFonts w:ascii="Times New Roman" w:eastAsia="Times New Roman" w:hAnsi="Times New Roman" w:cs="Times New Roman"/>
          <w:noProof/>
          <w:sz w:val="24"/>
          <w:szCs w:val="24"/>
          <w:lang w:val="sq-AL"/>
        </w:rPr>
        <w:t xml:space="preserve"> </w:t>
      </w:r>
      <w:r w:rsidR="009071EB" w:rsidRPr="00641640">
        <w:rPr>
          <w:rFonts w:ascii="Times New Roman" w:hAnsi="Times New Roman" w:cs="Times New Roman"/>
          <w:noProof/>
          <w:sz w:val="24"/>
          <w:szCs w:val="24"/>
          <w:lang w:val="sq-AL"/>
        </w:rPr>
        <w:t>Riorganizimi i shërbimeve elektronike me standarde të larta, të personalizuara dhe të bazuara në ngjarje proaktive</w:t>
      </w:r>
      <w:r w:rsidR="00E12B5D" w:rsidRPr="00641640">
        <w:rPr>
          <w:rFonts w:ascii="Times New Roman" w:hAnsi="Times New Roman" w:cs="Times New Roman"/>
          <w:noProof/>
          <w:sz w:val="24"/>
          <w:szCs w:val="24"/>
          <w:lang w:val="sq-AL"/>
        </w:rPr>
        <w:t>.</w:t>
      </w:r>
    </w:p>
    <w:p w14:paraId="11073514" w14:textId="26FC03BA" w:rsidR="00003663" w:rsidRPr="00641640" w:rsidRDefault="00003663"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3:</w:t>
      </w:r>
      <w:r w:rsidRPr="00641640">
        <w:rPr>
          <w:rFonts w:ascii="Times New Roman" w:eastAsia="Times New Roman" w:hAnsi="Times New Roman" w:cs="Times New Roman"/>
          <w:noProof/>
          <w:sz w:val="24"/>
          <w:szCs w:val="24"/>
          <w:lang w:val="sq-AL"/>
        </w:rPr>
        <w:t xml:space="preserve"> </w:t>
      </w:r>
      <w:r w:rsidR="00E12B5D" w:rsidRPr="00641640">
        <w:rPr>
          <w:rFonts w:ascii="Times New Roman" w:hAnsi="Times New Roman" w:cs="Times New Roman"/>
          <w:noProof/>
          <w:sz w:val="24"/>
          <w:szCs w:val="24"/>
          <w:lang w:val="sq-AL"/>
        </w:rPr>
        <w:t xml:space="preserve">Përditësimi i </w:t>
      </w:r>
      <w:r w:rsidR="00E43638">
        <w:rPr>
          <w:rFonts w:ascii="Times New Roman" w:hAnsi="Times New Roman" w:cs="Times New Roman"/>
          <w:noProof/>
          <w:sz w:val="24"/>
          <w:szCs w:val="24"/>
          <w:lang w:val="sq-AL"/>
        </w:rPr>
        <w:t>i</w:t>
      </w:r>
      <w:r w:rsidR="00E12B5D" w:rsidRPr="00641640">
        <w:rPr>
          <w:rFonts w:ascii="Times New Roman" w:hAnsi="Times New Roman" w:cs="Times New Roman"/>
          <w:noProof/>
          <w:sz w:val="24"/>
          <w:szCs w:val="24"/>
          <w:lang w:val="sq-AL"/>
        </w:rPr>
        <w:t>nfrastrukturës bazë të shërbimeve elektronike dhe Platformës Qeveritare të Ndërveprimit (GG).</w:t>
      </w:r>
    </w:p>
    <w:p w14:paraId="5C8BF1CB" w14:textId="22FAE5F4" w:rsidR="00003663" w:rsidRPr="00641640" w:rsidRDefault="00003663"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kryesore:</w:t>
      </w:r>
      <w:r w:rsidRPr="00641640">
        <w:rPr>
          <w:rFonts w:ascii="Times New Roman" w:eastAsia="Times New Roman" w:hAnsi="Times New Roman" w:cs="Times New Roman"/>
          <w:noProof/>
          <w:sz w:val="24"/>
          <w:szCs w:val="24"/>
          <w:lang w:val="sq-AL"/>
        </w:rPr>
        <w:t xml:space="preserve"> </w:t>
      </w:r>
      <w:r w:rsidR="0071318E" w:rsidRPr="00641640">
        <w:rPr>
          <w:rFonts w:ascii="Times New Roman" w:eastAsia="Times New Roman" w:hAnsi="Times New Roman" w:cs="Times New Roman"/>
          <w:noProof/>
          <w:sz w:val="24"/>
          <w:szCs w:val="24"/>
          <w:lang w:val="sq-AL"/>
        </w:rPr>
        <w:t>AKSHI</w:t>
      </w:r>
      <w:r w:rsidR="00E37592">
        <w:rPr>
          <w:rFonts w:ascii="Times New Roman" w:eastAsia="Times New Roman" w:hAnsi="Times New Roman" w:cs="Times New Roman"/>
          <w:noProof/>
          <w:sz w:val="24"/>
          <w:szCs w:val="24"/>
          <w:lang w:val="sq-AL"/>
        </w:rPr>
        <w:t>.</w:t>
      </w:r>
    </w:p>
    <w:p w14:paraId="304571E6" w14:textId="0E54824F" w:rsidR="00003663" w:rsidRPr="00641640" w:rsidRDefault="00003663"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kontributore:</w:t>
      </w:r>
      <w:r w:rsidRPr="00641640">
        <w:rPr>
          <w:rFonts w:ascii="Times New Roman" w:eastAsia="Times New Roman" w:hAnsi="Times New Roman" w:cs="Times New Roman"/>
          <w:noProof/>
          <w:sz w:val="24"/>
          <w:szCs w:val="24"/>
          <w:lang w:val="sq-AL"/>
        </w:rPr>
        <w:t xml:space="preserve"> </w:t>
      </w:r>
      <w:r w:rsidR="00D97B58" w:rsidRPr="00641640">
        <w:rPr>
          <w:rFonts w:ascii="Times New Roman" w:eastAsia="Times New Roman" w:hAnsi="Times New Roman" w:cs="Times New Roman"/>
          <w:noProof/>
          <w:sz w:val="24"/>
          <w:szCs w:val="24"/>
          <w:lang w:val="sq-AL"/>
        </w:rPr>
        <w:t>N/A</w:t>
      </w:r>
      <w:r w:rsidR="00E37592">
        <w:rPr>
          <w:rFonts w:ascii="Times New Roman" w:eastAsia="Times New Roman" w:hAnsi="Times New Roman" w:cs="Times New Roman"/>
          <w:noProof/>
          <w:sz w:val="24"/>
          <w:szCs w:val="24"/>
          <w:lang w:val="sq-AL"/>
        </w:rPr>
        <w:t>.</w:t>
      </w:r>
    </w:p>
    <w:p w14:paraId="0ECAB15A" w14:textId="77777777" w:rsidR="00A61275" w:rsidRPr="00641640" w:rsidRDefault="00A61275" w:rsidP="003A395D">
      <w:pPr>
        <w:spacing w:after="0" w:line="276" w:lineRule="auto"/>
        <w:jc w:val="both"/>
        <w:rPr>
          <w:rFonts w:ascii="Times New Roman" w:hAnsi="Times New Roman" w:cs="Times New Roman"/>
          <w:b/>
          <w:bCs/>
          <w:noProof/>
          <w:sz w:val="24"/>
          <w:szCs w:val="24"/>
          <w:lang w:val="sq-AL"/>
        </w:rPr>
      </w:pPr>
    </w:p>
    <w:p w14:paraId="5BDF4A9B" w14:textId="27875B6A" w:rsidR="00003663" w:rsidRPr="00641640" w:rsidRDefault="00003663"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Masat dhe aktivitetet</w:t>
      </w:r>
    </w:p>
    <w:p w14:paraId="34D9105B" w14:textId="134E95C0" w:rsidR="00CE5E3E" w:rsidRPr="00641640" w:rsidRDefault="00CE5E3E" w:rsidP="003A395D">
      <w:pPr>
        <w:spacing w:after="0" w:line="276" w:lineRule="auto"/>
        <w:jc w:val="both"/>
        <w:rPr>
          <w:rFonts w:ascii="Times New Roman" w:hAnsi="Times New Roman" w:cs="Times New Roman"/>
          <w:b/>
          <w:bCs/>
          <w:noProof/>
          <w:sz w:val="24"/>
          <w:szCs w:val="24"/>
          <w:lang w:val="sq-AL"/>
        </w:rPr>
      </w:pPr>
      <w:r w:rsidRPr="00641640">
        <w:rPr>
          <w:rFonts w:ascii="Times New Roman" w:hAnsi="Times New Roman" w:cs="Times New Roman"/>
          <w:bCs/>
          <w:noProof/>
          <w:color w:val="000000" w:themeColor="text1"/>
          <w:sz w:val="24"/>
          <w:szCs w:val="24"/>
          <w:lang w:val="sq-AL"/>
        </w:rPr>
        <w:t xml:space="preserve">Ky </w:t>
      </w:r>
      <w:r w:rsidR="00A61275" w:rsidRPr="00641640">
        <w:rPr>
          <w:rFonts w:ascii="Times New Roman" w:hAnsi="Times New Roman" w:cs="Times New Roman"/>
          <w:bCs/>
          <w:noProof/>
          <w:color w:val="000000" w:themeColor="text1"/>
          <w:sz w:val="24"/>
          <w:szCs w:val="24"/>
          <w:lang w:val="sq-AL"/>
        </w:rPr>
        <w:t>o</w:t>
      </w:r>
      <w:r w:rsidRPr="00641640">
        <w:rPr>
          <w:rFonts w:ascii="Times New Roman" w:hAnsi="Times New Roman" w:cs="Times New Roman"/>
          <w:bCs/>
          <w:noProof/>
          <w:color w:val="000000" w:themeColor="text1"/>
          <w:sz w:val="24"/>
          <w:szCs w:val="24"/>
          <w:lang w:val="sq-AL"/>
        </w:rPr>
        <w:t xml:space="preserve">bjektiv </w:t>
      </w:r>
      <w:r w:rsidR="00A61275" w:rsidRPr="00641640">
        <w:rPr>
          <w:rFonts w:ascii="Times New Roman" w:hAnsi="Times New Roman" w:cs="Times New Roman"/>
          <w:bCs/>
          <w:noProof/>
          <w:color w:val="000000" w:themeColor="text1"/>
          <w:sz w:val="24"/>
          <w:szCs w:val="24"/>
          <w:lang w:val="sq-AL"/>
        </w:rPr>
        <w:t>s</w:t>
      </w:r>
      <w:r w:rsidRPr="00641640">
        <w:rPr>
          <w:rFonts w:ascii="Times New Roman" w:hAnsi="Times New Roman" w:cs="Times New Roman"/>
          <w:bCs/>
          <w:noProof/>
          <w:color w:val="000000" w:themeColor="text1"/>
          <w:sz w:val="24"/>
          <w:szCs w:val="24"/>
          <w:lang w:val="sq-AL"/>
        </w:rPr>
        <w:t>pecifik do të zbatohet përmes masave të mëposhtme, teksa aktivitetet konkrete për periudhën e parë të zbatimit të SNRAP 202</w:t>
      </w:r>
      <w:r w:rsidR="00A61275" w:rsidRPr="00641640">
        <w:rPr>
          <w:rFonts w:ascii="Times New Roman" w:hAnsi="Times New Roman" w:cs="Times New Roman"/>
          <w:bCs/>
          <w:noProof/>
          <w:color w:val="000000" w:themeColor="text1"/>
          <w:sz w:val="24"/>
          <w:szCs w:val="24"/>
          <w:lang w:val="sq-AL"/>
        </w:rPr>
        <w:t>5</w:t>
      </w:r>
      <w:r w:rsidRPr="00641640">
        <w:rPr>
          <w:rFonts w:ascii="Times New Roman" w:hAnsi="Times New Roman" w:cs="Times New Roman"/>
          <w:bCs/>
          <w:noProof/>
          <w:color w:val="000000" w:themeColor="text1"/>
          <w:sz w:val="24"/>
          <w:szCs w:val="24"/>
          <w:lang w:val="sq-AL"/>
        </w:rPr>
        <w:t>-2030 mund të gjenden në Planin e Veprimit 202</w:t>
      </w:r>
      <w:r w:rsidR="00A61275" w:rsidRPr="00641640">
        <w:rPr>
          <w:rFonts w:ascii="Times New Roman" w:hAnsi="Times New Roman" w:cs="Times New Roman"/>
          <w:bCs/>
          <w:noProof/>
          <w:color w:val="000000" w:themeColor="text1"/>
          <w:sz w:val="24"/>
          <w:szCs w:val="24"/>
          <w:lang w:val="sq-AL"/>
        </w:rPr>
        <w:t>5</w:t>
      </w:r>
      <w:r w:rsidRPr="00641640">
        <w:rPr>
          <w:rFonts w:ascii="Times New Roman" w:hAnsi="Times New Roman" w:cs="Times New Roman"/>
          <w:bCs/>
          <w:noProof/>
          <w:color w:val="000000" w:themeColor="text1"/>
          <w:sz w:val="24"/>
          <w:szCs w:val="24"/>
          <w:lang w:val="sq-AL"/>
        </w:rPr>
        <w:t>-202</w:t>
      </w:r>
      <w:r w:rsidR="00A61275" w:rsidRPr="00641640">
        <w:rPr>
          <w:rFonts w:ascii="Times New Roman" w:hAnsi="Times New Roman" w:cs="Times New Roman"/>
          <w:bCs/>
          <w:noProof/>
          <w:color w:val="000000" w:themeColor="text1"/>
          <w:sz w:val="24"/>
          <w:szCs w:val="24"/>
          <w:lang w:val="sq-AL"/>
        </w:rPr>
        <w:t>7</w:t>
      </w:r>
      <w:r w:rsidRPr="00641640">
        <w:rPr>
          <w:rFonts w:ascii="Times New Roman" w:hAnsi="Times New Roman" w:cs="Times New Roman"/>
          <w:bCs/>
          <w:noProof/>
          <w:color w:val="000000" w:themeColor="text1"/>
          <w:sz w:val="24"/>
          <w:szCs w:val="24"/>
          <w:lang w:val="sq-AL"/>
        </w:rPr>
        <w:t xml:space="preserve"> (Aneksi nr. 1).</w:t>
      </w:r>
    </w:p>
    <w:p w14:paraId="065532E7" w14:textId="77777777" w:rsidR="00CE5E3E" w:rsidRPr="00641640" w:rsidRDefault="00CE5E3E" w:rsidP="003A395D">
      <w:pPr>
        <w:shd w:val="clear" w:color="auto" w:fill="FFFFFF" w:themeFill="background1"/>
        <w:spacing w:beforeAutospacing="1" w:after="0" w:line="276" w:lineRule="auto"/>
        <w:jc w:val="both"/>
        <w:textAlignment w:val="baseline"/>
        <w:rPr>
          <w:rFonts w:ascii="Times New Roman" w:hAnsi="Times New Roman" w:cs="Times New Roman"/>
          <w:bCs/>
          <w:noProof/>
          <w:color w:val="000000" w:themeColor="text1"/>
          <w:sz w:val="24"/>
          <w:szCs w:val="24"/>
          <w:lang w:val="sq-AL"/>
        </w:rPr>
      </w:pPr>
    </w:p>
    <w:tbl>
      <w:tblPr>
        <w:tblStyle w:val="TableGridIDEA3"/>
        <w:tblW w:w="0" w:type="auto"/>
        <w:tblLook w:val="04A0" w:firstRow="1" w:lastRow="0" w:firstColumn="1" w:lastColumn="0" w:noHBand="0" w:noVBand="1"/>
      </w:tblPr>
      <w:tblGrid>
        <w:gridCol w:w="1163"/>
        <w:gridCol w:w="8187"/>
      </w:tblGrid>
      <w:tr w:rsidR="00CE5E3E" w:rsidRPr="00641640" w14:paraId="2E756F8D" w14:textId="77777777" w:rsidTr="008E101A">
        <w:trPr>
          <w:trHeight w:val="980"/>
        </w:trPr>
        <w:tc>
          <w:tcPr>
            <w:tcW w:w="9350" w:type="dxa"/>
            <w:gridSpan w:val="2"/>
            <w:shd w:val="clear" w:color="auto" w:fill="C5E0B3" w:themeFill="accent6" w:themeFillTint="66"/>
          </w:tcPr>
          <w:p w14:paraId="0D8E7D9C" w14:textId="7CBDD603" w:rsidR="00CE5E3E" w:rsidRPr="00641640" w:rsidRDefault="00CE5E3E" w:rsidP="003A395D">
            <w:pPr>
              <w:spacing w:before="240" w:after="160" w:line="276" w:lineRule="auto"/>
              <w:jc w:val="center"/>
              <w:textAlignment w:val="baseline"/>
              <w:rPr>
                <w:rFonts w:ascii="Times New Roman" w:hAnsi="Times New Roman" w:cs="Times New Roman"/>
                <w:b/>
                <w:i/>
                <w:noProof/>
                <w:sz w:val="22"/>
                <w:szCs w:val="22"/>
                <w:lang w:val="sq-AL"/>
              </w:rPr>
            </w:pPr>
            <w:r w:rsidRPr="00641640">
              <w:rPr>
                <w:rFonts w:ascii="Times New Roman" w:hAnsi="Times New Roman" w:cs="Times New Roman"/>
                <w:b/>
                <w:i/>
                <w:noProof/>
                <w:sz w:val="22"/>
                <w:szCs w:val="22"/>
                <w:lang w:val="sq-AL"/>
              </w:rPr>
              <w:lastRenderedPageBreak/>
              <w:t xml:space="preserve">Objektivi Specifik </w:t>
            </w:r>
            <w:r w:rsidR="000C7AE6">
              <w:rPr>
                <w:rFonts w:ascii="Times New Roman" w:hAnsi="Times New Roman" w:cs="Times New Roman"/>
                <w:b/>
                <w:i/>
                <w:noProof/>
                <w:sz w:val="22"/>
                <w:szCs w:val="22"/>
                <w:lang w:val="sq-AL"/>
              </w:rPr>
              <w:t>3</w:t>
            </w:r>
            <w:r w:rsidRPr="00641640">
              <w:rPr>
                <w:rFonts w:ascii="Times New Roman" w:hAnsi="Times New Roman" w:cs="Times New Roman"/>
                <w:b/>
                <w:i/>
                <w:noProof/>
                <w:sz w:val="22"/>
                <w:szCs w:val="22"/>
                <w:lang w:val="sq-AL"/>
              </w:rPr>
              <w:t>.1: Ri-inxhinierimi dhe optimizimi i shërbimeve publike elektronike, duke rritur aksesin për qytetarët dhe bizneset, si dhe efikasitetin përmes teknologjisë së avancuar dhe thjeshtimit të proceseve me fokus te përdoruesi.</w:t>
            </w:r>
          </w:p>
        </w:tc>
      </w:tr>
      <w:tr w:rsidR="00CE5E3E" w:rsidRPr="00641640" w14:paraId="5FF58080" w14:textId="77777777" w:rsidTr="008E101A">
        <w:tc>
          <w:tcPr>
            <w:tcW w:w="1163" w:type="dxa"/>
            <w:shd w:val="clear" w:color="auto" w:fill="C5E0B3" w:themeFill="accent6" w:themeFillTint="66"/>
          </w:tcPr>
          <w:p w14:paraId="6A4533F2" w14:textId="5D1CBB31" w:rsidR="00CE5E3E" w:rsidRPr="00641640" w:rsidRDefault="00CE5E3E" w:rsidP="003A395D">
            <w:pPr>
              <w:spacing w:beforeAutospacing="1" w:after="160"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973C14" w:rsidRPr="00641640">
              <w:rPr>
                <w:rFonts w:ascii="Times New Roman" w:hAnsi="Times New Roman" w:cs="Times New Roman"/>
                <w:b/>
                <w:noProof/>
                <w:sz w:val="22"/>
                <w:szCs w:val="22"/>
                <w:lang w:val="sq-AL"/>
              </w:rPr>
              <w:t>3</w:t>
            </w:r>
            <w:r w:rsidRPr="00641640">
              <w:rPr>
                <w:rFonts w:ascii="Times New Roman" w:hAnsi="Times New Roman" w:cs="Times New Roman"/>
                <w:b/>
                <w:noProof/>
                <w:sz w:val="22"/>
                <w:szCs w:val="22"/>
                <w:lang w:val="sq-AL"/>
              </w:rPr>
              <w:t>.1.1</w:t>
            </w:r>
          </w:p>
        </w:tc>
        <w:tc>
          <w:tcPr>
            <w:tcW w:w="8187" w:type="dxa"/>
          </w:tcPr>
          <w:p w14:paraId="7BE6CA8D" w14:textId="77777777" w:rsidR="00CE5E3E" w:rsidRPr="00641640" w:rsidRDefault="00CE5E3E"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Ri-inxhinierimi i portalit e-Albania bazuar në Aksesueshmërinë dhe Përvojën e Përdoruesit (UX).</w:t>
            </w:r>
          </w:p>
        </w:tc>
      </w:tr>
      <w:tr w:rsidR="00CE5E3E" w:rsidRPr="00641640" w14:paraId="72DCBCD2" w14:textId="77777777" w:rsidTr="008E101A">
        <w:tc>
          <w:tcPr>
            <w:tcW w:w="1163" w:type="dxa"/>
            <w:shd w:val="clear" w:color="auto" w:fill="C5E0B3" w:themeFill="accent6" w:themeFillTint="66"/>
          </w:tcPr>
          <w:p w14:paraId="684FA350" w14:textId="4975AD32" w:rsidR="00CE5E3E" w:rsidRPr="00641640" w:rsidRDefault="00CE5E3E" w:rsidP="003A395D">
            <w:pPr>
              <w:spacing w:beforeAutospacing="1" w:after="160"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973C14" w:rsidRPr="00641640">
              <w:rPr>
                <w:rFonts w:ascii="Times New Roman" w:hAnsi="Times New Roman" w:cs="Times New Roman"/>
                <w:b/>
                <w:noProof/>
                <w:sz w:val="22"/>
                <w:szCs w:val="22"/>
                <w:lang w:val="sq-AL"/>
              </w:rPr>
              <w:t>3</w:t>
            </w:r>
            <w:r w:rsidRPr="00641640">
              <w:rPr>
                <w:rFonts w:ascii="Times New Roman" w:hAnsi="Times New Roman" w:cs="Times New Roman"/>
                <w:b/>
                <w:noProof/>
                <w:sz w:val="22"/>
                <w:szCs w:val="22"/>
                <w:lang w:val="sq-AL"/>
              </w:rPr>
              <w:t>.1.2</w:t>
            </w:r>
          </w:p>
        </w:tc>
        <w:tc>
          <w:tcPr>
            <w:tcW w:w="8187" w:type="dxa"/>
          </w:tcPr>
          <w:p w14:paraId="523914B8" w14:textId="77777777" w:rsidR="00CE5E3E" w:rsidRPr="00641640" w:rsidRDefault="00CE5E3E"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Riorganizimi i shërbimeve elektronike me standarde të larta, të personalizuara dhe të bazuara në ngjarje proaktive.</w:t>
            </w:r>
          </w:p>
        </w:tc>
      </w:tr>
      <w:tr w:rsidR="00CE5E3E" w:rsidRPr="00641640" w14:paraId="20716CF5" w14:textId="77777777" w:rsidTr="008E101A">
        <w:tc>
          <w:tcPr>
            <w:tcW w:w="1163" w:type="dxa"/>
            <w:shd w:val="clear" w:color="auto" w:fill="C5E0B3" w:themeFill="accent6" w:themeFillTint="66"/>
          </w:tcPr>
          <w:p w14:paraId="4594BAB6" w14:textId="17AA4485" w:rsidR="00CE5E3E" w:rsidRPr="00641640" w:rsidRDefault="000B017B" w:rsidP="003A395D">
            <w:pPr>
              <w:spacing w:beforeAutospacing="1" w:after="160"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973C14" w:rsidRPr="00641640">
              <w:rPr>
                <w:rFonts w:ascii="Times New Roman" w:hAnsi="Times New Roman" w:cs="Times New Roman"/>
                <w:b/>
                <w:noProof/>
                <w:sz w:val="22"/>
                <w:szCs w:val="22"/>
                <w:lang w:val="sq-AL"/>
              </w:rPr>
              <w:t>3</w:t>
            </w:r>
            <w:r w:rsidRPr="00641640">
              <w:rPr>
                <w:rFonts w:ascii="Times New Roman" w:hAnsi="Times New Roman" w:cs="Times New Roman"/>
                <w:b/>
                <w:noProof/>
                <w:sz w:val="22"/>
                <w:szCs w:val="22"/>
                <w:lang w:val="sq-AL"/>
              </w:rPr>
              <w:t>.1.3</w:t>
            </w:r>
          </w:p>
        </w:tc>
        <w:tc>
          <w:tcPr>
            <w:tcW w:w="8187" w:type="dxa"/>
          </w:tcPr>
          <w:p w14:paraId="75CBA477" w14:textId="77777777" w:rsidR="00CE5E3E" w:rsidRPr="00641640" w:rsidRDefault="00CE5E3E" w:rsidP="003A395D">
            <w:pPr>
              <w:spacing w:beforeAutospacing="1" w:after="160" w:line="276" w:lineRule="auto"/>
              <w:jc w:val="both"/>
              <w:textAlignment w:val="baseline"/>
              <w:rPr>
                <w:rFonts w:ascii="Times New Roman" w:hAnsi="Times New Roman" w:cs="Times New Roman"/>
                <w:noProof/>
                <w:sz w:val="22"/>
                <w:szCs w:val="22"/>
                <w:highlight w:val="yellow"/>
                <w:lang w:val="sq-AL"/>
              </w:rPr>
            </w:pPr>
            <w:r w:rsidRPr="00641640">
              <w:rPr>
                <w:rFonts w:ascii="Times New Roman" w:hAnsi="Times New Roman" w:cs="Times New Roman"/>
                <w:noProof/>
                <w:sz w:val="22"/>
                <w:szCs w:val="22"/>
                <w:lang w:val="sq-AL"/>
              </w:rPr>
              <w:t>Përditësimi i Infrastrukturës bazë të shërbimeve elektronike dhe Platformës Qeveritare të Ndërveprimit (GG).</w:t>
            </w:r>
          </w:p>
        </w:tc>
      </w:tr>
    </w:tbl>
    <w:p w14:paraId="49D73611" w14:textId="77777777" w:rsidR="00CE5E3E" w:rsidRPr="00641640" w:rsidRDefault="00CE5E3E" w:rsidP="003A395D">
      <w:pPr>
        <w:shd w:val="clear" w:color="auto" w:fill="FFFFFF" w:themeFill="background1"/>
        <w:spacing w:beforeAutospacing="1" w:after="0" w:line="276" w:lineRule="auto"/>
        <w:jc w:val="both"/>
        <w:textAlignment w:val="baseline"/>
        <w:rPr>
          <w:rFonts w:ascii="Times New Roman" w:hAnsi="Times New Roman" w:cs="Times New Roman"/>
          <w:bCs/>
          <w:noProof/>
          <w:color w:val="000000" w:themeColor="text1"/>
          <w:sz w:val="24"/>
          <w:szCs w:val="24"/>
          <w:lang w:val="sq-AL"/>
        </w:rPr>
      </w:pPr>
    </w:p>
    <w:p w14:paraId="1B26B633" w14:textId="23A5FEC8" w:rsidR="00C8749D" w:rsidRPr="00641640" w:rsidRDefault="00C8749D" w:rsidP="003A395D">
      <w:pPr>
        <w:spacing w:line="276" w:lineRule="auto"/>
        <w:jc w:val="both"/>
        <w:rPr>
          <w:rFonts w:ascii="Times New Roman" w:hAnsi="Times New Roman" w:cs="Times New Roman"/>
          <w:b/>
          <w:bCs/>
          <w:noProof/>
          <w:color w:val="FF0000"/>
          <w:sz w:val="24"/>
          <w:szCs w:val="24"/>
          <w:lang w:val="sq-AL"/>
        </w:rPr>
      </w:pPr>
      <w:r w:rsidRPr="00641640">
        <w:rPr>
          <w:rFonts w:ascii="Times New Roman" w:hAnsi="Times New Roman" w:cs="Times New Roman"/>
          <w:b/>
          <w:bCs/>
          <w:noProof/>
          <w:sz w:val="24"/>
          <w:szCs w:val="24"/>
          <w:lang w:val="sq-AL"/>
        </w:rPr>
        <w:t>Lidhja e treguesve kryesorë të performancës më Qëllimin e Politikës I</w:t>
      </w:r>
      <w:r w:rsidR="00973C14" w:rsidRPr="00641640">
        <w:rPr>
          <w:rFonts w:ascii="Times New Roman" w:hAnsi="Times New Roman" w:cs="Times New Roman"/>
          <w:b/>
          <w:bCs/>
          <w:noProof/>
          <w:sz w:val="24"/>
          <w:szCs w:val="24"/>
          <w:lang w:val="sq-AL"/>
        </w:rPr>
        <w:t>II</w:t>
      </w:r>
      <w:r w:rsidRPr="00641640">
        <w:rPr>
          <w:rFonts w:ascii="Times New Roman" w:hAnsi="Times New Roman" w:cs="Times New Roman"/>
          <w:b/>
          <w:bCs/>
          <w:noProof/>
          <w:sz w:val="24"/>
          <w:szCs w:val="24"/>
          <w:lang w:val="sq-AL"/>
        </w:rPr>
        <w:t xml:space="preserve">, Objektivin Specifik </w:t>
      </w:r>
      <w:r w:rsidR="00973C14" w:rsidRPr="00641640">
        <w:rPr>
          <w:rFonts w:ascii="Times New Roman" w:hAnsi="Times New Roman" w:cs="Times New Roman"/>
          <w:b/>
          <w:bCs/>
          <w:noProof/>
          <w:sz w:val="24"/>
          <w:szCs w:val="24"/>
          <w:lang w:val="sq-AL"/>
        </w:rPr>
        <w:t>3</w:t>
      </w:r>
      <w:r w:rsidRPr="00641640">
        <w:rPr>
          <w:rFonts w:ascii="Times New Roman" w:hAnsi="Times New Roman" w:cs="Times New Roman"/>
          <w:b/>
          <w:bCs/>
          <w:noProof/>
          <w:sz w:val="24"/>
          <w:szCs w:val="24"/>
          <w:lang w:val="sq-AL"/>
        </w:rPr>
        <w:t>.</w:t>
      </w:r>
      <w:r w:rsidR="00973C14" w:rsidRPr="00641640">
        <w:rPr>
          <w:rFonts w:ascii="Times New Roman" w:hAnsi="Times New Roman" w:cs="Times New Roman"/>
          <w:b/>
          <w:bCs/>
          <w:noProof/>
          <w:sz w:val="24"/>
          <w:szCs w:val="24"/>
          <w:lang w:val="sq-AL"/>
        </w:rPr>
        <w:t>1</w:t>
      </w:r>
      <w:r w:rsidRPr="00641640">
        <w:rPr>
          <w:rFonts w:ascii="Times New Roman" w:hAnsi="Times New Roman" w:cs="Times New Roman"/>
          <w:b/>
          <w:bCs/>
          <w:noProof/>
          <w:sz w:val="24"/>
          <w:szCs w:val="24"/>
          <w:lang w:val="sq-AL"/>
        </w:rPr>
        <w:t xml:space="preserve"> dhe institucionet përgjegjëse.</w:t>
      </w:r>
    </w:p>
    <w:tbl>
      <w:tblPr>
        <w:tblStyle w:val="TableGrid"/>
        <w:tblW w:w="93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2"/>
        <w:gridCol w:w="1980"/>
        <w:gridCol w:w="2160"/>
        <w:gridCol w:w="2340"/>
        <w:gridCol w:w="1890"/>
      </w:tblGrid>
      <w:tr w:rsidR="00C8749D" w:rsidRPr="00641640" w14:paraId="4E1716E7" w14:textId="77777777" w:rsidTr="008E101A">
        <w:trPr>
          <w:trHeight w:val="15"/>
        </w:trPr>
        <w:tc>
          <w:tcPr>
            <w:tcW w:w="982" w:type="dxa"/>
            <w:shd w:val="clear" w:color="auto" w:fill="C5E0B3" w:themeFill="accent6" w:themeFillTint="66"/>
            <w:tcMar>
              <w:top w:w="15" w:type="dxa"/>
              <w:left w:w="75" w:type="dxa"/>
              <w:bottom w:w="15" w:type="dxa"/>
              <w:right w:w="75" w:type="dxa"/>
            </w:tcMar>
          </w:tcPr>
          <w:p w14:paraId="37287D6C"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p>
          <w:p w14:paraId="2760693C"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Lloji i treguesit</w:t>
            </w:r>
          </w:p>
        </w:tc>
        <w:tc>
          <w:tcPr>
            <w:tcW w:w="1980" w:type="dxa"/>
            <w:shd w:val="clear" w:color="auto" w:fill="C5E0B3" w:themeFill="accent6" w:themeFillTint="66"/>
            <w:tcMar>
              <w:top w:w="15" w:type="dxa"/>
              <w:left w:w="75" w:type="dxa"/>
              <w:bottom w:w="15" w:type="dxa"/>
              <w:right w:w="75" w:type="dxa"/>
            </w:tcMar>
          </w:tcPr>
          <w:p w14:paraId="38B1E3D6"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p>
          <w:p w14:paraId="1B7E55B2"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Emërtimi i treguesit të performancës</w:t>
            </w:r>
          </w:p>
          <w:p w14:paraId="58AA560B" w14:textId="77777777" w:rsidR="00C8749D" w:rsidRPr="00641640" w:rsidRDefault="00C8749D" w:rsidP="003A395D">
            <w:pPr>
              <w:spacing w:line="276" w:lineRule="auto"/>
              <w:jc w:val="center"/>
              <w:rPr>
                <w:rFonts w:ascii="Times New Roman" w:eastAsia="Arial" w:hAnsi="Times New Roman" w:cs="Times New Roman"/>
                <w:noProof/>
                <w:sz w:val="22"/>
                <w:szCs w:val="22"/>
                <w:lang w:val="sq-AL"/>
              </w:rPr>
            </w:pPr>
          </w:p>
        </w:tc>
        <w:tc>
          <w:tcPr>
            <w:tcW w:w="2160" w:type="dxa"/>
            <w:shd w:val="clear" w:color="auto" w:fill="C5E0B3" w:themeFill="accent6" w:themeFillTint="66"/>
          </w:tcPr>
          <w:p w14:paraId="19B3CFAC"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p>
          <w:p w14:paraId="2232ADA3"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Qëllimin e Politikës</w:t>
            </w:r>
          </w:p>
        </w:tc>
        <w:tc>
          <w:tcPr>
            <w:tcW w:w="2340" w:type="dxa"/>
            <w:shd w:val="clear" w:color="auto" w:fill="C5E0B3" w:themeFill="accent6" w:themeFillTint="66"/>
          </w:tcPr>
          <w:p w14:paraId="0D3C09E1"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p>
          <w:p w14:paraId="5353B10A"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Objektivin Specifik</w:t>
            </w:r>
          </w:p>
        </w:tc>
        <w:tc>
          <w:tcPr>
            <w:tcW w:w="1890" w:type="dxa"/>
            <w:shd w:val="clear" w:color="auto" w:fill="C5E0B3" w:themeFill="accent6" w:themeFillTint="66"/>
            <w:tcMar>
              <w:top w:w="15" w:type="dxa"/>
              <w:left w:w="75" w:type="dxa"/>
              <w:bottom w:w="15" w:type="dxa"/>
              <w:right w:w="75" w:type="dxa"/>
            </w:tcMar>
          </w:tcPr>
          <w:p w14:paraId="4CBB9E3B" w14:textId="77777777" w:rsidR="00C8749D" w:rsidRPr="00641640" w:rsidRDefault="00C8749D" w:rsidP="003A395D">
            <w:pPr>
              <w:spacing w:line="276" w:lineRule="auto"/>
              <w:jc w:val="center"/>
              <w:rPr>
                <w:rFonts w:ascii="Times New Roman" w:eastAsia="Arial" w:hAnsi="Times New Roman" w:cs="Times New Roman"/>
                <w:noProof/>
                <w:sz w:val="22"/>
                <w:szCs w:val="22"/>
                <w:lang w:val="sq-AL"/>
              </w:rPr>
            </w:pPr>
          </w:p>
          <w:p w14:paraId="54B20FDB"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Institucioni përgjegjës</w:t>
            </w:r>
          </w:p>
        </w:tc>
      </w:tr>
      <w:tr w:rsidR="00C8749D" w:rsidRPr="00641640" w14:paraId="1ED0AD27" w14:textId="77777777" w:rsidTr="002C31DE">
        <w:trPr>
          <w:trHeight w:val="473"/>
        </w:trPr>
        <w:tc>
          <w:tcPr>
            <w:tcW w:w="982" w:type="dxa"/>
            <w:tcMar>
              <w:top w:w="15" w:type="dxa"/>
              <w:left w:w="75" w:type="dxa"/>
              <w:bottom w:w="15" w:type="dxa"/>
              <w:right w:w="75" w:type="dxa"/>
            </w:tcMar>
          </w:tcPr>
          <w:p w14:paraId="4AB56C02" w14:textId="354454C1" w:rsidR="00C8749D" w:rsidRPr="00641640" w:rsidRDefault="00B22BAE" w:rsidP="003A395D">
            <w:pPr>
              <w:spacing w:line="276" w:lineRule="auto"/>
              <w:rPr>
                <w:rFonts w:ascii="Times New Roman" w:eastAsiaTheme="minorHAnsi" w:hAnsi="Times New Roman" w:cs="Times New Roman"/>
                <w:noProof/>
                <w:sz w:val="22"/>
                <w:szCs w:val="22"/>
                <w:lang w:val="sq-AL"/>
              </w:rPr>
            </w:pPr>
            <w:r w:rsidRPr="00641640">
              <w:rPr>
                <w:rFonts w:ascii="Times New Roman" w:eastAsiaTheme="minorHAnsi" w:hAnsi="Times New Roman" w:cs="Times New Roman"/>
                <w:noProof/>
                <w:sz w:val="22"/>
                <w:szCs w:val="22"/>
                <w:lang w:val="sq-AL"/>
              </w:rPr>
              <w:t>Rezultati</w:t>
            </w:r>
          </w:p>
        </w:tc>
        <w:tc>
          <w:tcPr>
            <w:tcW w:w="1980" w:type="dxa"/>
            <w:tcMar>
              <w:top w:w="15" w:type="dxa"/>
              <w:left w:w="75" w:type="dxa"/>
              <w:bottom w:w="15" w:type="dxa"/>
              <w:right w:w="75" w:type="dxa"/>
            </w:tcMar>
          </w:tcPr>
          <w:p w14:paraId="003E1C9B" w14:textId="35F7B1D8" w:rsidR="00B22BAE" w:rsidRPr="00641640" w:rsidRDefault="00C4240F"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 xml:space="preserve">3.1.1 </w:t>
            </w:r>
            <w:r w:rsidR="00487699" w:rsidRPr="00487699">
              <w:rPr>
                <w:rFonts w:ascii="Times New Roman" w:hAnsi="Times New Roman" w:cs="Times New Roman"/>
                <w:noProof/>
                <w:sz w:val="22"/>
                <w:szCs w:val="22"/>
                <w:lang w:val="sq-AL"/>
              </w:rPr>
              <w:t>Niveli i riorganizimit të shërbimeve elektronike.</w:t>
            </w:r>
          </w:p>
          <w:p w14:paraId="2CFD72D4" w14:textId="1DC7417F" w:rsidR="00C4240F" w:rsidRPr="00641640" w:rsidRDefault="00C4240F" w:rsidP="003A395D">
            <w:pPr>
              <w:spacing w:line="276" w:lineRule="auto"/>
              <w:rPr>
                <w:rFonts w:ascii="Times New Roman" w:hAnsi="Times New Roman" w:cs="Times New Roman"/>
                <w:noProof/>
                <w:sz w:val="22"/>
                <w:szCs w:val="22"/>
                <w:lang w:val="sq-AL"/>
              </w:rPr>
            </w:pPr>
          </w:p>
        </w:tc>
        <w:tc>
          <w:tcPr>
            <w:tcW w:w="2160" w:type="dxa"/>
          </w:tcPr>
          <w:p w14:paraId="122AEA49" w14:textId="42C2D1E2" w:rsidR="00C8749D" w:rsidRPr="00641640" w:rsidRDefault="00982116"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Ofrimi i Shërbimeve dhe Digjitalizimi</w:t>
            </w:r>
          </w:p>
        </w:tc>
        <w:tc>
          <w:tcPr>
            <w:tcW w:w="2340" w:type="dxa"/>
          </w:tcPr>
          <w:p w14:paraId="361A7F13" w14:textId="77777777" w:rsidR="00C8749D" w:rsidRPr="00641640" w:rsidRDefault="001F07AB"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3.1 Ri-inxhinierimi dhe optimizimi i shërbimeve publike elektronike, duke rritur aksesin për qytetarët dhe bizneset, si dhe efikasitetin përmes teknologjisë së avancuar dhe thjeshtimit të proceseve me fokus te përdoruesi.</w:t>
            </w:r>
          </w:p>
          <w:p w14:paraId="136AC000" w14:textId="666581E5" w:rsidR="001F07AB" w:rsidRPr="00641640" w:rsidRDefault="001F07AB" w:rsidP="003A395D">
            <w:pPr>
              <w:spacing w:line="276" w:lineRule="auto"/>
              <w:rPr>
                <w:rFonts w:ascii="Times New Roman" w:eastAsia="Arial" w:hAnsi="Times New Roman" w:cs="Times New Roman"/>
                <w:noProof/>
                <w:sz w:val="22"/>
                <w:szCs w:val="22"/>
                <w:lang w:val="sq-AL"/>
              </w:rPr>
            </w:pPr>
          </w:p>
        </w:tc>
        <w:tc>
          <w:tcPr>
            <w:tcW w:w="1890" w:type="dxa"/>
            <w:tcMar>
              <w:top w:w="15" w:type="dxa"/>
              <w:left w:w="75" w:type="dxa"/>
              <w:bottom w:w="15" w:type="dxa"/>
              <w:right w:w="75" w:type="dxa"/>
            </w:tcMar>
          </w:tcPr>
          <w:p w14:paraId="01546C70" w14:textId="6532B4B9" w:rsidR="00C8749D" w:rsidRPr="00641640" w:rsidRDefault="001F07AB" w:rsidP="003A395D">
            <w:pPr>
              <w:spacing w:line="276" w:lineRule="auto"/>
              <w:jc w:val="center"/>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AKSHI</w:t>
            </w:r>
          </w:p>
        </w:tc>
      </w:tr>
    </w:tbl>
    <w:p w14:paraId="18B5C072" w14:textId="77777777" w:rsidR="00CE5E3E" w:rsidRPr="00641640" w:rsidRDefault="00CE5E3E" w:rsidP="003A395D">
      <w:pPr>
        <w:spacing w:line="276" w:lineRule="auto"/>
        <w:jc w:val="both"/>
        <w:rPr>
          <w:rFonts w:ascii="Times New Roman" w:hAnsi="Times New Roman" w:cs="Times New Roman"/>
          <w:b/>
          <w:bCs/>
          <w:noProof/>
          <w:sz w:val="24"/>
          <w:szCs w:val="24"/>
          <w:lang w:val="sq-AL"/>
        </w:rPr>
      </w:pPr>
    </w:p>
    <w:p w14:paraId="1271D51A" w14:textId="77777777" w:rsidR="00A61275" w:rsidRPr="00641640" w:rsidRDefault="00A61275" w:rsidP="00831FDD">
      <w:pPr>
        <w:spacing w:after="0" w:line="276" w:lineRule="auto"/>
        <w:jc w:val="both"/>
        <w:rPr>
          <w:rFonts w:ascii="Times New Roman" w:hAnsi="Times New Roman" w:cs="Times New Roman"/>
          <w:b/>
          <w:bCs/>
          <w:noProof/>
          <w:sz w:val="24"/>
          <w:szCs w:val="24"/>
          <w:lang w:val="sq-AL"/>
        </w:rPr>
      </w:pPr>
    </w:p>
    <w:p w14:paraId="37E4D053" w14:textId="1DB0C7D8" w:rsidR="00CE5E3E" w:rsidRPr="00641640" w:rsidRDefault="00CE5E3E" w:rsidP="003A395D">
      <w:pPr>
        <w:spacing w:line="276" w:lineRule="auto"/>
        <w:jc w:val="both"/>
        <w:rPr>
          <w:rFonts w:ascii="Times New Roman" w:hAnsi="Times New Roman" w:cs="Times New Roman"/>
          <w:b/>
          <w:i/>
          <w:noProof/>
          <w:sz w:val="24"/>
          <w:szCs w:val="24"/>
          <w:lang w:val="sq-AL"/>
        </w:rPr>
      </w:pPr>
      <w:r w:rsidRPr="00641640">
        <w:rPr>
          <w:rFonts w:ascii="Times New Roman" w:hAnsi="Times New Roman" w:cs="Times New Roman"/>
          <w:b/>
          <w:i/>
          <w:noProof/>
          <w:sz w:val="24"/>
          <w:szCs w:val="24"/>
          <w:lang w:val="sq-AL"/>
        </w:rPr>
        <w:t>Komponenti 3.2</w:t>
      </w:r>
      <w:r w:rsidR="00A61275" w:rsidRPr="00641640">
        <w:rPr>
          <w:rFonts w:ascii="Times New Roman" w:hAnsi="Times New Roman" w:cs="Times New Roman"/>
          <w:b/>
          <w:i/>
          <w:noProof/>
          <w:sz w:val="24"/>
          <w:szCs w:val="24"/>
          <w:lang w:val="sq-AL"/>
        </w:rPr>
        <w:t xml:space="preserve">: </w:t>
      </w:r>
      <w:r w:rsidRPr="00641640">
        <w:rPr>
          <w:rFonts w:ascii="Times New Roman" w:hAnsi="Times New Roman" w:cs="Times New Roman"/>
          <w:b/>
          <w:i/>
          <w:noProof/>
          <w:sz w:val="24"/>
          <w:szCs w:val="24"/>
          <w:lang w:val="sq-AL"/>
        </w:rPr>
        <w:t>Aftësitë digjitale</w:t>
      </w:r>
      <w:r w:rsidR="006D7DF0" w:rsidRPr="00641640">
        <w:rPr>
          <w:rFonts w:ascii="Times New Roman" w:hAnsi="Times New Roman" w:cs="Times New Roman"/>
          <w:b/>
          <w:i/>
          <w:noProof/>
          <w:sz w:val="24"/>
          <w:szCs w:val="24"/>
          <w:lang w:val="sq-AL"/>
        </w:rPr>
        <w:t xml:space="preserve"> të shoqërisë së gjerë</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E4"/>
        <w:tblLook w:val="04A0" w:firstRow="1" w:lastRow="0" w:firstColumn="1" w:lastColumn="0" w:noHBand="0" w:noVBand="1"/>
      </w:tblPr>
      <w:tblGrid>
        <w:gridCol w:w="535"/>
        <w:gridCol w:w="8815"/>
      </w:tblGrid>
      <w:tr w:rsidR="00EF2A3E" w:rsidRPr="00641640" w14:paraId="60941113" w14:textId="77777777" w:rsidTr="00EF2A3E">
        <w:tc>
          <w:tcPr>
            <w:tcW w:w="535" w:type="dxa"/>
            <w:shd w:val="clear" w:color="auto" w:fill="EAF4E4"/>
          </w:tcPr>
          <w:p w14:paraId="60A033EE" w14:textId="3A972A2D" w:rsidR="00A61275" w:rsidRPr="00641640" w:rsidRDefault="00A61275" w:rsidP="003A395D">
            <w:pPr>
              <w:spacing w:line="276" w:lineRule="auto"/>
              <w:jc w:val="both"/>
              <w:rPr>
                <w:rFonts w:ascii="Times New Roman" w:hAnsi="Times New Roman" w:cs="Times New Roman"/>
                <w:b/>
                <w:iCs/>
                <w:noProof/>
                <w:color w:val="003300"/>
                <w:sz w:val="24"/>
                <w:szCs w:val="24"/>
                <w:lang w:val="sq-AL"/>
              </w:rPr>
            </w:pPr>
            <w:r w:rsidRPr="00641640">
              <w:rPr>
                <w:rFonts w:ascii="Times New Roman" w:hAnsi="Times New Roman" w:cs="Times New Roman"/>
                <w:b/>
                <w:iCs/>
                <w:noProof/>
                <w:color w:val="003300"/>
                <w:sz w:val="24"/>
                <w:szCs w:val="24"/>
                <w:lang w:val="sq-AL"/>
              </w:rPr>
              <w:t>3.2</w:t>
            </w:r>
          </w:p>
        </w:tc>
        <w:tc>
          <w:tcPr>
            <w:tcW w:w="8815" w:type="dxa"/>
            <w:shd w:val="clear" w:color="auto" w:fill="EAF4E4"/>
          </w:tcPr>
          <w:p w14:paraId="7CF510D7" w14:textId="413C2601" w:rsidR="00A61275" w:rsidRPr="00641640" w:rsidRDefault="00EF2A3E" w:rsidP="003A395D">
            <w:pPr>
              <w:spacing w:line="276" w:lineRule="auto"/>
              <w:jc w:val="both"/>
              <w:rPr>
                <w:rFonts w:ascii="Times New Roman" w:hAnsi="Times New Roman" w:cs="Times New Roman"/>
                <w:b/>
                <w:iCs/>
                <w:noProof/>
                <w:color w:val="003300"/>
                <w:sz w:val="24"/>
                <w:szCs w:val="24"/>
                <w:lang w:val="sq-AL"/>
              </w:rPr>
            </w:pPr>
            <w:r w:rsidRPr="00641640">
              <w:rPr>
                <w:rFonts w:ascii="Times New Roman" w:hAnsi="Times New Roman" w:cs="Times New Roman"/>
                <w:b/>
                <w:noProof/>
                <w:color w:val="003300"/>
                <w:sz w:val="24"/>
                <w:szCs w:val="24"/>
                <w:lang w:val="sq-AL"/>
              </w:rPr>
              <w:t>Objektivi specifik 3.2: Rritja e aftësive dhe gjithëpërfshirjes digjitale përmes zbatimit të masave që sigurojnë arritjen e kompetencave bazë digjitale për nxënësit, përmirësojnë aksesin dhe cilësinë e shërbimeve elektronike për qytetarët, dhe fuqizojnë mundësuesit teknologjikë në sektorin publik</w:t>
            </w:r>
          </w:p>
        </w:tc>
      </w:tr>
    </w:tbl>
    <w:p w14:paraId="35C2E7B0" w14:textId="32B1FCBB" w:rsidR="00CE5E3E" w:rsidRPr="00641640" w:rsidRDefault="00CE5E3E" w:rsidP="003A395D">
      <w:pPr>
        <w:shd w:val="clear" w:color="auto" w:fill="FFFFFF" w:themeFill="background1"/>
        <w:spacing w:beforeAutospacing="1" w:line="276" w:lineRule="auto"/>
        <w:jc w:val="both"/>
        <w:textAlignment w:val="baseline"/>
        <w:rPr>
          <w:rFonts w:ascii="Times New Roman" w:hAnsi="Times New Roman" w:cs="Times New Roman"/>
          <w:b/>
          <w:bCs/>
          <w:noProof/>
          <w:color w:val="000000" w:themeColor="text1"/>
          <w:sz w:val="24"/>
          <w:szCs w:val="24"/>
          <w:lang w:val="sq-AL"/>
        </w:rPr>
      </w:pPr>
      <w:r w:rsidRPr="00641640">
        <w:rPr>
          <w:rFonts w:ascii="Times New Roman" w:hAnsi="Times New Roman" w:cs="Times New Roman"/>
          <w:b/>
          <w:bCs/>
          <w:noProof/>
          <w:color w:val="000000" w:themeColor="text1"/>
          <w:sz w:val="24"/>
          <w:szCs w:val="24"/>
          <w:lang w:val="sq-AL"/>
        </w:rPr>
        <w:lastRenderedPageBreak/>
        <w:t>Prioritetet</w:t>
      </w:r>
    </w:p>
    <w:p w14:paraId="113F0A68" w14:textId="33619910" w:rsidR="00CE5E3E" w:rsidRPr="00641640" w:rsidRDefault="00CE5E3E"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Nevoja për të rritur nivelin e aftësive digjitale të popullatës do të zërë një vend të ve</w:t>
      </w:r>
      <w:r w:rsidR="009E71CF">
        <w:rPr>
          <w:rFonts w:ascii="Times New Roman" w:hAnsi="Times New Roman" w:cs="Times New Roman"/>
          <w:noProof/>
          <w:sz w:val="24"/>
          <w:szCs w:val="24"/>
          <w:lang w:val="sq-AL"/>
        </w:rPr>
        <w:t>ç</w:t>
      </w:r>
      <w:r w:rsidRPr="00641640">
        <w:rPr>
          <w:rFonts w:ascii="Times New Roman" w:hAnsi="Times New Roman" w:cs="Times New Roman"/>
          <w:noProof/>
          <w:sz w:val="24"/>
          <w:szCs w:val="24"/>
          <w:lang w:val="sq-AL"/>
        </w:rPr>
        <w:t>antë në objektivat strategjikë nën këtë shtyllë. Përmes investimeve në trajnime dhe kurse, synohet përftimi i njohurive bazë dhe të avancuara në fushën e teknologjisë nga qytetarët, duke i bërë ata pjesë e kë</w:t>
      </w:r>
      <w:r w:rsidR="00DC2557">
        <w:rPr>
          <w:rFonts w:ascii="Times New Roman" w:hAnsi="Times New Roman" w:cs="Times New Roman"/>
          <w:noProof/>
          <w:sz w:val="24"/>
          <w:szCs w:val="24"/>
          <w:lang w:val="sq-AL"/>
        </w:rPr>
        <w:t>ti</w:t>
      </w:r>
      <w:r w:rsidRPr="00641640">
        <w:rPr>
          <w:rFonts w:ascii="Times New Roman" w:hAnsi="Times New Roman" w:cs="Times New Roman"/>
          <w:noProof/>
          <w:sz w:val="24"/>
          <w:szCs w:val="24"/>
          <w:lang w:val="sq-AL"/>
        </w:rPr>
        <w:t xml:space="preserve">j rrugëtimi transformues. </w:t>
      </w:r>
    </w:p>
    <w:p w14:paraId="3136BE9C" w14:textId="1E11C95C" w:rsidR="00CE5E3E" w:rsidRPr="00641640" w:rsidRDefault="00CE5E3E" w:rsidP="00F863E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 xml:space="preserve">Një prej synimeve kryesore është përmirësimi i platformës </w:t>
      </w:r>
      <w:r w:rsidR="00DC2557">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e-Albania</w:t>
      </w:r>
      <w:r w:rsidR="00DC2557">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 xml:space="preserve"> dhe infrastrukturave të saj korresponduese. Kjo do të realizohet përmes shtimit të funksionaliteteve të reja që do të japin mundësi më të gjerë për qytetarët dhe bizneset për të përfituar shërbimet publike. Duke marrë parasysh se tashmë 95% e shërbimeve ofrohen online në platformën e-Albania, kjo përpjekje do të ndikojë shumë në përmirësimin e përfshirjes digjitale.</w:t>
      </w:r>
    </w:p>
    <w:p w14:paraId="3473C60C" w14:textId="77777777" w:rsidR="00EF2A3E" w:rsidRPr="00641640" w:rsidRDefault="00EF2A3E" w:rsidP="00F863ED">
      <w:pPr>
        <w:spacing w:after="0" w:line="276" w:lineRule="auto"/>
        <w:jc w:val="both"/>
        <w:rPr>
          <w:rFonts w:ascii="Times New Roman" w:hAnsi="Times New Roman" w:cs="Times New Roman"/>
          <w:noProof/>
          <w:sz w:val="24"/>
          <w:szCs w:val="24"/>
          <w:lang w:val="sq-AL"/>
        </w:rPr>
      </w:pPr>
    </w:p>
    <w:p w14:paraId="45C11695" w14:textId="77777777" w:rsidR="00003663" w:rsidRPr="00641640" w:rsidRDefault="00003663" w:rsidP="00F863ED">
      <w:p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imes New Roman" w:hAnsi="Times New Roman" w:cs="Times New Roman"/>
          <w:b/>
          <w:bCs/>
          <w:noProof/>
          <w:sz w:val="24"/>
          <w:szCs w:val="24"/>
          <w:lang w:val="sq-AL"/>
        </w:rPr>
        <w:t>Rezultatet e pritshme nga zbatimi i masave që lidhen me Objektivin Specifik</w:t>
      </w:r>
    </w:p>
    <w:p w14:paraId="7031D19A" w14:textId="17AD1C9E" w:rsidR="00890077" w:rsidRPr="00641640" w:rsidRDefault="00003663"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 xml:space="preserve">Objektivi Specifik </w:t>
      </w:r>
      <w:r w:rsidR="00EB7FCF" w:rsidRPr="00641640">
        <w:rPr>
          <w:rFonts w:ascii="Times New Roman" w:eastAsia="Times New Roman" w:hAnsi="Times New Roman" w:cs="Times New Roman"/>
          <w:noProof/>
          <w:sz w:val="24"/>
          <w:szCs w:val="24"/>
          <w:lang w:val="sq-AL"/>
        </w:rPr>
        <w:t>3</w:t>
      </w:r>
      <w:r w:rsidRPr="00641640">
        <w:rPr>
          <w:rFonts w:ascii="Times New Roman" w:eastAsia="Times New Roman" w:hAnsi="Times New Roman" w:cs="Times New Roman"/>
          <w:noProof/>
          <w:sz w:val="24"/>
          <w:szCs w:val="24"/>
          <w:lang w:val="sq-AL"/>
        </w:rPr>
        <w:t>.</w:t>
      </w:r>
      <w:r w:rsidR="00EB7FCF" w:rsidRPr="00641640">
        <w:rPr>
          <w:rFonts w:ascii="Times New Roman" w:eastAsia="Times New Roman" w:hAnsi="Times New Roman" w:cs="Times New Roman"/>
          <w:noProof/>
          <w:sz w:val="24"/>
          <w:szCs w:val="24"/>
          <w:lang w:val="sq-AL"/>
        </w:rPr>
        <w:t>2</w:t>
      </w:r>
      <w:r w:rsidRPr="00641640">
        <w:rPr>
          <w:rFonts w:ascii="Times New Roman" w:eastAsia="Times New Roman" w:hAnsi="Times New Roman" w:cs="Times New Roman"/>
          <w:noProof/>
          <w:sz w:val="24"/>
          <w:szCs w:val="24"/>
          <w:lang w:val="sq-AL"/>
        </w:rPr>
        <w:t xml:space="preserve">, </w:t>
      </w:r>
      <w:r w:rsidR="000D0032" w:rsidRPr="00641640">
        <w:rPr>
          <w:rFonts w:ascii="Times New Roman" w:eastAsia="Times New Roman" w:hAnsi="Times New Roman" w:cs="Times New Roman"/>
          <w:noProof/>
          <w:sz w:val="24"/>
          <w:szCs w:val="24"/>
          <w:lang w:val="sq-AL"/>
        </w:rPr>
        <w:t>duke synuar</w:t>
      </w:r>
      <w:r w:rsidR="000E3755" w:rsidRPr="00641640">
        <w:rPr>
          <w:rFonts w:ascii="Times New Roman" w:eastAsia="Times New Roman" w:hAnsi="Times New Roman" w:cs="Times New Roman"/>
          <w:noProof/>
          <w:sz w:val="24"/>
          <w:szCs w:val="24"/>
          <w:lang w:val="sq-AL"/>
        </w:rPr>
        <w:t xml:space="preserve"> rritjen e aft</w:t>
      </w:r>
      <w:r w:rsidR="003332A8" w:rsidRPr="00641640">
        <w:rPr>
          <w:rFonts w:ascii="Times New Roman" w:eastAsia="Times New Roman" w:hAnsi="Times New Roman" w:cs="Times New Roman"/>
          <w:noProof/>
          <w:sz w:val="24"/>
          <w:szCs w:val="24"/>
          <w:lang w:val="sq-AL"/>
        </w:rPr>
        <w:t>ë</w:t>
      </w:r>
      <w:r w:rsidR="000E3755" w:rsidRPr="00641640">
        <w:rPr>
          <w:rFonts w:ascii="Times New Roman" w:eastAsia="Times New Roman" w:hAnsi="Times New Roman" w:cs="Times New Roman"/>
          <w:noProof/>
          <w:sz w:val="24"/>
          <w:szCs w:val="24"/>
          <w:lang w:val="sq-AL"/>
        </w:rPr>
        <w:t xml:space="preserve">sive digjitale </w:t>
      </w:r>
      <w:r w:rsidR="000A4C04" w:rsidRPr="00641640">
        <w:rPr>
          <w:rFonts w:ascii="Times New Roman" w:eastAsia="Times New Roman" w:hAnsi="Times New Roman" w:cs="Times New Roman"/>
          <w:noProof/>
          <w:sz w:val="24"/>
          <w:szCs w:val="24"/>
          <w:lang w:val="sq-AL"/>
        </w:rPr>
        <w:t>t</w:t>
      </w:r>
      <w:r w:rsidR="003332A8" w:rsidRPr="00641640">
        <w:rPr>
          <w:rFonts w:ascii="Times New Roman" w:eastAsia="Times New Roman" w:hAnsi="Times New Roman" w:cs="Times New Roman"/>
          <w:noProof/>
          <w:sz w:val="24"/>
          <w:szCs w:val="24"/>
          <w:lang w:val="sq-AL"/>
        </w:rPr>
        <w:t>ë</w:t>
      </w:r>
      <w:r w:rsidR="00890077" w:rsidRPr="00641640">
        <w:rPr>
          <w:rFonts w:ascii="Times New Roman" w:eastAsia="Times New Roman" w:hAnsi="Times New Roman" w:cs="Times New Roman"/>
          <w:noProof/>
          <w:sz w:val="24"/>
          <w:szCs w:val="24"/>
          <w:lang w:val="sq-AL"/>
        </w:rPr>
        <w:t xml:space="preserve"> shoq</w:t>
      </w:r>
      <w:r w:rsidR="003332A8" w:rsidRPr="00641640">
        <w:rPr>
          <w:rFonts w:ascii="Times New Roman" w:eastAsia="Times New Roman" w:hAnsi="Times New Roman" w:cs="Times New Roman"/>
          <w:noProof/>
          <w:sz w:val="24"/>
          <w:szCs w:val="24"/>
          <w:lang w:val="sq-AL"/>
        </w:rPr>
        <w:t>ë</w:t>
      </w:r>
      <w:r w:rsidR="00890077" w:rsidRPr="00641640">
        <w:rPr>
          <w:rFonts w:ascii="Times New Roman" w:eastAsia="Times New Roman" w:hAnsi="Times New Roman" w:cs="Times New Roman"/>
          <w:noProof/>
          <w:sz w:val="24"/>
          <w:szCs w:val="24"/>
          <w:lang w:val="sq-AL"/>
        </w:rPr>
        <w:t>ris</w:t>
      </w:r>
      <w:r w:rsidR="003332A8" w:rsidRPr="00641640">
        <w:rPr>
          <w:rFonts w:ascii="Times New Roman" w:eastAsia="Times New Roman" w:hAnsi="Times New Roman" w:cs="Times New Roman"/>
          <w:noProof/>
          <w:sz w:val="24"/>
          <w:szCs w:val="24"/>
          <w:lang w:val="sq-AL"/>
        </w:rPr>
        <w:t>ë</w:t>
      </w:r>
      <w:r w:rsidR="00890077" w:rsidRPr="00641640">
        <w:rPr>
          <w:rFonts w:ascii="Times New Roman" w:eastAsia="Times New Roman" w:hAnsi="Times New Roman" w:cs="Times New Roman"/>
          <w:noProof/>
          <w:sz w:val="24"/>
          <w:szCs w:val="24"/>
          <w:lang w:val="sq-AL"/>
        </w:rPr>
        <w:t xml:space="preserve"> s</w:t>
      </w:r>
      <w:r w:rsidR="003332A8" w:rsidRPr="00641640">
        <w:rPr>
          <w:rFonts w:ascii="Times New Roman" w:eastAsia="Times New Roman" w:hAnsi="Times New Roman" w:cs="Times New Roman"/>
          <w:noProof/>
          <w:sz w:val="24"/>
          <w:szCs w:val="24"/>
          <w:lang w:val="sq-AL"/>
        </w:rPr>
        <w:t>ë</w:t>
      </w:r>
      <w:r w:rsidR="00890077" w:rsidRPr="00641640">
        <w:rPr>
          <w:rFonts w:ascii="Times New Roman" w:eastAsia="Times New Roman" w:hAnsi="Times New Roman" w:cs="Times New Roman"/>
          <w:noProof/>
          <w:sz w:val="24"/>
          <w:szCs w:val="24"/>
          <w:lang w:val="sq-AL"/>
        </w:rPr>
        <w:t xml:space="preserve"> gjer</w:t>
      </w:r>
      <w:r w:rsidR="003332A8" w:rsidRPr="00641640">
        <w:rPr>
          <w:rFonts w:ascii="Times New Roman" w:eastAsia="Times New Roman" w:hAnsi="Times New Roman" w:cs="Times New Roman"/>
          <w:noProof/>
          <w:sz w:val="24"/>
          <w:szCs w:val="24"/>
          <w:lang w:val="sq-AL"/>
        </w:rPr>
        <w:t>ë</w:t>
      </w:r>
      <w:r w:rsidR="000D0032" w:rsidRPr="00641640">
        <w:rPr>
          <w:rFonts w:ascii="Times New Roman" w:eastAsia="Times New Roman" w:hAnsi="Times New Roman" w:cs="Times New Roman"/>
          <w:noProof/>
          <w:sz w:val="24"/>
          <w:szCs w:val="24"/>
          <w:lang w:val="sq-AL"/>
        </w:rPr>
        <w:t xml:space="preserve">, </w:t>
      </w:r>
      <w:r w:rsidR="0097387F" w:rsidRPr="00641640">
        <w:rPr>
          <w:rFonts w:ascii="Times New Roman" w:eastAsia="Times New Roman" w:hAnsi="Times New Roman" w:cs="Times New Roman"/>
          <w:noProof/>
          <w:sz w:val="24"/>
          <w:szCs w:val="24"/>
          <w:lang w:val="sq-AL"/>
        </w:rPr>
        <w:t>n</w:t>
      </w:r>
      <w:r w:rsidR="003332A8" w:rsidRPr="00641640">
        <w:rPr>
          <w:rFonts w:ascii="Times New Roman" w:eastAsia="Times New Roman" w:hAnsi="Times New Roman" w:cs="Times New Roman"/>
          <w:noProof/>
          <w:sz w:val="24"/>
          <w:szCs w:val="24"/>
          <w:lang w:val="sq-AL"/>
        </w:rPr>
        <w:t>ë</w:t>
      </w:r>
      <w:r w:rsidR="0097387F" w:rsidRPr="00641640">
        <w:rPr>
          <w:rFonts w:ascii="Times New Roman" w:eastAsia="Times New Roman" w:hAnsi="Times New Roman" w:cs="Times New Roman"/>
          <w:noProof/>
          <w:sz w:val="24"/>
          <w:szCs w:val="24"/>
          <w:lang w:val="sq-AL"/>
        </w:rPr>
        <w:t>p</w:t>
      </w:r>
      <w:r w:rsidR="003332A8" w:rsidRPr="00641640">
        <w:rPr>
          <w:rFonts w:ascii="Times New Roman" w:eastAsia="Times New Roman" w:hAnsi="Times New Roman" w:cs="Times New Roman"/>
          <w:noProof/>
          <w:sz w:val="24"/>
          <w:szCs w:val="24"/>
          <w:lang w:val="sq-AL"/>
        </w:rPr>
        <w:t>ë</w:t>
      </w:r>
      <w:r w:rsidR="0097387F" w:rsidRPr="00641640">
        <w:rPr>
          <w:rFonts w:ascii="Times New Roman" w:eastAsia="Times New Roman" w:hAnsi="Times New Roman" w:cs="Times New Roman"/>
          <w:noProof/>
          <w:sz w:val="24"/>
          <w:szCs w:val="24"/>
          <w:lang w:val="sq-AL"/>
        </w:rPr>
        <w:t>rmjet masave t</w:t>
      </w:r>
      <w:r w:rsidR="003332A8" w:rsidRPr="00641640">
        <w:rPr>
          <w:rFonts w:ascii="Times New Roman" w:eastAsia="Times New Roman" w:hAnsi="Times New Roman" w:cs="Times New Roman"/>
          <w:noProof/>
          <w:sz w:val="24"/>
          <w:szCs w:val="24"/>
          <w:lang w:val="sq-AL"/>
        </w:rPr>
        <w:t>ë</w:t>
      </w:r>
      <w:r w:rsidR="0097387F" w:rsidRPr="00641640">
        <w:rPr>
          <w:rFonts w:ascii="Times New Roman" w:eastAsia="Times New Roman" w:hAnsi="Times New Roman" w:cs="Times New Roman"/>
          <w:noProof/>
          <w:sz w:val="24"/>
          <w:szCs w:val="24"/>
          <w:lang w:val="sq-AL"/>
        </w:rPr>
        <w:t xml:space="preserve"> marra </w:t>
      </w:r>
      <w:r w:rsidR="000D0032" w:rsidRPr="00641640">
        <w:rPr>
          <w:rFonts w:ascii="Times New Roman" w:eastAsia="Times New Roman" w:hAnsi="Times New Roman" w:cs="Times New Roman"/>
          <w:noProof/>
          <w:sz w:val="24"/>
          <w:szCs w:val="24"/>
          <w:lang w:val="sq-AL"/>
        </w:rPr>
        <w:t>pritet t</w:t>
      </w:r>
      <w:r w:rsidR="003332A8" w:rsidRPr="00641640">
        <w:rPr>
          <w:rFonts w:ascii="Times New Roman" w:eastAsia="Times New Roman" w:hAnsi="Times New Roman" w:cs="Times New Roman"/>
          <w:noProof/>
          <w:sz w:val="24"/>
          <w:szCs w:val="24"/>
          <w:lang w:val="sq-AL"/>
        </w:rPr>
        <w:t>ë</w:t>
      </w:r>
      <w:r w:rsidR="000D0032" w:rsidRPr="00641640">
        <w:rPr>
          <w:rFonts w:ascii="Times New Roman" w:eastAsia="Times New Roman" w:hAnsi="Times New Roman" w:cs="Times New Roman"/>
          <w:noProof/>
          <w:sz w:val="24"/>
          <w:szCs w:val="24"/>
          <w:lang w:val="sq-AL"/>
        </w:rPr>
        <w:t xml:space="preserve"> jap</w:t>
      </w:r>
      <w:r w:rsidR="003332A8" w:rsidRPr="00641640">
        <w:rPr>
          <w:rFonts w:ascii="Times New Roman" w:eastAsia="Times New Roman" w:hAnsi="Times New Roman" w:cs="Times New Roman"/>
          <w:noProof/>
          <w:sz w:val="24"/>
          <w:szCs w:val="24"/>
          <w:lang w:val="sq-AL"/>
        </w:rPr>
        <w:t>ë</w:t>
      </w:r>
      <w:r w:rsidR="000D0032" w:rsidRPr="00641640">
        <w:rPr>
          <w:rFonts w:ascii="Times New Roman" w:eastAsia="Times New Roman" w:hAnsi="Times New Roman" w:cs="Times New Roman"/>
          <w:noProof/>
          <w:sz w:val="24"/>
          <w:szCs w:val="24"/>
          <w:lang w:val="sq-AL"/>
        </w:rPr>
        <w:t xml:space="preserve"> k</w:t>
      </w:r>
      <w:r w:rsidR="003332A8" w:rsidRPr="00641640">
        <w:rPr>
          <w:rFonts w:ascii="Times New Roman" w:eastAsia="Times New Roman" w:hAnsi="Times New Roman" w:cs="Times New Roman"/>
          <w:noProof/>
          <w:sz w:val="24"/>
          <w:szCs w:val="24"/>
          <w:lang w:val="sq-AL"/>
        </w:rPr>
        <w:t>ë</w:t>
      </w:r>
      <w:r w:rsidR="000D0032" w:rsidRPr="00641640">
        <w:rPr>
          <w:rFonts w:ascii="Times New Roman" w:eastAsia="Times New Roman" w:hAnsi="Times New Roman" w:cs="Times New Roman"/>
          <w:noProof/>
          <w:sz w:val="24"/>
          <w:szCs w:val="24"/>
          <w:lang w:val="sq-AL"/>
        </w:rPr>
        <w:t>to rezultate:</w:t>
      </w:r>
    </w:p>
    <w:p w14:paraId="52006537" w14:textId="6CF1106C" w:rsidR="00003663" w:rsidRPr="00641640" w:rsidRDefault="00003663" w:rsidP="00F863ED">
      <w:pPr>
        <w:spacing w:line="276" w:lineRule="auto"/>
        <w:jc w:val="both"/>
        <w:rPr>
          <w:rFonts w:ascii="Times New Roman" w:eastAsiaTheme="minorHAnsi"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1:</w:t>
      </w:r>
      <w:r w:rsidRPr="00641640">
        <w:rPr>
          <w:rFonts w:ascii="Times New Roman" w:eastAsia="Times New Roman" w:hAnsi="Times New Roman" w:cs="Times New Roman"/>
          <w:noProof/>
          <w:sz w:val="24"/>
          <w:szCs w:val="24"/>
          <w:lang w:val="sq-AL"/>
        </w:rPr>
        <w:t xml:space="preserve"> </w:t>
      </w:r>
      <w:r w:rsidR="007C7940" w:rsidRPr="00641640">
        <w:rPr>
          <w:rFonts w:ascii="Times New Roman" w:hAnsi="Times New Roman" w:cs="Times New Roman"/>
          <w:noProof/>
          <w:sz w:val="24"/>
          <w:szCs w:val="24"/>
          <w:lang w:val="sq-AL"/>
        </w:rPr>
        <w:t>Forcimi i kompetencave bazë minimale të aftësive digjitale në arsimin parauniversitar n</w:t>
      </w:r>
      <w:r w:rsidR="003332A8" w:rsidRPr="00641640">
        <w:rPr>
          <w:rFonts w:ascii="Times New Roman" w:hAnsi="Times New Roman" w:cs="Times New Roman"/>
          <w:noProof/>
          <w:sz w:val="24"/>
          <w:szCs w:val="24"/>
          <w:lang w:val="sq-AL"/>
        </w:rPr>
        <w:t>ë</w:t>
      </w:r>
      <w:r w:rsidR="007C7940" w:rsidRPr="00641640">
        <w:rPr>
          <w:rFonts w:ascii="Times New Roman" w:hAnsi="Times New Roman" w:cs="Times New Roman"/>
          <w:noProof/>
          <w:sz w:val="24"/>
          <w:szCs w:val="24"/>
          <w:lang w:val="sq-AL"/>
        </w:rPr>
        <w:t>p</w:t>
      </w:r>
      <w:r w:rsidR="003332A8" w:rsidRPr="00641640">
        <w:rPr>
          <w:rFonts w:ascii="Times New Roman" w:hAnsi="Times New Roman" w:cs="Times New Roman"/>
          <w:noProof/>
          <w:sz w:val="24"/>
          <w:szCs w:val="24"/>
          <w:lang w:val="sq-AL"/>
        </w:rPr>
        <w:t>ë</w:t>
      </w:r>
      <w:r w:rsidR="007C7940" w:rsidRPr="00641640">
        <w:rPr>
          <w:rFonts w:ascii="Times New Roman" w:hAnsi="Times New Roman" w:cs="Times New Roman"/>
          <w:noProof/>
          <w:sz w:val="24"/>
          <w:szCs w:val="24"/>
          <w:lang w:val="sq-AL"/>
        </w:rPr>
        <w:t>rmjet</w:t>
      </w:r>
      <w:r w:rsidR="003B183D" w:rsidRPr="00641640">
        <w:rPr>
          <w:rFonts w:ascii="Times New Roman" w:hAnsi="Times New Roman" w:cs="Times New Roman"/>
          <w:noProof/>
          <w:sz w:val="24"/>
          <w:szCs w:val="24"/>
          <w:lang w:val="sq-AL"/>
        </w:rPr>
        <w:t xml:space="preserve"> implementimit të</w:t>
      </w:r>
      <w:r w:rsidR="007C7940" w:rsidRPr="00641640">
        <w:rPr>
          <w:rFonts w:ascii="Times New Roman" w:hAnsi="Times New Roman" w:cs="Times New Roman"/>
          <w:noProof/>
          <w:sz w:val="24"/>
          <w:szCs w:val="24"/>
          <w:lang w:val="sq-AL"/>
        </w:rPr>
        <w:t xml:space="preserve"> </w:t>
      </w:r>
      <w:r w:rsidR="002E13B0" w:rsidRPr="00641640">
        <w:rPr>
          <w:rFonts w:ascii="Times New Roman" w:eastAsiaTheme="minorHAnsi" w:hAnsi="Times New Roman" w:cs="Times New Roman"/>
          <w:noProof/>
          <w:sz w:val="24"/>
          <w:szCs w:val="24"/>
          <w:lang w:val="sq-AL"/>
        </w:rPr>
        <w:t>laboratorëve SMART në shkollat e</w:t>
      </w:r>
      <w:r w:rsidR="002E13B0" w:rsidRPr="00641640">
        <w:rPr>
          <w:rFonts w:ascii="Times New Roman" w:eastAsiaTheme="minorHAnsi" w:hAnsi="Times New Roman" w:cs="Times New Roman"/>
          <w:bCs/>
          <w:noProof/>
          <w:sz w:val="24"/>
          <w:szCs w:val="24"/>
          <w:lang w:val="sq-AL"/>
        </w:rPr>
        <w:t xml:space="preserve"> arsimit parauniversitar </w:t>
      </w:r>
      <w:r w:rsidR="009C632E" w:rsidRPr="00641640">
        <w:rPr>
          <w:rFonts w:ascii="Times New Roman" w:eastAsiaTheme="minorHAnsi" w:hAnsi="Times New Roman" w:cs="Times New Roman"/>
          <w:bCs/>
          <w:noProof/>
          <w:sz w:val="24"/>
          <w:szCs w:val="24"/>
          <w:lang w:val="sq-AL"/>
        </w:rPr>
        <w:t>publik.</w:t>
      </w:r>
    </w:p>
    <w:p w14:paraId="20B1D534" w14:textId="63C114CC" w:rsidR="005251C6" w:rsidRPr="00641640" w:rsidRDefault="00003663" w:rsidP="00F863ED">
      <w:pPr>
        <w:spacing w:line="276" w:lineRule="auto"/>
        <w:jc w:val="both"/>
        <w:rPr>
          <w:rFonts w:ascii="Times New Roman" w:eastAsiaTheme="minorHAnsi" w:hAnsi="Times New Roman" w:cs="Times New Roman"/>
          <w:bCs/>
          <w:noProof/>
          <w:sz w:val="24"/>
          <w:szCs w:val="24"/>
          <w:lang w:val="sq-AL"/>
        </w:rPr>
      </w:pPr>
      <w:r w:rsidRPr="00641640">
        <w:rPr>
          <w:rFonts w:ascii="Times New Roman" w:eastAsia="Times New Roman" w:hAnsi="Times New Roman" w:cs="Times New Roman"/>
          <w:b/>
          <w:bCs/>
          <w:noProof/>
          <w:sz w:val="24"/>
          <w:szCs w:val="24"/>
          <w:lang w:val="sq-AL"/>
        </w:rPr>
        <w:t>Rezultati 2:</w:t>
      </w:r>
      <w:r w:rsidRPr="00641640">
        <w:rPr>
          <w:rFonts w:ascii="Times New Roman" w:eastAsia="Times New Roman" w:hAnsi="Times New Roman" w:cs="Times New Roman"/>
          <w:noProof/>
          <w:sz w:val="24"/>
          <w:szCs w:val="24"/>
          <w:lang w:val="sq-AL"/>
        </w:rPr>
        <w:t xml:space="preserve"> </w:t>
      </w:r>
      <w:r w:rsidR="004F687F" w:rsidRPr="00641640">
        <w:rPr>
          <w:rFonts w:ascii="Times New Roman" w:hAnsi="Times New Roman" w:cs="Times New Roman"/>
          <w:noProof/>
          <w:sz w:val="24"/>
          <w:szCs w:val="24"/>
          <w:lang w:val="sq-AL"/>
        </w:rPr>
        <w:t>Përmirësimi i aksesueshmërisë së shërbimeve për qytetarët dhe bizneset</w:t>
      </w:r>
      <w:r w:rsidR="008818BC" w:rsidRPr="00641640">
        <w:rPr>
          <w:rFonts w:ascii="Times New Roman" w:eastAsiaTheme="minorHAnsi" w:hAnsi="Times New Roman" w:cs="Times New Roman"/>
          <w:bCs/>
          <w:noProof/>
          <w:sz w:val="24"/>
          <w:szCs w:val="24"/>
          <w:lang w:val="sq-AL"/>
        </w:rPr>
        <w:t>.</w:t>
      </w:r>
    </w:p>
    <w:p w14:paraId="684DAEBA" w14:textId="1D068D7E" w:rsidR="00055F24" w:rsidRPr="00641640" w:rsidRDefault="00003663" w:rsidP="00F863ED">
      <w:pPr>
        <w:spacing w:line="276" w:lineRule="auto"/>
        <w:jc w:val="both"/>
        <w:rPr>
          <w:rFonts w:ascii="Times New Roman" w:eastAsiaTheme="minorHAnsi"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3:</w:t>
      </w:r>
      <w:r w:rsidRPr="00641640">
        <w:rPr>
          <w:rFonts w:ascii="Times New Roman" w:eastAsia="Times New Roman" w:hAnsi="Times New Roman" w:cs="Times New Roman"/>
          <w:noProof/>
          <w:sz w:val="24"/>
          <w:szCs w:val="24"/>
          <w:lang w:val="sq-AL"/>
        </w:rPr>
        <w:t xml:space="preserve"> </w:t>
      </w:r>
      <w:r w:rsidR="008B1110" w:rsidRPr="00641640">
        <w:rPr>
          <w:rFonts w:ascii="Times New Roman" w:hAnsi="Times New Roman" w:cs="Times New Roman"/>
          <w:noProof/>
          <w:sz w:val="24"/>
          <w:szCs w:val="24"/>
          <w:lang w:val="sq-AL"/>
        </w:rPr>
        <w:t>Përmirësimi i aksesit në shërbimet elektronike për target-grupe të caktuara</w:t>
      </w:r>
      <w:r w:rsidR="00311DB6" w:rsidRPr="00641640">
        <w:rPr>
          <w:rFonts w:ascii="Times New Roman" w:hAnsi="Times New Roman" w:cs="Times New Roman"/>
          <w:noProof/>
          <w:sz w:val="24"/>
          <w:szCs w:val="24"/>
          <w:lang w:val="sq-AL"/>
        </w:rPr>
        <w:t>.</w:t>
      </w:r>
    </w:p>
    <w:p w14:paraId="7B777BF4" w14:textId="6A0B4EBB" w:rsidR="00C86BEF" w:rsidRPr="00641640" w:rsidRDefault="00C86BEF" w:rsidP="00F863E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b/>
          <w:bCs/>
          <w:noProof/>
          <w:sz w:val="24"/>
          <w:szCs w:val="24"/>
          <w:lang w:val="sq-AL"/>
        </w:rPr>
        <w:t xml:space="preserve">Rezultati </w:t>
      </w:r>
      <w:r w:rsidR="00071EFA" w:rsidRPr="00641640">
        <w:rPr>
          <w:rFonts w:ascii="Times New Roman" w:hAnsi="Times New Roman" w:cs="Times New Roman"/>
          <w:b/>
          <w:bCs/>
          <w:noProof/>
          <w:sz w:val="24"/>
          <w:szCs w:val="24"/>
          <w:lang w:val="sq-AL"/>
        </w:rPr>
        <w:t>4</w:t>
      </w:r>
      <w:r w:rsidRPr="00641640">
        <w:rPr>
          <w:rFonts w:ascii="Times New Roman" w:hAnsi="Times New Roman" w:cs="Times New Roman"/>
          <w:b/>
          <w:bCs/>
          <w:noProof/>
          <w:sz w:val="24"/>
          <w:szCs w:val="24"/>
          <w:lang w:val="sq-AL"/>
        </w:rPr>
        <w:t>:</w:t>
      </w:r>
      <w:r w:rsidRPr="00641640">
        <w:rPr>
          <w:rFonts w:ascii="Times New Roman" w:hAnsi="Times New Roman" w:cs="Times New Roman"/>
          <w:noProof/>
          <w:sz w:val="24"/>
          <w:szCs w:val="24"/>
          <w:lang w:val="sq-AL"/>
        </w:rPr>
        <w:t xml:space="preserve"> </w:t>
      </w:r>
      <w:r w:rsidR="003332A8" w:rsidRPr="00641640">
        <w:rPr>
          <w:rFonts w:ascii="Times New Roman" w:hAnsi="Times New Roman" w:cs="Times New Roman"/>
          <w:noProof/>
          <w:sz w:val="24"/>
          <w:szCs w:val="24"/>
          <w:lang w:val="sq-AL"/>
        </w:rPr>
        <w:t xml:space="preserve">Përmirësimi dhe zgjerimi i </w:t>
      </w:r>
      <w:r w:rsidR="00484081" w:rsidRPr="00641640">
        <w:rPr>
          <w:rFonts w:ascii="Times New Roman" w:hAnsi="Times New Roman" w:cs="Times New Roman"/>
          <w:noProof/>
          <w:sz w:val="24"/>
          <w:szCs w:val="24"/>
          <w:lang w:val="sq-AL"/>
        </w:rPr>
        <w:t>Sistemi</w:t>
      </w:r>
      <w:r w:rsidR="003332A8" w:rsidRPr="00641640">
        <w:rPr>
          <w:rFonts w:ascii="Times New Roman" w:hAnsi="Times New Roman" w:cs="Times New Roman"/>
          <w:noProof/>
          <w:sz w:val="24"/>
          <w:szCs w:val="24"/>
          <w:lang w:val="sq-AL"/>
        </w:rPr>
        <w:t>t të</w:t>
      </w:r>
      <w:r w:rsidR="00484081" w:rsidRPr="00641640">
        <w:rPr>
          <w:rFonts w:ascii="Times New Roman" w:hAnsi="Times New Roman" w:cs="Times New Roman"/>
          <w:noProof/>
          <w:sz w:val="24"/>
          <w:szCs w:val="24"/>
          <w:lang w:val="sq-AL"/>
        </w:rPr>
        <w:t xml:space="preserve"> Qendërzuar i Dokumenteve me Nënshkrim Elektronik (SQDNE) dhe Moduli i Administratës Publike</w:t>
      </w:r>
      <w:r w:rsidR="003332A8" w:rsidRPr="00641640">
        <w:rPr>
          <w:rFonts w:ascii="Times New Roman" w:hAnsi="Times New Roman" w:cs="Times New Roman"/>
          <w:noProof/>
          <w:sz w:val="24"/>
          <w:szCs w:val="24"/>
          <w:lang w:val="sq-AL"/>
        </w:rPr>
        <w:t xml:space="preserve">, si dhe </w:t>
      </w:r>
      <w:r w:rsidR="007048B7">
        <w:rPr>
          <w:rFonts w:ascii="Times New Roman" w:hAnsi="Times New Roman" w:cs="Times New Roman"/>
          <w:noProof/>
          <w:sz w:val="24"/>
          <w:szCs w:val="24"/>
          <w:lang w:val="sq-AL"/>
        </w:rPr>
        <w:t>r</w:t>
      </w:r>
      <w:r w:rsidR="00484081" w:rsidRPr="00641640">
        <w:rPr>
          <w:rFonts w:ascii="Times New Roman" w:hAnsi="Times New Roman" w:cs="Times New Roman"/>
          <w:noProof/>
          <w:sz w:val="24"/>
          <w:szCs w:val="24"/>
          <w:lang w:val="sq-AL"/>
        </w:rPr>
        <w:t xml:space="preserve">ritje </w:t>
      </w:r>
      <w:r w:rsidR="003332A8" w:rsidRPr="00641640">
        <w:rPr>
          <w:rFonts w:ascii="Times New Roman" w:hAnsi="Times New Roman" w:cs="Times New Roman"/>
          <w:noProof/>
          <w:sz w:val="24"/>
          <w:szCs w:val="24"/>
          <w:lang w:val="sq-AL"/>
        </w:rPr>
        <w:t>e</w:t>
      </w:r>
      <w:r w:rsidR="00484081" w:rsidRPr="00641640">
        <w:rPr>
          <w:rFonts w:ascii="Times New Roman" w:hAnsi="Times New Roman" w:cs="Times New Roman"/>
          <w:noProof/>
          <w:sz w:val="24"/>
          <w:szCs w:val="24"/>
          <w:lang w:val="sq-AL"/>
        </w:rPr>
        <w:t xml:space="preserve"> shërbimeve elektronike të lidhura me sistemin e përmirësuar të monitorimit SQDNE</w:t>
      </w:r>
      <w:r w:rsidR="00484081" w:rsidRPr="00641640">
        <w:rPr>
          <w:rFonts w:ascii="Times New Roman" w:eastAsia="Arial" w:hAnsi="Times New Roman" w:cs="Times New Roman"/>
          <w:noProof/>
          <w:sz w:val="24"/>
          <w:szCs w:val="24"/>
          <w:lang w:val="sq-AL"/>
        </w:rPr>
        <w:t>.</w:t>
      </w:r>
    </w:p>
    <w:p w14:paraId="30F0B10D" w14:textId="5B17BACF" w:rsidR="00003663" w:rsidRPr="00641640" w:rsidRDefault="00003663"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kryesore:</w:t>
      </w:r>
      <w:r w:rsidRPr="00641640">
        <w:rPr>
          <w:rFonts w:ascii="Times New Roman" w:eastAsia="Times New Roman" w:hAnsi="Times New Roman" w:cs="Times New Roman"/>
          <w:noProof/>
          <w:sz w:val="24"/>
          <w:szCs w:val="24"/>
          <w:lang w:val="sq-AL"/>
        </w:rPr>
        <w:t xml:space="preserve"> </w:t>
      </w:r>
      <w:r w:rsidR="0004499E" w:rsidRPr="00641640">
        <w:rPr>
          <w:rFonts w:ascii="Times New Roman" w:eastAsia="Times New Roman" w:hAnsi="Times New Roman" w:cs="Times New Roman"/>
          <w:noProof/>
          <w:sz w:val="24"/>
          <w:szCs w:val="24"/>
          <w:lang w:val="sq-AL"/>
        </w:rPr>
        <w:t>AKSHI</w:t>
      </w:r>
      <w:r w:rsidR="00E37592">
        <w:rPr>
          <w:rFonts w:ascii="Times New Roman" w:eastAsia="Times New Roman" w:hAnsi="Times New Roman" w:cs="Times New Roman"/>
          <w:noProof/>
          <w:sz w:val="24"/>
          <w:szCs w:val="24"/>
          <w:lang w:val="sq-AL"/>
        </w:rPr>
        <w:t>.</w:t>
      </w:r>
    </w:p>
    <w:p w14:paraId="1CC51F7C" w14:textId="259AE3E5" w:rsidR="00003663" w:rsidRPr="00641640" w:rsidDel="001914E6" w:rsidRDefault="00003663"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kontributore:</w:t>
      </w:r>
      <w:r w:rsidRPr="00641640">
        <w:rPr>
          <w:rFonts w:ascii="Times New Roman" w:eastAsia="Times New Roman" w:hAnsi="Times New Roman" w:cs="Times New Roman"/>
          <w:noProof/>
          <w:sz w:val="24"/>
          <w:szCs w:val="24"/>
          <w:lang w:val="sq-AL"/>
        </w:rPr>
        <w:t xml:space="preserve"> </w:t>
      </w:r>
      <w:r w:rsidR="00537E69">
        <w:rPr>
          <w:rFonts w:ascii="Times New Roman" w:eastAsia="Times New Roman" w:hAnsi="Times New Roman" w:cs="Times New Roman"/>
          <w:noProof/>
          <w:sz w:val="24"/>
          <w:szCs w:val="24"/>
          <w:lang w:val="sq-AL"/>
        </w:rPr>
        <w:t>ADB</w:t>
      </w:r>
      <w:r w:rsidR="0004499E" w:rsidRPr="00641640">
        <w:rPr>
          <w:rFonts w:ascii="Times New Roman" w:eastAsia="Times New Roman" w:hAnsi="Times New Roman" w:cs="Times New Roman"/>
          <w:noProof/>
          <w:sz w:val="24"/>
          <w:szCs w:val="24"/>
          <w:lang w:val="sq-AL"/>
        </w:rPr>
        <w:t>.</w:t>
      </w:r>
    </w:p>
    <w:p w14:paraId="515590C4" w14:textId="77777777" w:rsidR="00003663" w:rsidRPr="00641640" w:rsidRDefault="00003663" w:rsidP="003A395D">
      <w:pPr>
        <w:spacing w:after="0" w:line="276" w:lineRule="auto"/>
        <w:jc w:val="both"/>
        <w:rPr>
          <w:rFonts w:ascii="Times New Roman" w:hAnsi="Times New Roman" w:cs="Times New Roman"/>
          <w:noProof/>
          <w:sz w:val="24"/>
          <w:szCs w:val="24"/>
          <w:lang w:val="sq-AL"/>
        </w:rPr>
      </w:pPr>
    </w:p>
    <w:p w14:paraId="0349EACB" w14:textId="358398BF" w:rsidR="00003663" w:rsidRPr="00641640" w:rsidRDefault="00003663"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Masat dhe aktivitetet</w:t>
      </w:r>
    </w:p>
    <w:p w14:paraId="1C3B241E" w14:textId="4E01A44C" w:rsidR="00CE5E3E" w:rsidRPr="00641640" w:rsidRDefault="00CE5E3E" w:rsidP="003A395D">
      <w:pPr>
        <w:shd w:val="clear" w:color="auto" w:fill="FFFFFF" w:themeFill="background1"/>
        <w:spacing w:before="100" w:beforeAutospacing="1" w:after="0" w:line="276" w:lineRule="auto"/>
        <w:jc w:val="both"/>
        <w:textAlignment w:val="baseline"/>
        <w:rPr>
          <w:rFonts w:ascii="Times New Roman" w:hAnsi="Times New Roman" w:cs="Times New Roman"/>
          <w:bCs/>
          <w:noProof/>
          <w:color w:val="000000" w:themeColor="text1"/>
          <w:sz w:val="24"/>
          <w:szCs w:val="24"/>
          <w:lang w:val="sq-AL"/>
        </w:rPr>
      </w:pPr>
      <w:r w:rsidRPr="00641640">
        <w:rPr>
          <w:rFonts w:ascii="Times New Roman" w:hAnsi="Times New Roman" w:cs="Times New Roman"/>
          <w:bCs/>
          <w:noProof/>
          <w:color w:val="000000" w:themeColor="text1"/>
          <w:sz w:val="24"/>
          <w:szCs w:val="24"/>
          <w:lang w:val="sq-AL"/>
        </w:rPr>
        <w:t>Ky Objektiv Specifik do të zbatohet përmes masave të mëposhtme, teksa aktivitetet konkrete për periudhën e parë të zbatimit të SNRAP 202</w:t>
      </w:r>
      <w:r w:rsidR="00B032A7">
        <w:rPr>
          <w:rFonts w:ascii="Times New Roman" w:hAnsi="Times New Roman" w:cs="Times New Roman"/>
          <w:bCs/>
          <w:noProof/>
          <w:color w:val="000000" w:themeColor="text1"/>
          <w:sz w:val="24"/>
          <w:szCs w:val="24"/>
          <w:lang w:val="sq-AL"/>
        </w:rPr>
        <w:t>5</w:t>
      </w:r>
      <w:r w:rsidRPr="00641640">
        <w:rPr>
          <w:rFonts w:ascii="Times New Roman" w:hAnsi="Times New Roman" w:cs="Times New Roman"/>
          <w:bCs/>
          <w:noProof/>
          <w:color w:val="000000" w:themeColor="text1"/>
          <w:sz w:val="24"/>
          <w:szCs w:val="24"/>
          <w:lang w:val="sq-AL"/>
        </w:rPr>
        <w:t>-2030 mund të gjenden në Planin e Veprimit 202</w:t>
      </w:r>
      <w:r w:rsidR="00B032A7">
        <w:rPr>
          <w:rFonts w:ascii="Times New Roman" w:hAnsi="Times New Roman" w:cs="Times New Roman"/>
          <w:bCs/>
          <w:noProof/>
          <w:color w:val="000000" w:themeColor="text1"/>
          <w:sz w:val="24"/>
          <w:szCs w:val="24"/>
          <w:lang w:val="sq-AL"/>
        </w:rPr>
        <w:t>5</w:t>
      </w:r>
      <w:r w:rsidRPr="00641640">
        <w:rPr>
          <w:rFonts w:ascii="Times New Roman" w:hAnsi="Times New Roman" w:cs="Times New Roman"/>
          <w:bCs/>
          <w:noProof/>
          <w:color w:val="000000" w:themeColor="text1"/>
          <w:sz w:val="24"/>
          <w:szCs w:val="24"/>
          <w:lang w:val="sq-AL"/>
        </w:rPr>
        <w:t>-202</w:t>
      </w:r>
      <w:r w:rsidR="00B032A7">
        <w:rPr>
          <w:rFonts w:ascii="Times New Roman" w:hAnsi="Times New Roman" w:cs="Times New Roman"/>
          <w:bCs/>
          <w:noProof/>
          <w:color w:val="000000" w:themeColor="text1"/>
          <w:sz w:val="24"/>
          <w:szCs w:val="24"/>
          <w:lang w:val="sq-AL"/>
        </w:rPr>
        <w:t>7</w:t>
      </w:r>
      <w:r w:rsidRPr="00641640">
        <w:rPr>
          <w:rFonts w:ascii="Times New Roman" w:hAnsi="Times New Roman" w:cs="Times New Roman"/>
          <w:bCs/>
          <w:noProof/>
          <w:color w:val="000000" w:themeColor="text1"/>
          <w:sz w:val="24"/>
          <w:szCs w:val="24"/>
          <w:lang w:val="sq-AL"/>
        </w:rPr>
        <w:t xml:space="preserve"> (Aneksi nr. 1).</w:t>
      </w:r>
    </w:p>
    <w:p w14:paraId="23E54447" w14:textId="77777777" w:rsidR="00CE5E3E" w:rsidRPr="00641640" w:rsidRDefault="00CE5E3E" w:rsidP="003A395D">
      <w:pPr>
        <w:spacing w:after="0" w:line="276" w:lineRule="auto"/>
        <w:jc w:val="both"/>
        <w:rPr>
          <w:rFonts w:ascii="Times New Roman" w:hAnsi="Times New Roman" w:cs="Times New Roman"/>
          <w:noProof/>
          <w:sz w:val="24"/>
          <w:szCs w:val="24"/>
          <w:lang w:val="sq-AL"/>
        </w:rPr>
      </w:pPr>
    </w:p>
    <w:tbl>
      <w:tblPr>
        <w:tblStyle w:val="TableGridIDEA3"/>
        <w:tblW w:w="0" w:type="auto"/>
        <w:tblLook w:val="04A0" w:firstRow="1" w:lastRow="0" w:firstColumn="1" w:lastColumn="0" w:noHBand="0" w:noVBand="1"/>
      </w:tblPr>
      <w:tblGrid>
        <w:gridCol w:w="1163"/>
        <w:gridCol w:w="8187"/>
      </w:tblGrid>
      <w:tr w:rsidR="00CE5E3E" w:rsidRPr="00641640" w14:paraId="1BBA1950" w14:textId="77777777" w:rsidTr="00A815AC">
        <w:trPr>
          <w:trHeight w:val="980"/>
        </w:trPr>
        <w:tc>
          <w:tcPr>
            <w:tcW w:w="9350" w:type="dxa"/>
            <w:gridSpan w:val="2"/>
            <w:shd w:val="clear" w:color="auto" w:fill="C5E0B3" w:themeFill="accent6" w:themeFillTint="66"/>
          </w:tcPr>
          <w:p w14:paraId="2D79262B" w14:textId="7193A8DD" w:rsidR="00CE5E3E" w:rsidRPr="00641640" w:rsidRDefault="00CE5E3E" w:rsidP="003A395D">
            <w:pPr>
              <w:spacing w:before="240" w:after="160" w:line="276" w:lineRule="auto"/>
              <w:jc w:val="center"/>
              <w:textAlignment w:val="baseline"/>
              <w:rPr>
                <w:rFonts w:ascii="Times New Roman" w:hAnsi="Times New Roman" w:cs="Times New Roman"/>
                <w:b/>
                <w:i/>
                <w:noProof/>
                <w:sz w:val="22"/>
                <w:szCs w:val="22"/>
                <w:lang w:val="sq-AL"/>
              </w:rPr>
            </w:pPr>
            <w:r w:rsidRPr="00641640">
              <w:rPr>
                <w:rFonts w:ascii="Times New Roman" w:hAnsi="Times New Roman" w:cs="Times New Roman"/>
                <w:b/>
                <w:i/>
                <w:noProof/>
                <w:sz w:val="22"/>
                <w:szCs w:val="22"/>
                <w:lang w:val="sq-AL"/>
              </w:rPr>
              <w:lastRenderedPageBreak/>
              <w:t xml:space="preserve">Objektivi Specifik </w:t>
            </w:r>
            <w:r w:rsidR="00301BFC" w:rsidRPr="00641640">
              <w:rPr>
                <w:rFonts w:ascii="Times New Roman" w:hAnsi="Times New Roman" w:cs="Times New Roman"/>
                <w:b/>
                <w:i/>
                <w:noProof/>
                <w:sz w:val="22"/>
                <w:szCs w:val="22"/>
                <w:lang w:val="sq-AL"/>
              </w:rPr>
              <w:t>3</w:t>
            </w:r>
            <w:r w:rsidRPr="00641640">
              <w:rPr>
                <w:rFonts w:ascii="Times New Roman" w:hAnsi="Times New Roman" w:cs="Times New Roman"/>
                <w:b/>
                <w:i/>
                <w:noProof/>
                <w:sz w:val="22"/>
                <w:szCs w:val="22"/>
                <w:lang w:val="sq-AL"/>
              </w:rPr>
              <w:t>.2: Rritja e aftësive dhe gjithëpërfshirjes digjitale përmes zbatimit të masave që sigurojnë arritjen e kompetencave bazë digjitale për nxënësit, përmirësojnë aksesin dhe cilësinë e shërbimeve elektronike për qytetarët, dhe fuqizojnë mundësuesit teknologjikë në sektorin publik.</w:t>
            </w:r>
          </w:p>
        </w:tc>
      </w:tr>
      <w:tr w:rsidR="00CE5E3E" w:rsidRPr="00641640" w14:paraId="425D4A80" w14:textId="77777777" w:rsidTr="00A815AC">
        <w:tc>
          <w:tcPr>
            <w:tcW w:w="1163" w:type="dxa"/>
            <w:shd w:val="clear" w:color="auto" w:fill="C5E0B3" w:themeFill="accent6" w:themeFillTint="66"/>
          </w:tcPr>
          <w:p w14:paraId="4D69D5CC" w14:textId="4B71A342" w:rsidR="00CE5E3E" w:rsidRPr="00641640" w:rsidRDefault="00CE5E3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9F0352" w:rsidRPr="00641640">
              <w:rPr>
                <w:rFonts w:ascii="Times New Roman" w:hAnsi="Times New Roman" w:cs="Times New Roman"/>
                <w:b/>
                <w:noProof/>
                <w:sz w:val="22"/>
                <w:szCs w:val="22"/>
                <w:lang w:val="sq-AL"/>
              </w:rPr>
              <w:t>3</w:t>
            </w:r>
            <w:r w:rsidRPr="00641640">
              <w:rPr>
                <w:rFonts w:ascii="Times New Roman" w:hAnsi="Times New Roman" w:cs="Times New Roman"/>
                <w:b/>
                <w:noProof/>
                <w:sz w:val="22"/>
                <w:szCs w:val="22"/>
                <w:lang w:val="sq-AL"/>
              </w:rPr>
              <w:t>.2.1</w:t>
            </w:r>
          </w:p>
        </w:tc>
        <w:tc>
          <w:tcPr>
            <w:tcW w:w="8187" w:type="dxa"/>
            <w:shd w:val="clear" w:color="auto" w:fill="auto"/>
          </w:tcPr>
          <w:p w14:paraId="703BD4BD" w14:textId="5E2BF7EB" w:rsidR="00CE5E3E" w:rsidRPr="00641640" w:rsidRDefault="00D53CF4" w:rsidP="003A395D">
            <w:pPr>
              <w:spacing w:beforeAutospacing="1"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Forcimi i kompetencave baz</w:t>
            </w:r>
            <w:r w:rsidR="006E7353" w:rsidRPr="00641640">
              <w:rPr>
                <w:rFonts w:ascii="Times New Roman" w:hAnsi="Times New Roman" w:cs="Times New Roman"/>
                <w:noProof/>
                <w:sz w:val="22"/>
                <w:szCs w:val="22"/>
                <w:lang w:val="sq-AL"/>
              </w:rPr>
              <w:t>ë</w:t>
            </w:r>
            <w:r w:rsidRPr="00641640">
              <w:rPr>
                <w:rFonts w:ascii="Times New Roman" w:hAnsi="Times New Roman" w:cs="Times New Roman"/>
                <w:noProof/>
                <w:sz w:val="22"/>
                <w:szCs w:val="22"/>
                <w:lang w:val="sq-AL"/>
              </w:rPr>
              <w:t xml:space="preserve"> minimale t</w:t>
            </w:r>
            <w:r w:rsidR="006E7353" w:rsidRPr="00641640">
              <w:rPr>
                <w:rFonts w:ascii="Times New Roman" w:hAnsi="Times New Roman" w:cs="Times New Roman"/>
                <w:noProof/>
                <w:sz w:val="22"/>
                <w:szCs w:val="22"/>
                <w:lang w:val="sq-AL"/>
              </w:rPr>
              <w:t>ë</w:t>
            </w:r>
            <w:r w:rsidRPr="00641640">
              <w:rPr>
                <w:rFonts w:ascii="Times New Roman" w:hAnsi="Times New Roman" w:cs="Times New Roman"/>
                <w:noProof/>
                <w:sz w:val="22"/>
                <w:szCs w:val="22"/>
                <w:lang w:val="sq-AL"/>
              </w:rPr>
              <w:t xml:space="preserve"> aft</w:t>
            </w:r>
            <w:r w:rsidR="006E7353" w:rsidRPr="00641640">
              <w:rPr>
                <w:rFonts w:ascii="Times New Roman" w:hAnsi="Times New Roman" w:cs="Times New Roman"/>
                <w:noProof/>
                <w:sz w:val="22"/>
                <w:szCs w:val="22"/>
                <w:lang w:val="sq-AL"/>
              </w:rPr>
              <w:t>ë</w:t>
            </w:r>
            <w:r w:rsidRPr="00641640">
              <w:rPr>
                <w:rFonts w:ascii="Times New Roman" w:hAnsi="Times New Roman" w:cs="Times New Roman"/>
                <w:noProof/>
                <w:sz w:val="22"/>
                <w:szCs w:val="22"/>
                <w:lang w:val="sq-AL"/>
              </w:rPr>
              <w:t>sive digjitale n</w:t>
            </w:r>
            <w:r w:rsidR="006E7353" w:rsidRPr="00641640">
              <w:rPr>
                <w:rFonts w:ascii="Times New Roman" w:hAnsi="Times New Roman" w:cs="Times New Roman"/>
                <w:noProof/>
                <w:sz w:val="22"/>
                <w:szCs w:val="22"/>
                <w:lang w:val="sq-AL"/>
              </w:rPr>
              <w:t>ë</w:t>
            </w:r>
            <w:r w:rsidRPr="00641640">
              <w:rPr>
                <w:rFonts w:ascii="Times New Roman" w:hAnsi="Times New Roman" w:cs="Times New Roman"/>
                <w:noProof/>
                <w:sz w:val="22"/>
                <w:szCs w:val="22"/>
                <w:lang w:val="sq-AL"/>
              </w:rPr>
              <w:t xml:space="preserve"> arsimin parauniversitar.</w:t>
            </w:r>
          </w:p>
        </w:tc>
      </w:tr>
      <w:tr w:rsidR="00CE5E3E" w:rsidRPr="00641640" w14:paraId="3E60B83E" w14:textId="77777777" w:rsidTr="00A815AC">
        <w:tc>
          <w:tcPr>
            <w:tcW w:w="1163" w:type="dxa"/>
            <w:shd w:val="clear" w:color="auto" w:fill="C5E0B3" w:themeFill="accent6" w:themeFillTint="66"/>
          </w:tcPr>
          <w:p w14:paraId="0FFFE373" w14:textId="0FE7A042" w:rsidR="00CE5E3E" w:rsidRPr="00641640" w:rsidRDefault="00CE5E3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9F0352" w:rsidRPr="00641640">
              <w:rPr>
                <w:rFonts w:ascii="Times New Roman" w:hAnsi="Times New Roman" w:cs="Times New Roman"/>
                <w:b/>
                <w:noProof/>
                <w:sz w:val="22"/>
                <w:szCs w:val="22"/>
                <w:lang w:val="sq-AL"/>
              </w:rPr>
              <w:t>3</w:t>
            </w:r>
            <w:r w:rsidRPr="00641640">
              <w:rPr>
                <w:rFonts w:ascii="Times New Roman" w:hAnsi="Times New Roman" w:cs="Times New Roman"/>
                <w:b/>
                <w:noProof/>
                <w:sz w:val="22"/>
                <w:szCs w:val="22"/>
                <w:lang w:val="sq-AL"/>
              </w:rPr>
              <w:t>.2.2</w:t>
            </w:r>
          </w:p>
        </w:tc>
        <w:tc>
          <w:tcPr>
            <w:tcW w:w="8187" w:type="dxa"/>
            <w:shd w:val="clear" w:color="auto" w:fill="auto"/>
          </w:tcPr>
          <w:p w14:paraId="66C5692C" w14:textId="4E405D50" w:rsidR="00CE5E3E" w:rsidRPr="00641640" w:rsidRDefault="008236DD"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Përmirësimi i aksesueshmërisë së shërbimeve për qytetarët dhe bizneset</w:t>
            </w:r>
            <w:r w:rsidR="003017CC" w:rsidRPr="00641640">
              <w:rPr>
                <w:rFonts w:ascii="Times New Roman" w:hAnsi="Times New Roman" w:cs="Times New Roman"/>
                <w:noProof/>
                <w:sz w:val="22"/>
                <w:szCs w:val="22"/>
                <w:lang w:val="sq-AL"/>
              </w:rPr>
              <w:t>.</w:t>
            </w:r>
          </w:p>
        </w:tc>
      </w:tr>
      <w:tr w:rsidR="00CE5E3E" w:rsidRPr="00641640" w14:paraId="76C1C027" w14:textId="77777777" w:rsidTr="00A815AC">
        <w:tc>
          <w:tcPr>
            <w:tcW w:w="1163" w:type="dxa"/>
            <w:shd w:val="clear" w:color="auto" w:fill="C5E0B3" w:themeFill="accent6" w:themeFillTint="66"/>
          </w:tcPr>
          <w:p w14:paraId="1F88F4A6" w14:textId="2935A046" w:rsidR="00CE5E3E" w:rsidRPr="00641640" w:rsidRDefault="00CE5E3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9F0352" w:rsidRPr="00641640">
              <w:rPr>
                <w:rFonts w:ascii="Times New Roman" w:hAnsi="Times New Roman" w:cs="Times New Roman"/>
                <w:b/>
                <w:noProof/>
                <w:sz w:val="22"/>
                <w:szCs w:val="22"/>
                <w:lang w:val="sq-AL"/>
              </w:rPr>
              <w:t>3</w:t>
            </w:r>
            <w:r w:rsidRPr="00641640">
              <w:rPr>
                <w:rFonts w:ascii="Times New Roman" w:hAnsi="Times New Roman" w:cs="Times New Roman"/>
                <w:b/>
                <w:noProof/>
                <w:sz w:val="22"/>
                <w:szCs w:val="22"/>
                <w:lang w:val="sq-AL"/>
              </w:rPr>
              <w:t>.2.3</w:t>
            </w:r>
          </w:p>
        </w:tc>
        <w:tc>
          <w:tcPr>
            <w:tcW w:w="8187" w:type="dxa"/>
            <w:shd w:val="clear" w:color="auto" w:fill="auto"/>
          </w:tcPr>
          <w:p w14:paraId="641E3AC7" w14:textId="29288ADF" w:rsidR="00CE5E3E" w:rsidRPr="00641640" w:rsidRDefault="00CE5E3E"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Përmirësimi i aksesit në shërbimet elektronike për target</w:t>
            </w:r>
            <w:r w:rsidR="00347BEB">
              <w:rPr>
                <w:rFonts w:ascii="Times New Roman" w:hAnsi="Times New Roman" w:cs="Times New Roman"/>
                <w:noProof/>
                <w:sz w:val="22"/>
                <w:szCs w:val="22"/>
                <w:lang w:val="sq-AL"/>
              </w:rPr>
              <w:t>-</w:t>
            </w:r>
            <w:r w:rsidRPr="00641640">
              <w:rPr>
                <w:rFonts w:ascii="Times New Roman" w:hAnsi="Times New Roman" w:cs="Times New Roman"/>
                <w:noProof/>
                <w:sz w:val="22"/>
                <w:szCs w:val="22"/>
                <w:lang w:val="sq-AL"/>
              </w:rPr>
              <w:t>grup</w:t>
            </w:r>
            <w:r w:rsidR="00347BEB">
              <w:rPr>
                <w:rFonts w:ascii="Times New Roman" w:hAnsi="Times New Roman" w:cs="Times New Roman"/>
                <w:noProof/>
                <w:sz w:val="22"/>
                <w:szCs w:val="22"/>
                <w:lang w:val="sq-AL"/>
              </w:rPr>
              <w:t>e</w:t>
            </w:r>
            <w:r w:rsidRPr="00641640">
              <w:rPr>
                <w:rFonts w:ascii="Times New Roman" w:hAnsi="Times New Roman" w:cs="Times New Roman"/>
                <w:noProof/>
                <w:sz w:val="22"/>
                <w:szCs w:val="22"/>
                <w:lang w:val="sq-AL"/>
              </w:rPr>
              <w:t xml:space="preserve"> të caktuar</w:t>
            </w:r>
            <w:r w:rsidR="003017CC" w:rsidRPr="00641640">
              <w:rPr>
                <w:rFonts w:ascii="Times New Roman" w:hAnsi="Times New Roman" w:cs="Times New Roman"/>
                <w:noProof/>
                <w:sz w:val="22"/>
                <w:szCs w:val="22"/>
                <w:lang w:val="sq-AL"/>
              </w:rPr>
              <w:t>a.</w:t>
            </w:r>
          </w:p>
        </w:tc>
      </w:tr>
      <w:tr w:rsidR="00CE5E3E" w:rsidRPr="00641640" w14:paraId="4F26518A" w14:textId="77777777" w:rsidTr="00A815AC">
        <w:tc>
          <w:tcPr>
            <w:tcW w:w="1163" w:type="dxa"/>
            <w:shd w:val="clear" w:color="auto" w:fill="C5E0B3" w:themeFill="accent6" w:themeFillTint="66"/>
          </w:tcPr>
          <w:p w14:paraId="2E7D6E50" w14:textId="38C8257E" w:rsidR="00CE5E3E" w:rsidRPr="00641640" w:rsidRDefault="00E5399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9F0352" w:rsidRPr="00641640">
              <w:rPr>
                <w:rFonts w:ascii="Times New Roman" w:hAnsi="Times New Roman" w:cs="Times New Roman"/>
                <w:b/>
                <w:noProof/>
                <w:sz w:val="22"/>
                <w:szCs w:val="22"/>
                <w:lang w:val="sq-AL"/>
              </w:rPr>
              <w:t>3</w:t>
            </w:r>
            <w:r w:rsidRPr="00641640">
              <w:rPr>
                <w:rFonts w:ascii="Times New Roman" w:hAnsi="Times New Roman" w:cs="Times New Roman"/>
                <w:b/>
                <w:noProof/>
                <w:sz w:val="22"/>
                <w:szCs w:val="22"/>
                <w:lang w:val="sq-AL"/>
              </w:rPr>
              <w:t>.2.4</w:t>
            </w:r>
            <w:r w:rsidR="00CE5E3E" w:rsidRPr="00641640">
              <w:rPr>
                <w:rFonts w:ascii="Times New Roman" w:hAnsi="Times New Roman" w:cs="Times New Roman"/>
                <w:b/>
                <w:noProof/>
                <w:sz w:val="22"/>
                <w:szCs w:val="22"/>
                <w:lang w:val="sq-AL"/>
              </w:rPr>
              <w:t xml:space="preserve"> </w:t>
            </w:r>
          </w:p>
        </w:tc>
        <w:tc>
          <w:tcPr>
            <w:tcW w:w="8187" w:type="dxa"/>
            <w:shd w:val="clear" w:color="auto" w:fill="auto"/>
          </w:tcPr>
          <w:p w14:paraId="1CFDC975" w14:textId="7A92D971" w:rsidR="00CE5E3E" w:rsidRPr="00641640" w:rsidRDefault="00CE5E3E" w:rsidP="003A395D">
            <w:pPr>
              <w:spacing w:beforeAutospacing="1" w:after="160" w:line="276" w:lineRule="auto"/>
              <w:jc w:val="both"/>
              <w:textAlignment w:val="baseline"/>
              <w:rPr>
                <w:rFonts w:ascii="Times New Roman" w:hAnsi="Times New Roman" w:cs="Times New Roman"/>
                <w:noProof/>
                <w:sz w:val="22"/>
                <w:szCs w:val="22"/>
                <w:highlight w:val="yellow"/>
                <w:lang w:val="sq-AL"/>
              </w:rPr>
            </w:pPr>
            <w:r w:rsidRPr="00641640">
              <w:rPr>
                <w:rFonts w:ascii="Times New Roman" w:hAnsi="Times New Roman" w:cs="Times New Roman"/>
                <w:noProof/>
                <w:sz w:val="22"/>
                <w:szCs w:val="22"/>
                <w:lang w:val="sq-AL"/>
              </w:rPr>
              <w:t>Forcimi i mundësuesve parësorë të GovTech-ut: Data Governance</w:t>
            </w:r>
            <w:r w:rsidR="003017CC" w:rsidRPr="00641640">
              <w:rPr>
                <w:rFonts w:ascii="Times New Roman" w:hAnsi="Times New Roman" w:cs="Times New Roman"/>
                <w:noProof/>
                <w:sz w:val="22"/>
                <w:szCs w:val="22"/>
                <w:lang w:val="sq-AL"/>
              </w:rPr>
              <w:t>.</w:t>
            </w:r>
          </w:p>
        </w:tc>
      </w:tr>
      <w:tr w:rsidR="00CE5E3E" w:rsidRPr="00641640" w14:paraId="7072D550" w14:textId="77777777" w:rsidTr="00A815AC">
        <w:trPr>
          <w:trHeight w:val="417"/>
        </w:trPr>
        <w:tc>
          <w:tcPr>
            <w:tcW w:w="1163" w:type="dxa"/>
            <w:shd w:val="clear" w:color="auto" w:fill="C5E0B3" w:themeFill="accent6" w:themeFillTint="66"/>
          </w:tcPr>
          <w:p w14:paraId="0C12F247" w14:textId="1F08B307" w:rsidR="00CE5E3E" w:rsidRPr="00641640" w:rsidRDefault="00E5399E" w:rsidP="003A395D">
            <w:pPr>
              <w:spacing w:beforeAutospacing="1"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9F0352" w:rsidRPr="00641640">
              <w:rPr>
                <w:rFonts w:ascii="Times New Roman" w:hAnsi="Times New Roman" w:cs="Times New Roman"/>
                <w:b/>
                <w:noProof/>
                <w:sz w:val="22"/>
                <w:szCs w:val="22"/>
                <w:lang w:val="sq-AL"/>
              </w:rPr>
              <w:t>3</w:t>
            </w:r>
            <w:r w:rsidRPr="00641640">
              <w:rPr>
                <w:rFonts w:ascii="Times New Roman" w:hAnsi="Times New Roman" w:cs="Times New Roman"/>
                <w:b/>
                <w:noProof/>
                <w:sz w:val="22"/>
                <w:szCs w:val="22"/>
                <w:lang w:val="sq-AL"/>
              </w:rPr>
              <w:t>.2.5</w:t>
            </w:r>
          </w:p>
        </w:tc>
        <w:tc>
          <w:tcPr>
            <w:tcW w:w="8187" w:type="dxa"/>
            <w:shd w:val="clear" w:color="auto" w:fill="auto"/>
          </w:tcPr>
          <w:p w14:paraId="4DE54AC9" w14:textId="6A9BC709" w:rsidR="00CE5E3E" w:rsidRPr="00641640" w:rsidRDefault="00CE5E3E" w:rsidP="003A395D">
            <w:pPr>
              <w:spacing w:beforeAutospacing="1" w:after="160" w:line="276" w:lineRule="auto"/>
              <w:jc w:val="both"/>
              <w:textAlignment w:val="baseline"/>
              <w:rPr>
                <w:rFonts w:ascii="Times New Roman" w:hAnsi="Times New Roman" w:cs="Times New Roman"/>
                <w:noProof/>
                <w:sz w:val="22"/>
                <w:szCs w:val="22"/>
                <w:highlight w:val="yellow"/>
                <w:lang w:val="sq-AL"/>
              </w:rPr>
            </w:pPr>
            <w:r w:rsidRPr="00641640">
              <w:rPr>
                <w:rFonts w:ascii="Times New Roman" w:hAnsi="Times New Roman" w:cs="Times New Roman"/>
                <w:noProof/>
                <w:sz w:val="22"/>
                <w:szCs w:val="22"/>
                <w:lang w:val="sq-AL"/>
              </w:rPr>
              <w:t>Përmirësimi i mundësuesve parësorë të GovTech-ut:</w:t>
            </w:r>
            <w:r w:rsidR="002A5E2B">
              <w:rPr>
                <w:rFonts w:ascii="Times New Roman" w:hAnsi="Times New Roman" w:cs="Times New Roman"/>
                <w:noProof/>
                <w:sz w:val="22"/>
                <w:szCs w:val="22"/>
                <w:lang w:val="sq-AL"/>
              </w:rPr>
              <w:t xml:space="preserve"> </w:t>
            </w:r>
            <w:r w:rsidRPr="00641640">
              <w:rPr>
                <w:rFonts w:ascii="Times New Roman" w:hAnsi="Times New Roman" w:cs="Times New Roman"/>
                <w:noProof/>
                <w:sz w:val="22"/>
                <w:szCs w:val="22"/>
                <w:lang w:val="sq-AL"/>
              </w:rPr>
              <w:t>Institucionet publike</w:t>
            </w:r>
            <w:r w:rsidR="00944C57" w:rsidRPr="00641640">
              <w:rPr>
                <w:rFonts w:ascii="Times New Roman" w:hAnsi="Times New Roman" w:cs="Times New Roman"/>
                <w:noProof/>
                <w:sz w:val="22"/>
                <w:szCs w:val="22"/>
                <w:lang w:val="sq-AL"/>
              </w:rPr>
              <w:t>.</w:t>
            </w:r>
          </w:p>
        </w:tc>
      </w:tr>
    </w:tbl>
    <w:p w14:paraId="006E452B" w14:textId="77777777" w:rsidR="00CE5E3E" w:rsidRPr="00641640" w:rsidRDefault="00CE5E3E" w:rsidP="003A395D">
      <w:pPr>
        <w:spacing w:line="276" w:lineRule="auto"/>
        <w:jc w:val="both"/>
        <w:rPr>
          <w:rFonts w:ascii="Times New Roman" w:hAnsi="Times New Roman" w:cs="Times New Roman"/>
          <w:bCs/>
          <w:i/>
          <w:noProof/>
          <w:sz w:val="24"/>
          <w:szCs w:val="24"/>
          <w:highlight w:val="yellow"/>
          <w:lang w:val="sq-AL"/>
        </w:rPr>
      </w:pPr>
    </w:p>
    <w:p w14:paraId="72618210" w14:textId="5EE4A26C" w:rsidR="00C8749D" w:rsidRPr="00641640" w:rsidRDefault="00C8749D"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Lidhja e treguesve kryesorë të performancës më Qëllimin e Politikës I</w:t>
      </w:r>
      <w:r w:rsidR="009F0352" w:rsidRPr="00641640">
        <w:rPr>
          <w:rFonts w:ascii="Times New Roman" w:hAnsi="Times New Roman" w:cs="Times New Roman"/>
          <w:b/>
          <w:bCs/>
          <w:noProof/>
          <w:sz w:val="24"/>
          <w:szCs w:val="24"/>
          <w:lang w:val="sq-AL"/>
        </w:rPr>
        <w:t>II</w:t>
      </w:r>
      <w:r w:rsidRPr="00641640">
        <w:rPr>
          <w:rFonts w:ascii="Times New Roman" w:hAnsi="Times New Roman" w:cs="Times New Roman"/>
          <w:b/>
          <w:bCs/>
          <w:noProof/>
          <w:sz w:val="24"/>
          <w:szCs w:val="24"/>
          <w:lang w:val="sq-AL"/>
        </w:rPr>
        <w:t xml:space="preserve">, Objektivin Specifik </w:t>
      </w:r>
      <w:r w:rsidR="009F0352" w:rsidRPr="00641640">
        <w:rPr>
          <w:rFonts w:ascii="Times New Roman" w:hAnsi="Times New Roman" w:cs="Times New Roman"/>
          <w:b/>
          <w:bCs/>
          <w:noProof/>
          <w:sz w:val="24"/>
          <w:szCs w:val="24"/>
          <w:lang w:val="sq-AL"/>
        </w:rPr>
        <w:t>3</w:t>
      </w:r>
      <w:r w:rsidRPr="00641640">
        <w:rPr>
          <w:rFonts w:ascii="Times New Roman" w:hAnsi="Times New Roman" w:cs="Times New Roman"/>
          <w:b/>
          <w:bCs/>
          <w:noProof/>
          <w:sz w:val="24"/>
          <w:szCs w:val="24"/>
          <w:lang w:val="sq-AL"/>
        </w:rPr>
        <w:t>.2 dhe institucionet përgjegjëse.</w:t>
      </w:r>
    </w:p>
    <w:tbl>
      <w:tblPr>
        <w:tblStyle w:val="TableGrid"/>
        <w:tblW w:w="93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2"/>
        <w:gridCol w:w="1980"/>
        <w:gridCol w:w="2160"/>
        <w:gridCol w:w="2340"/>
        <w:gridCol w:w="1890"/>
      </w:tblGrid>
      <w:tr w:rsidR="00C8749D" w:rsidRPr="00641640" w14:paraId="38942955" w14:textId="77777777" w:rsidTr="00A815AC">
        <w:trPr>
          <w:trHeight w:val="15"/>
        </w:trPr>
        <w:tc>
          <w:tcPr>
            <w:tcW w:w="982" w:type="dxa"/>
            <w:shd w:val="clear" w:color="auto" w:fill="C5E0B3" w:themeFill="accent6" w:themeFillTint="66"/>
            <w:tcMar>
              <w:top w:w="15" w:type="dxa"/>
              <w:left w:w="75" w:type="dxa"/>
              <w:bottom w:w="15" w:type="dxa"/>
              <w:right w:w="75" w:type="dxa"/>
            </w:tcMar>
          </w:tcPr>
          <w:p w14:paraId="21C79D2B"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p>
          <w:p w14:paraId="01E5501E"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Lloji i treguesit</w:t>
            </w:r>
          </w:p>
        </w:tc>
        <w:tc>
          <w:tcPr>
            <w:tcW w:w="1980" w:type="dxa"/>
            <w:shd w:val="clear" w:color="auto" w:fill="C5E0B3" w:themeFill="accent6" w:themeFillTint="66"/>
            <w:tcMar>
              <w:top w:w="15" w:type="dxa"/>
              <w:left w:w="75" w:type="dxa"/>
              <w:bottom w:w="15" w:type="dxa"/>
              <w:right w:w="75" w:type="dxa"/>
            </w:tcMar>
          </w:tcPr>
          <w:p w14:paraId="553F4C0A"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p>
          <w:p w14:paraId="7854FDDD"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Emërtimi i treguesit të performancës</w:t>
            </w:r>
          </w:p>
          <w:p w14:paraId="6F9BFD25" w14:textId="77777777" w:rsidR="00C8749D" w:rsidRPr="00641640" w:rsidRDefault="00C8749D" w:rsidP="003A395D">
            <w:pPr>
              <w:spacing w:line="276" w:lineRule="auto"/>
              <w:jc w:val="center"/>
              <w:rPr>
                <w:rFonts w:ascii="Times New Roman" w:eastAsia="Arial" w:hAnsi="Times New Roman" w:cs="Times New Roman"/>
                <w:noProof/>
                <w:sz w:val="22"/>
                <w:szCs w:val="22"/>
                <w:lang w:val="sq-AL"/>
              </w:rPr>
            </w:pPr>
          </w:p>
        </w:tc>
        <w:tc>
          <w:tcPr>
            <w:tcW w:w="2160" w:type="dxa"/>
            <w:shd w:val="clear" w:color="auto" w:fill="C5E0B3" w:themeFill="accent6" w:themeFillTint="66"/>
          </w:tcPr>
          <w:p w14:paraId="4E4B6A01"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p>
          <w:p w14:paraId="3E2E820E"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Qëllimin e Politikës</w:t>
            </w:r>
          </w:p>
        </w:tc>
        <w:tc>
          <w:tcPr>
            <w:tcW w:w="2340" w:type="dxa"/>
            <w:shd w:val="clear" w:color="auto" w:fill="C5E0B3" w:themeFill="accent6" w:themeFillTint="66"/>
          </w:tcPr>
          <w:p w14:paraId="194016D3"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p>
          <w:p w14:paraId="4AB857EC"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Objektivin Specifik</w:t>
            </w:r>
          </w:p>
        </w:tc>
        <w:tc>
          <w:tcPr>
            <w:tcW w:w="1890" w:type="dxa"/>
            <w:shd w:val="clear" w:color="auto" w:fill="C5E0B3" w:themeFill="accent6" w:themeFillTint="66"/>
            <w:tcMar>
              <w:top w:w="15" w:type="dxa"/>
              <w:left w:w="75" w:type="dxa"/>
              <w:bottom w:w="15" w:type="dxa"/>
              <w:right w:w="75" w:type="dxa"/>
            </w:tcMar>
          </w:tcPr>
          <w:p w14:paraId="1D11C636" w14:textId="77777777" w:rsidR="00C8749D" w:rsidRPr="00641640" w:rsidRDefault="00C8749D" w:rsidP="003A395D">
            <w:pPr>
              <w:spacing w:line="276" w:lineRule="auto"/>
              <w:jc w:val="center"/>
              <w:rPr>
                <w:rFonts w:ascii="Times New Roman" w:eastAsia="Arial" w:hAnsi="Times New Roman" w:cs="Times New Roman"/>
                <w:noProof/>
                <w:sz w:val="22"/>
                <w:szCs w:val="22"/>
                <w:lang w:val="sq-AL"/>
              </w:rPr>
            </w:pPr>
          </w:p>
          <w:p w14:paraId="4DEDD86A"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Institucioni përgjegjës</w:t>
            </w:r>
          </w:p>
        </w:tc>
      </w:tr>
      <w:tr w:rsidR="00C8749D" w:rsidRPr="00641640" w14:paraId="43D8F1BA" w14:textId="77777777" w:rsidTr="002C31DE">
        <w:trPr>
          <w:trHeight w:val="473"/>
        </w:trPr>
        <w:tc>
          <w:tcPr>
            <w:tcW w:w="982" w:type="dxa"/>
            <w:tcMar>
              <w:top w:w="15" w:type="dxa"/>
              <w:left w:w="75" w:type="dxa"/>
              <w:bottom w:w="15" w:type="dxa"/>
              <w:right w:w="75" w:type="dxa"/>
            </w:tcMar>
          </w:tcPr>
          <w:p w14:paraId="6DD39207" w14:textId="5660E8E7" w:rsidR="00C8749D" w:rsidRPr="00641640" w:rsidRDefault="00681D18" w:rsidP="003A395D">
            <w:pPr>
              <w:spacing w:line="276" w:lineRule="auto"/>
              <w:rPr>
                <w:rFonts w:ascii="Times New Roman" w:eastAsiaTheme="minorHAnsi" w:hAnsi="Times New Roman" w:cs="Times New Roman"/>
                <w:noProof/>
                <w:color w:val="ED7D31" w:themeColor="accent2"/>
                <w:sz w:val="22"/>
                <w:szCs w:val="22"/>
                <w:lang w:val="sq-AL"/>
              </w:rPr>
            </w:pPr>
            <w:r w:rsidRPr="00681D18">
              <w:rPr>
                <w:rFonts w:ascii="Times New Roman" w:eastAsiaTheme="minorHAnsi" w:hAnsi="Times New Roman" w:cs="Times New Roman"/>
                <w:noProof/>
                <w:sz w:val="22"/>
                <w:szCs w:val="22"/>
                <w:lang w:val="sq-AL"/>
              </w:rPr>
              <w:t>Rezultati</w:t>
            </w:r>
          </w:p>
        </w:tc>
        <w:tc>
          <w:tcPr>
            <w:tcW w:w="1980" w:type="dxa"/>
            <w:tcMar>
              <w:top w:w="15" w:type="dxa"/>
              <w:left w:w="75" w:type="dxa"/>
              <w:bottom w:w="15" w:type="dxa"/>
              <w:right w:w="75" w:type="dxa"/>
            </w:tcMar>
          </w:tcPr>
          <w:p w14:paraId="68960788" w14:textId="0D2936B0" w:rsidR="00C8749D" w:rsidRPr="00641640" w:rsidRDefault="00681D18" w:rsidP="003A395D">
            <w:pPr>
              <w:spacing w:line="276" w:lineRule="auto"/>
              <w:rPr>
                <w:rFonts w:ascii="Times New Roman" w:hAnsi="Times New Roman" w:cs="Times New Roman"/>
                <w:noProof/>
                <w:sz w:val="22"/>
                <w:szCs w:val="22"/>
                <w:lang w:val="sq-AL"/>
              </w:rPr>
            </w:pPr>
            <w:r w:rsidRPr="00681D18">
              <w:rPr>
                <w:rFonts w:ascii="Times New Roman" w:hAnsi="Times New Roman" w:cs="Times New Roman"/>
                <w:noProof/>
                <w:sz w:val="22"/>
                <w:szCs w:val="22"/>
                <w:lang w:val="sq-AL"/>
              </w:rPr>
              <w:t>3.2.1 Niveli i rritjes së kompetencave dhe aftësive digjitale në arsimin parauniversitar.</w:t>
            </w:r>
          </w:p>
        </w:tc>
        <w:tc>
          <w:tcPr>
            <w:tcW w:w="2160" w:type="dxa"/>
          </w:tcPr>
          <w:p w14:paraId="5EABE94F" w14:textId="650B119B" w:rsidR="00C8749D" w:rsidRPr="00BA7E48" w:rsidRDefault="00BA7E48" w:rsidP="00BA7E48">
            <w:pPr>
              <w:spacing w:line="276" w:lineRule="auto"/>
              <w:rPr>
                <w:rFonts w:ascii="Times New Roman" w:eastAsia="Arial" w:hAnsi="Times New Roman" w:cs="Times New Roman"/>
                <w:noProof/>
                <w:sz w:val="22"/>
                <w:szCs w:val="22"/>
                <w:lang w:val="sq-AL"/>
              </w:rPr>
            </w:pPr>
            <w:r w:rsidRPr="00BA7E48">
              <w:rPr>
                <w:rFonts w:ascii="Times New Roman" w:eastAsia="Arial" w:hAnsi="Times New Roman" w:cs="Times New Roman"/>
                <w:noProof/>
                <w:sz w:val="22"/>
                <w:szCs w:val="22"/>
                <w:lang w:val="sq-AL"/>
              </w:rPr>
              <w:t>Ofrimi i Shërbimeve dhe Digjitalizimi</w:t>
            </w:r>
          </w:p>
        </w:tc>
        <w:tc>
          <w:tcPr>
            <w:tcW w:w="2340" w:type="dxa"/>
          </w:tcPr>
          <w:p w14:paraId="38C6BC60" w14:textId="6CE8A898" w:rsidR="00C8749D" w:rsidRDefault="00BA7E48" w:rsidP="00BA7E48">
            <w:pPr>
              <w:spacing w:line="276" w:lineRule="auto"/>
              <w:rPr>
                <w:rFonts w:ascii="Times New Roman" w:eastAsia="Arial" w:hAnsi="Times New Roman" w:cs="Times New Roman"/>
                <w:noProof/>
                <w:sz w:val="22"/>
                <w:szCs w:val="22"/>
                <w:lang w:val="sq-AL"/>
              </w:rPr>
            </w:pPr>
            <w:r w:rsidRPr="00BA7E48">
              <w:rPr>
                <w:rFonts w:ascii="Times New Roman" w:eastAsia="Arial" w:hAnsi="Times New Roman" w:cs="Times New Roman"/>
                <w:noProof/>
                <w:sz w:val="22"/>
                <w:szCs w:val="22"/>
                <w:lang w:val="sq-AL"/>
              </w:rPr>
              <w:t>3.2: Rritja e aftësive dhe gjithëpërfshirjes digjitale përmes zbatimit të masave që sigurojnë arritjen e kompetencave bazë digjitale për nxënësit, përmirësojnë aksesin dhe cilësinë e shërbimeve elektronike për qytetarët, dhe fuqizojnë mundësuesit teknologjikë në sektorin publik.</w:t>
            </w:r>
          </w:p>
          <w:p w14:paraId="0422740A" w14:textId="3F75048D" w:rsidR="00BA7E48" w:rsidRPr="00BA7E48" w:rsidRDefault="00BA7E48" w:rsidP="00BA7E48">
            <w:pPr>
              <w:spacing w:line="276" w:lineRule="auto"/>
              <w:rPr>
                <w:rFonts w:ascii="Times New Roman" w:eastAsia="Arial" w:hAnsi="Times New Roman" w:cs="Times New Roman"/>
                <w:noProof/>
                <w:sz w:val="22"/>
                <w:szCs w:val="22"/>
                <w:lang w:val="sq-AL"/>
              </w:rPr>
            </w:pPr>
          </w:p>
        </w:tc>
        <w:tc>
          <w:tcPr>
            <w:tcW w:w="1890" w:type="dxa"/>
            <w:tcMar>
              <w:top w:w="15" w:type="dxa"/>
              <w:left w:w="75" w:type="dxa"/>
              <w:bottom w:w="15" w:type="dxa"/>
              <w:right w:w="75" w:type="dxa"/>
            </w:tcMar>
          </w:tcPr>
          <w:p w14:paraId="38CA4C2B" w14:textId="5E0DBBB7" w:rsidR="00C8749D" w:rsidRPr="00BA7E48" w:rsidRDefault="00BA7E48" w:rsidP="003A395D">
            <w:pPr>
              <w:spacing w:line="276" w:lineRule="auto"/>
              <w:jc w:val="center"/>
              <w:rPr>
                <w:rFonts w:ascii="Times New Roman" w:eastAsia="Arial" w:hAnsi="Times New Roman" w:cs="Times New Roman"/>
                <w:noProof/>
                <w:sz w:val="22"/>
                <w:szCs w:val="22"/>
                <w:lang w:val="sq-AL"/>
              </w:rPr>
            </w:pPr>
            <w:r w:rsidRPr="00BA7E48">
              <w:rPr>
                <w:rFonts w:ascii="Times New Roman" w:eastAsia="Arial" w:hAnsi="Times New Roman" w:cs="Times New Roman"/>
                <w:noProof/>
                <w:sz w:val="22"/>
                <w:szCs w:val="22"/>
                <w:lang w:val="sq-AL"/>
              </w:rPr>
              <w:t>AKSHI</w:t>
            </w:r>
          </w:p>
        </w:tc>
      </w:tr>
    </w:tbl>
    <w:p w14:paraId="00CAB8CC" w14:textId="32EA63FA" w:rsidR="00AE6F2A" w:rsidRDefault="00AE6F2A" w:rsidP="003A395D">
      <w:pPr>
        <w:spacing w:line="276" w:lineRule="auto"/>
        <w:rPr>
          <w:rFonts w:ascii="Times New Roman" w:hAnsi="Times New Roman" w:cs="Times New Roman"/>
          <w:b/>
          <w:bCs/>
          <w:noProof/>
          <w:lang w:val="sq-AL"/>
        </w:rPr>
      </w:pPr>
    </w:p>
    <w:p w14:paraId="11422DF9" w14:textId="697D6B81" w:rsidR="00C61DF6" w:rsidRPr="00641640" w:rsidRDefault="00AE6F2A" w:rsidP="00AE6F2A">
      <w:pPr>
        <w:rPr>
          <w:rFonts w:ascii="Times New Roman" w:hAnsi="Times New Roman" w:cs="Times New Roman"/>
          <w:b/>
          <w:bCs/>
          <w:noProof/>
          <w:lang w:val="sq-AL"/>
        </w:rPr>
      </w:pPr>
      <w:r>
        <w:rPr>
          <w:rFonts w:ascii="Times New Roman" w:hAnsi="Times New Roman" w:cs="Times New Roman"/>
          <w:b/>
          <w:bCs/>
          <w:noProof/>
          <w:lang w:val="sq-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934"/>
      </w:tblGrid>
      <w:tr w:rsidR="00482512" w:rsidRPr="00641640" w14:paraId="6EC8CAAC" w14:textId="77777777" w:rsidTr="00482512">
        <w:tc>
          <w:tcPr>
            <w:tcW w:w="363" w:type="dxa"/>
          </w:tcPr>
          <w:p w14:paraId="228345FA" w14:textId="412168AB" w:rsidR="00C61DF6" w:rsidRPr="00641640" w:rsidRDefault="00C61DF6" w:rsidP="003A395D">
            <w:pPr>
              <w:spacing w:line="276" w:lineRule="auto"/>
              <w:jc w:val="both"/>
              <w:rPr>
                <w:rFonts w:ascii="Times New Roman" w:hAnsi="Times New Roman" w:cs="Times New Roman"/>
                <w:b/>
                <w:bCs/>
                <w:noProof/>
                <w:sz w:val="28"/>
                <w:szCs w:val="28"/>
                <w:lang w:val="sq-AL"/>
              </w:rPr>
            </w:pPr>
            <w:r w:rsidRPr="00641640">
              <w:rPr>
                <w:rFonts w:ascii="Times New Roman" w:hAnsi="Times New Roman" w:cs="Times New Roman"/>
                <w:b/>
                <w:bCs/>
                <w:noProof/>
                <w:sz w:val="28"/>
                <w:szCs w:val="28"/>
                <w:lang w:val="sq-AL"/>
              </w:rPr>
              <w:lastRenderedPageBreak/>
              <w:t>4.</w:t>
            </w:r>
          </w:p>
        </w:tc>
        <w:tc>
          <w:tcPr>
            <w:tcW w:w="8987" w:type="dxa"/>
          </w:tcPr>
          <w:p w14:paraId="195F5A83" w14:textId="77777777" w:rsidR="00C61DF6" w:rsidRPr="00641640" w:rsidRDefault="00482512" w:rsidP="003A395D">
            <w:pPr>
              <w:spacing w:after="200" w:line="276" w:lineRule="auto"/>
              <w:rPr>
                <w:rFonts w:ascii="Times New Roman" w:eastAsiaTheme="majorEastAsia" w:hAnsi="Times New Roman" w:cs="Times New Roman"/>
                <w:b/>
                <w:bCs/>
                <w:noProof/>
                <w:sz w:val="28"/>
                <w:szCs w:val="28"/>
                <w:lang w:val="sq-AL"/>
              </w:rPr>
            </w:pPr>
            <w:r w:rsidRPr="00641640">
              <w:rPr>
                <w:rFonts w:ascii="Times New Roman" w:eastAsiaTheme="majorEastAsia" w:hAnsi="Times New Roman" w:cs="Times New Roman"/>
                <w:b/>
                <w:bCs/>
                <w:noProof/>
                <w:sz w:val="28"/>
                <w:szCs w:val="28"/>
                <w:lang w:val="sq-AL"/>
              </w:rPr>
              <w:t>QËLLIMI I POLITIKËS IV: ORGANIZIMI, LLOGARIDHËNIA DHE MBIKËQYRJA E ADMINISTRATËS</w:t>
            </w:r>
          </w:p>
          <w:p w14:paraId="21204A22" w14:textId="0D6C6A4A" w:rsidR="00482512" w:rsidRPr="00641640" w:rsidRDefault="00482512" w:rsidP="003A395D">
            <w:pPr>
              <w:spacing w:line="276" w:lineRule="auto"/>
              <w:rPr>
                <w:rFonts w:ascii="Times New Roman" w:hAnsi="Times New Roman" w:cs="Times New Roman"/>
                <w:b/>
                <w:bCs/>
                <w:noProof/>
                <w:sz w:val="28"/>
                <w:szCs w:val="28"/>
                <w:lang w:val="sq-AL"/>
              </w:rPr>
            </w:pPr>
          </w:p>
        </w:tc>
      </w:tr>
    </w:tbl>
    <w:p w14:paraId="55CD6B5F" w14:textId="292C571B" w:rsidR="003748C9" w:rsidRPr="00641640" w:rsidRDefault="003748C9" w:rsidP="003A395D">
      <w:pPr>
        <w:spacing w:after="100" w:afterAutospacing="1" w:line="276" w:lineRule="auto"/>
        <w:jc w:val="both"/>
        <w:rPr>
          <w:rFonts w:ascii="Times New Roman" w:eastAsia="Times New Roman" w:hAnsi="Times New Roman" w:cs="Times New Roman"/>
          <w:noProof/>
          <w:sz w:val="24"/>
          <w:szCs w:val="24"/>
          <w:lang w:val="sq-AL" w:eastAsia="en-GB"/>
        </w:rPr>
      </w:pPr>
      <w:r w:rsidRPr="00641640">
        <w:rPr>
          <w:rFonts w:ascii="Times New Roman" w:hAnsi="Times New Roman" w:cs="Times New Roman"/>
          <w:noProof/>
          <w:sz w:val="24"/>
          <w:szCs w:val="24"/>
          <w:lang w:val="sq-AL"/>
        </w:rPr>
        <w:t>Qëllimi i Politikës 4</w:t>
      </w:r>
      <w:r w:rsidR="00482512" w:rsidRPr="00641640">
        <w:rPr>
          <w:rFonts w:ascii="Times New Roman" w:hAnsi="Times New Roman" w:cs="Times New Roman"/>
          <w:noProof/>
          <w:sz w:val="24"/>
          <w:szCs w:val="24"/>
          <w:lang w:val="sq-AL"/>
        </w:rPr>
        <w:t xml:space="preserve">, </w:t>
      </w:r>
      <w:r w:rsidRPr="00641640">
        <w:rPr>
          <w:rFonts w:ascii="Times New Roman" w:eastAsia="Times New Roman" w:hAnsi="Times New Roman" w:cs="Times New Roman"/>
          <w:noProof/>
          <w:sz w:val="24"/>
          <w:szCs w:val="24"/>
          <w:lang w:val="sq-AL" w:eastAsia="en-GB"/>
        </w:rPr>
        <w:t>synon konsolidimin e një administrate publike efikase dhe të përgjegjshme përmes forcimit të strukturave organizative, promovimit të llogaridhënies dhe krijimit të mekanizmave të mbikëqyrjes së brendshme dhe të jashtme. Ky Qëllim fokusohet në menaxhimin e mirë të burimeve njerëzore, transparencën në vendimmarrje dhe fuqizimin e proceseve të llogaridhënies dhe mbikëqyrjes, me qëllim final rritjen e besueshmërisë së qytetar</w:t>
      </w:r>
      <w:r w:rsidR="00EC534D">
        <w:rPr>
          <w:rFonts w:ascii="Times New Roman" w:eastAsia="Times New Roman" w:hAnsi="Times New Roman" w:cs="Times New Roman"/>
          <w:noProof/>
          <w:sz w:val="24"/>
          <w:szCs w:val="24"/>
          <w:lang w:val="sq-AL" w:eastAsia="en-GB"/>
        </w:rPr>
        <w:t>ë</w:t>
      </w:r>
      <w:r w:rsidRPr="00641640">
        <w:rPr>
          <w:rFonts w:ascii="Times New Roman" w:eastAsia="Times New Roman" w:hAnsi="Times New Roman" w:cs="Times New Roman"/>
          <w:noProof/>
          <w:sz w:val="24"/>
          <w:szCs w:val="24"/>
          <w:lang w:val="sq-AL" w:eastAsia="en-GB"/>
        </w:rPr>
        <w:t xml:space="preserve">ve tek institucionet publike dhe përmirësimin e efikasitetit të administratës. </w:t>
      </w:r>
    </w:p>
    <w:p w14:paraId="449D065C" w14:textId="77777777" w:rsidR="003748C9" w:rsidRPr="00641640" w:rsidRDefault="003748C9" w:rsidP="003A395D">
      <w:pPr>
        <w:tabs>
          <w:tab w:val="left" w:pos="5812"/>
        </w:tabs>
        <w:spacing w:before="100" w:beforeAutospacing="1" w:after="100" w:afterAutospacing="1" w:line="276" w:lineRule="auto"/>
        <w:jc w:val="both"/>
        <w:outlineLvl w:val="2"/>
        <w:rPr>
          <w:rFonts w:ascii="Times New Roman" w:eastAsia="Times New Roman" w:hAnsi="Times New Roman" w:cs="Times New Roman"/>
          <w:b/>
          <w:bCs/>
          <w:noProof/>
          <w:sz w:val="24"/>
          <w:szCs w:val="24"/>
          <w:lang w:val="sq-AL" w:eastAsia="en-GB"/>
        </w:rPr>
      </w:pPr>
      <w:bookmarkStart w:id="35" w:name="_Toc189510629"/>
      <w:r w:rsidRPr="00641640">
        <w:rPr>
          <w:rFonts w:ascii="Times New Roman" w:hAnsi="Times New Roman" w:cs="Times New Roman"/>
          <w:b/>
          <w:bCs/>
          <w:noProof/>
          <w:sz w:val="24"/>
          <w:szCs w:val="24"/>
          <w:lang w:val="sq-AL"/>
        </w:rPr>
        <w:t xml:space="preserve">Qëllimi i Politikës 4 </w:t>
      </w:r>
      <w:r w:rsidRPr="00641640">
        <w:rPr>
          <w:rFonts w:ascii="Times New Roman" w:eastAsia="Times New Roman" w:hAnsi="Times New Roman" w:cs="Times New Roman"/>
          <w:b/>
          <w:bCs/>
          <w:noProof/>
          <w:sz w:val="24"/>
          <w:szCs w:val="24"/>
          <w:lang w:val="sq-AL" w:eastAsia="en-GB"/>
        </w:rPr>
        <w:t>do të arrihet përmes këtyre Objektivave Specifikë:</w:t>
      </w:r>
      <w:bookmarkEnd w:id="35"/>
    </w:p>
    <w:p w14:paraId="5709D202" w14:textId="77777777" w:rsidR="003748C9" w:rsidRPr="00641640" w:rsidRDefault="003748C9" w:rsidP="003A395D">
      <w:pPr>
        <w:numPr>
          <w:ilvl w:val="0"/>
          <w:numId w:val="8"/>
        </w:numPr>
        <w:spacing w:before="100" w:beforeAutospacing="1" w:after="100" w:afterAutospacing="1" w:line="276" w:lineRule="auto"/>
        <w:jc w:val="both"/>
        <w:rPr>
          <w:rFonts w:ascii="Times New Roman" w:eastAsia="Times New Roman" w:hAnsi="Times New Roman" w:cs="Times New Roman"/>
          <w:noProof/>
          <w:sz w:val="24"/>
          <w:szCs w:val="24"/>
          <w:lang w:val="sq-AL" w:eastAsia="en-GB"/>
        </w:rPr>
      </w:pPr>
      <w:r w:rsidRPr="00641640">
        <w:rPr>
          <w:rFonts w:ascii="Times New Roman" w:eastAsia="Times New Roman" w:hAnsi="Times New Roman" w:cs="Times New Roman"/>
          <w:b/>
          <w:bCs/>
          <w:noProof/>
          <w:sz w:val="24"/>
          <w:szCs w:val="24"/>
          <w:lang w:val="sq-AL" w:eastAsia="en-GB"/>
        </w:rPr>
        <w:t>Forcimi i organizimit institucional</w:t>
      </w:r>
      <w:r w:rsidRPr="00641640">
        <w:rPr>
          <w:rFonts w:ascii="Times New Roman" w:eastAsia="Times New Roman" w:hAnsi="Times New Roman" w:cs="Times New Roman"/>
          <w:noProof/>
          <w:sz w:val="24"/>
          <w:szCs w:val="24"/>
          <w:lang w:val="sq-AL" w:eastAsia="en-GB"/>
        </w:rPr>
        <w:t>: Zhvillimi i strukturave organizative të qarta dhe të përshtatshme për të përmbushur detyrat e administratës publike në mënyrë efektive dhe optimale.</w:t>
      </w:r>
    </w:p>
    <w:p w14:paraId="2ECA87B8" w14:textId="77777777" w:rsidR="003748C9" w:rsidRPr="00641640" w:rsidRDefault="003748C9" w:rsidP="003A395D">
      <w:pPr>
        <w:numPr>
          <w:ilvl w:val="0"/>
          <w:numId w:val="8"/>
        </w:numPr>
        <w:spacing w:before="100" w:beforeAutospacing="1" w:after="100" w:afterAutospacing="1" w:line="276" w:lineRule="auto"/>
        <w:jc w:val="both"/>
        <w:rPr>
          <w:rFonts w:ascii="Times New Roman" w:eastAsia="Times New Roman" w:hAnsi="Times New Roman" w:cs="Times New Roman"/>
          <w:noProof/>
          <w:sz w:val="24"/>
          <w:szCs w:val="24"/>
          <w:lang w:val="sq-AL" w:eastAsia="en-GB"/>
        </w:rPr>
      </w:pPr>
      <w:r w:rsidRPr="00641640">
        <w:rPr>
          <w:rFonts w:ascii="Times New Roman" w:eastAsia="Times New Roman" w:hAnsi="Times New Roman" w:cs="Times New Roman"/>
          <w:b/>
          <w:bCs/>
          <w:noProof/>
          <w:sz w:val="24"/>
          <w:szCs w:val="24"/>
          <w:lang w:val="sq-AL" w:eastAsia="en-GB"/>
        </w:rPr>
        <w:t>Rritja e llogaridhënies</w:t>
      </w:r>
      <w:r w:rsidRPr="00641640">
        <w:rPr>
          <w:rFonts w:ascii="Times New Roman" w:eastAsia="Times New Roman" w:hAnsi="Times New Roman" w:cs="Times New Roman"/>
          <w:noProof/>
          <w:sz w:val="24"/>
          <w:szCs w:val="24"/>
          <w:lang w:val="sq-AL" w:eastAsia="en-GB"/>
        </w:rPr>
        <w:t xml:space="preserve">: Krijimi i mekanizmave për të garantuar llogaridhënien e punonjësve dhe drejtuesve të administratës publike për performancën dhe vendimmarrjen e tyre. </w:t>
      </w:r>
    </w:p>
    <w:p w14:paraId="2AC57463" w14:textId="77777777" w:rsidR="003748C9" w:rsidRPr="00641640" w:rsidRDefault="003748C9" w:rsidP="003A395D">
      <w:pPr>
        <w:numPr>
          <w:ilvl w:val="0"/>
          <w:numId w:val="8"/>
        </w:numPr>
        <w:spacing w:before="100" w:beforeAutospacing="1" w:after="100" w:afterAutospacing="1" w:line="276" w:lineRule="auto"/>
        <w:jc w:val="both"/>
        <w:rPr>
          <w:rFonts w:ascii="Times New Roman" w:eastAsia="Times New Roman" w:hAnsi="Times New Roman" w:cs="Times New Roman"/>
          <w:noProof/>
          <w:sz w:val="24"/>
          <w:szCs w:val="24"/>
          <w:lang w:val="sq-AL" w:eastAsia="en-GB"/>
        </w:rPr>
      </w:pPr>
      <w:r w:rsidRPr="00641640">
        <w:rPr>
          <w:rFonts w:ascii="Times New Roman" w:eastAsia="Times New Roman" w:hAnsi="Times New Roman" w:cs="Times New Roman"/>
          <w:b/>
          <w:bCs/>
          <w:noProof/>
          <w:sz w:val="24"/>
          <w:szCs w:val="24"/>
          <w:lang w:val="sq-AL" w:eastAsia="en-GB"/>
        </w:rPr>
        <w:t>Transparenca dhe pjesëmarrja publike</w:t>
      </w:r>
      <w:r w:rsidRPr="00641640">
        <w:rPr>
          <w:rFonts w:ascii="Times New Roman" w:eastAsia="Times New Roman" w:hAnsi="Times New Roman" w:cs="Times New Roman"/>
          <w:noProof/>
          <w:sz w:val="24"/>
          <w:szCs w:val="24"/>
          <w:lang w:val="sq-AL" w:eastAsia="en-GB"/>
        </w:rPr>
        <w:t>: Promovimi i një administrate të hapur që angazhon qytetarët dhe palët e tjera të interesuara në proceset e vendimmarrjes, duke rritur aksesin në informacion dhe duke përmirësuar dialogun ndërmjet administratës dhe publikut.</w:t>
      </w:r>
    </w:p>
    <w:p w14:paraId="740ECBEF" w14:textId="77777777" w:rsidR="003748C9" w:rsidRPr="00641640" w:rsidRDefault="003748C9"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Kjo shtyllë mbulon komponentet e organizimit të administratës, rritjes së llogaridhënies dhe mbikëqyrjes në administratën publike, harmonizimit të  dispozitave të legjislacionit sektorial me dispozitat e Kodit të Procedurave Administrative, dhe krijimin e institucioneve të administratës publike transparente.</w:t>
      </w:r>
    </w:p>
    <w:p w14:paraId="489AD0E9" w14:textId="54CEACBB" w:rsidR="00BE2D6A" w:rsidRPr="00641640" w:rsidRDefault="003748C9" w:rsidP="003A395D">
      <w:pPr>
        <w:spacing w:line="276" w:lineRule="auto"/>
        <w:jc w:val="both"/>
        <w:rPr>
          <w:rFonts w:ascii="Times New Roman" w:hAnsi="Times New Roman" w:cs="Times New Roman"/>
          <w:bCs/>
          <w:noProof/>
          <w:sz w:val="24"/>
          <w:szCs w:val="24"/>
          <w:lang w:val="sq-AL"/>
        </w:rPr>
      </w:pPr>
      <w:r w:rsidRPr="00641640">
        <w:rPr>
          <w:rFonts w:ascii="Times New Roman" w:hAnsi="Times New Roman" w:cs="Times New Roman"/>
          <w:bCs/>
          <w:noProof/>
          <w:sz w:val="24"/>
          <w:szCs w:val="24"/>
          <w:lang w:val="sq-AL"/>
        </w:rPr>
        <w:t>Objektivat e mëposhtëm specifikë dhe masat e renditura për secilin Objektiv do t’i shërbejnë arritjes së këtij Qëllimi të Politikës.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165"/>
        <w:gridCol w:w="276"/>
        <w:gridCol w:w="534"/>
        <w:gridCol w:w="7375"/>
      </w:tblGrid>
      <w:tr w:rsidR="00FD66E4" w:rsidRPr="00641640" w14:paraId="6DEA3F3F" w14:textId="77777777" w:rsidTr="00BE2D6A">
        <w:tc>
          <w:tcPr>
            <w:tcW w:w="9350" w:type="dxa"/>
            <w:gridSpan w:val="4"/>
            <w:shd w:val="clear" w:color="auto" w:fill="E2EFD9" w:themeFill="accent6" w:themeFillTint="33"/>
          </w:tcPr>
          <w:p w14:paraId="4A0F58B1" w14:textId="77777777" w:rsidR="00D62134" w:rsidRPr="00641640" w:rsidRDefault="00FD66E4" w:rsidP="00D62134">
            <w:pPr>
              <w:pStyle w:val="T-normal"/>
              <w:shd w:val="clear" w:color="auto" w:fill="E2EFD9" w:themeFill="accent6" w:themeFillTint="33"/>
              <w:spacing w:before="240" w:line="276" w:lineRule="auto"/>
              <w:jc w:val="center"/>
              <w:rPr>
                <w:rFonts w:ascii="Times New Roman" w:hAnsi="Times New Roman" w:cs="Times New Roman"/>
                <w:b/>
                <w:bCs/>
                <w:noProof/>
                <w:color w:val="003300"/>
                <w:sz w:val="18"/>
                <w:szCs w:val="18"/>
                <w:lang w:val="sq-AL"/>
              </w:rPr>
            </w:pPr>
            <w:r w:rsidRPr="00641640">
              <w:rPr>
                <w:rFonts w:ascii="Times New Roman" w:hAnsi="Times New Roman" w:cs="Times New Roman"/>
                <w:b/>
                <w:bCs/>
                <w:noProof/>
                <w:color w:val="003300"/>
                <w:sz w:val="18"/>
                <w:szCs w:val="18"/>
                <w:lang w:val="sq-AL"/>
              </w:rPr>
              <w:t>PËRMBLEDHJE E QËLLIMIT TË POLITIKËS 4 – ORGANIZIMI, LLOGARIDHËNIA DHE MBIKËQYRJA E ADMINISTRATËS</w:t>
            </w:r>
          </w:p>
          <w:p w14:paraId="25EC1B91" w14:textId="24AF93D8" w:rsidR="00D62134" w:rsidRPr="00641640" w:rsidRDefault="00D62134" w:rsidP="00D62134">
            <w:pPr>
              <w:pStyle w:val="T-normal"/>
              <w:shd w:val="clear" w:color="auto" w:fill="E2EFD9" w:themeFill="accent6" w:themeFillTint="33"/>
              <w:spacing w:line="276" w:lineRule="auto"/>
              <w:jc w:val="center"/>
              <w:rPr>
                <w:rFonts w:ascii="Times New Roman" w:hAnsi="Times New Roman" w:cs="Times New Roman"/>
                <w:b/>
                <w:bCs/>
                <w:noProof/>
                <w:color w:val="385623" w:themeColor="accent6" w:themeShade="80"/>
                <w:sz w:val="18"/>
                <w:szCs w:val="18"/>
                <w:lang w:val="sq-AL"/>
              </w:rPr>
            </w:pPr>
          </w:p>
        </w:tc>
      </w:tr>
      <w:tr w:rsidR="00FD66E4" w:rsidRPr="00641640" w14:paraId="04B0F096" w14:textId="77777777" w:rsidTr="00BE2D6A">
        <w:tc>
          <w:tcPr>
            <w:tcW w:w="9350" w:type="dxa"/>
            <w:gridSpan w:val="4"/>
            <w:shd w:val="clear" w:color="auto" w:fill="E2EFD9" w:themeFill="accent6" w:themeFillTint="33"/>
          </w:tcPr>
          <w:p w14:paraId="01F08394" w14:textId="3F545148" w:rsidR="00FD66E4" w:rsidRPr="00641640" w:rsidRDefault="00171F2E" w:rsidP="002C31DE">
            <w:pPr>
              <w:pStyle w:val="T-normal"/>
              <w:spacing w:line="276" w:lineRule="auto"/>
              <w:jc w:val="both"/>
              <w:rPr>
                <w:rFonts w:ascii="Times New Roman" w:hAnsi="Times New Roman" w:cs="Times New Roman"/>
                <w:b/>
                <w:bCs/>
                <w:i/>
                <w:noProof/>
                <w:color w:val="C45911" w:themeColor="accent2" w:themeShade="BF"/>
                <w:sz w:val="18"/>
                <w:szCs w:val="18"/>
                <w:lang w:val="sq-AL"/>
              </w:rPr>
            </w:pPr>
            <w:r w:rsidRPr="00641640">
              <w:rPr>
                <w:rFonts w:ascii="Times New Roman" w:hAnsi="Times New Roman" w:cs="Times New Roman"/>
                <w:b/>
                <w:bCs/>
                <w:i/>
                <w:noProof/>
                <w:color w:val="C45911" w:themeColor="accent2" w:themeShade="BF"/>
                <w:sz w:val="18"/>
                <w:szCs w:val="18"/>
                <w:lang w:val="sq-AL"/>
              </w:rPr>
              <w:t>Komponenti 4.1</w:t>
            </w:r>
            <w:r w:rsidR="00DE405D" w:rsidRPr="00641640">
              <w:rPr>
                <w:rFonts w:ascii="Times New Roman" w:hAnsi="Times New Roman" w:cs="Times New Roman"/>
                <w:b/>
                <w:bCs/>
                <w:i/>
                <w:noProof/>
                <w:color w:val="C45911" w:themeColor="accent2" w:themeShade="BF"/>
                <w:sz w:val="18"/>
                <w:szCs w:val="18"/>
                <w:lang w:val="sq-AL"/>
              </w:rPr>
              <w:t xml:space="preserve">: </w:t>
            </w:r>
            <w:r w:rsidRPr="00641640">
              <w:rPr>
                <w:rFonts w:ascii="Times New Roman" w:hAnsi="Times New Roman" w:cs="Times New Roman"/>
                <w:b/>
                <w:bCs/>
                <w:i/>
                <w:noProof/>
                <w:color w:val="C45911" w:themeColor="accent2" w:themeShade="BF"/>
                <w:sz w:val="18"/>
                <w:szCs w:val="18"/>
                <w:lang w:val="sq-AL"/>
              </w:rPr>
              <w:t>Mirëorganizimi i administratës publike, me institucione që performojnë mbështetur në kritere të qarta organizative dhe në përputhje me kuadrin ligjor ekzistues</w:t>
            </w:r>
          </w:p>
          <w:p w14:paraId="4E894F38" w14:textId="263D5989" w:rsidR="00D62134" w:rsidRPr="00641640" w:rsidRDefault="00D62134" w:rsidP="002C31DE">
            <w:pPr>
              <w:pStyle w:val="T-normal"/>
              <w:spacing w:line="276" w:lineRule="auto"/>
              <w:jc w:val="both"/>
              <w:rPr>
                <w:rFonts w:ascii="Times New Roman" w:hAnsi="Times New Roman" w:cs="Times New Roman"/>
                <w:noProof/>
                <w:sz w:val="10"/>
                <w:szCs w:val="10"/>
                <w:lang w:val="sq-AL"/>
              </w:rPr>
            </w:pPr>
          </w:p>
        </w:tc>
      </w:tr>
      <w:tr w:rsidR="00FD66E4" w:rsidRPr="00641640" w14:paraId="162C641F" w14:textId="77777777" w:rsidTr="00BE2D6A">
        <w:tc>
          <w:tcPr>
            <w:tcW w:w="1975" w:type="dxa"/>
            <w:gridSpan w:val="3"/>
            <w:shd w:val="clear" w:color="auto" w:fill="E2EFD9" w:themeFill="accent6" w:themeFillTint="33"/>
          </w:tcPr>
          <w:p w14:paraId="130A6AC9" w14:textId="140CA64E" w:rsidR="00FD66E4" w:rsidRPr="00641640" w:rsidRDefault="00FD66E4" w:rsidP="002C31DE">
            <w:pPr>
              <w:pStyle w:val="T-normal"/>
              <w:spacing w:line="276" w:lineRule="auto"/>
              <w:jc w:val="both"/>
              <w:rPr>
                <w:rFonts w:ascii="Times New Roman" w:hAnsi="Times New Roman" w:cs="Times New Roman"/>
                <w:b/>
                <w:bCs/>
                <w:noProof/>
                <w:color w:val="003300"/>
                <w:sz w:val="18"/>
                <w:szCs w:val="18"/>
                <w:lang w:val="sq-AL"/>
              </w:rPr>
            </w:pPr>
            <w:r w:rsidRPr="00641640">
              <w:rPr>
                <w:rFonts w:ascii="Times New Roman" w:hAnsi="Times New Roman" w:cs="Times New Roman"/>
                <w:b/>
                <w:bCs/>
                <w:noProof/>
                <w:color w:val="003300"/>
                <w:sz w:val="18"/>
                <w:szCs w:val="18"/>
                <w:lang w:val="sq-AL"/>
              </w:rPr>
              <w:t>Objektivi Specifik 4.1:</w:t>
            </w:r>
          </w:p>
        </w:tc>
        <w:tc>
          <w:tcPr>
            <w:tcW w:w="7375" w:type="dxa"/>
            <w:shd w:val="clear" w:color="auto" w:fill="E2EFD9" w:themeFill="accent6" w:themeFillTint="33"/>
          </w:tcPr>
          <w:p w14:paraId="51527F7C" w14:textId="77777777" w:rsidR="00FD66E4" w:rsidRPr="00641640" w:rsidRDefault="00884E44" w:rsidP="00FD66E4">
            <w:pPr>
              <w:pStyle w:val="T-normal"/>
              <w:spacing w:line="276" w:lineRule="auto"/>
              <w:jc w:val="both"/>
              <w:rPr>
                <w:rFonts w:ascii="Times New Roman" w:hAnsi="Times New Roman" w:cs="Times New Roman"/>
                <w:b/>
                <w:bCs/>
                <w:noProof/>
                <w:color w:val="003300"/>
                <w:sz w:val="18"/>
                <w:szCs w:val="18"/>
                <w:lang w:val="sq-AL"/>
              </w:rPr>
            </w:pPr>
            <w:r w:rsidRPr="00641640">
              <w:rPr>
                <w:rFonts w:ascii="Times New Roman" w:hAnsi="Times New Roman" w:cs="Times New Roman"/>
                <w:b/>
                <w:bCs/>
                <w:noProof/>
                <w:color w:val="003300"/>
                <w:sz w:val="18"/>
                <w:szCs w:val="18"/>
                <w:lang w:val="sq-AL"/>
              </w:rPr>
              <w:t>Zhvillimi i strukturave organizative të qarta dhe të përshtatshme për të përmbushur detyrat e administratës publike në mënyrë efektive dhe efikase</w:t>
            </w:r>
          </w:p>
          <w:p w14:paraId="0D6927E6" w14:textId="30E8B6EF" w:rsidR="00884E44" w:rsidRPr="00641640" w:rsidRDefault="00884E44" w:rsidP="00FD66E4">
            <w:pPr>
              <w:pStyle w:val="T-normal"/>
              <w:spacing w:line="276" w:lineRule="auto"/>
              <w:jc w:val="both"/>
              <w:rPr>
                <w:rFonts w:ascii="Times New Roman" w:hAnsi="Times New Roman" w:cs="Times New Roman"/>
                <w:b/>
                <w:bCs/>
                <w:noProof/>
                <w:color w:val="003300"/>
                <w:sz w:val="12"/>
                <w:szCs w:val="12"/>
                <w:lang w:val="sq-AL"/>
              </w:rPr>
            </w:pPr>
          </w:p>
        </w:tc>
      </w:tr>
      <w:tr w:rsidR="00FD66E4" w:rsidRPr="00641640" w14:paraId="45A87159" w14:textId="77777777" w:rsidTr="00BE2D6A">
        <w:tc>
          <w:tcPr>
            <w:tcW w:w="1165" w:type="dxa"/>
            <w:shd w:val="clear" w:color="auto" w:fill="E2EFD9" w:themeFill="accent6" w:themeFillTint="33"/>
          </w:tcPr>
          <w:p w14:paraId="7441EC99" w14:textId="1EC7FF47"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636D6E" w:rsidRPr="00641640">
              <w:rPr>
                <w:rFonts w:ascii="Times New Roman" w:hAnsi="Times New Roman" w:cs="Times New Roman"/>
                <w:noProof/>
                <w:sz w:val="18"/>
                <w:szCs w:val="18"/>
                <w:lang w:val="sq-AL"/>
              </w:rPr>
              <w:t>4</w:t>
            </w:r>
            <w:r w:rsidRPr="00641640">
              <w:rPr>
                <w:rFonts w:ascii="Times New Roman" w:hAnsi="Times New Roman" w:cs="Times New Roman"/>
                <w:noProof/>
                <w:sz w:val="18"/>
                <w:szCs w:val="18"/>
                <w:lang w:val="sq-AL"/>
              </w:rPr>
              <w:t>.1.1</w:t>
            </w:r>
          </w:p>
        </w:tc>
        <w:tc>
          <w:tcPr>
            <w:tcW w:w="276" w:type="dxa"/>
            <w:shd w:val="clear" w:color="auto" w:fill="E2EFD9" w:themeFill="accent6" w:themeFillTint="33"/>
          </w:tcPr>
          <w:p w14:paraId="201E9CD3" w14:textId="77777777"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11A562BA" w14:textId="77777777" w:rsidR="00FD66E4" w:rsidRPr="00641640" w:rsidRDefault="005906F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Rishikimi i ligjit nr. 90/2012 “Për organizimin dhe funksionimin e administratës shtetërore”, me qëllim përcaktimin e kritereve të qarta për secilën tipologji të institucioneve të varësisë.</w:t>
            </w:r>
          </w:p>
          <w:p w14:paraId="51730C37" w14:textId="2BCF1855" w:rsidR="0096458C" w:rsidRPr="00641640" w:rsidRDefault="0096458C" w:rsidP="002C31DE">
            <w:pPr>
              <w:pStyle w:val="T-normal"/>
              <w:spacing w:line="276" w:lineRule="auto"/>
              <w:jc w:val="both"/>
              <w:rPr>
                <w:rFonts w:ascii="Times New Roman" w:hAnsi="Times New Roman" w:cs="Times New Roman"/>
                <w:noProof/>
                <w:sz w:val="8"/>
                <w:szCs w:val="8"/>
                <w:lang w:val="sq-AL"/>
              </w:rPr>
            </w:pPr>
          </w:p>
        </w:tc>
      </w:tr>
      <w:tr w:rsidR="00FD66E4" w:rsidRPr="00641640" w14:paraId="7DF897F6" w14:textId="77777777" w:rsidTr="00BE2D6A">
        <w:tc>
          <w:tcPr>
            <w:tcW w:w="1165" w:type="dxa"/>
            <w:shd w:val="clear" w:color="auto" w:fill="E2EFD9" w:themeFill="accent6" w:themeFillTint="33"/>
          </w:tcPr>
          <w:p w14:paraId="6A11353A" w14:textId="00F34AA2"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lastRenderedPageBreak/>
              <w:t>Masa</w:t>
            </w:r>
            <w:r w:rsidRPr="00641640" w:rsidDel="009179B8">
              <w:rPr>
                <w:rFonts w:ascii="Times New Roman" w:hAnsi="Times New Roman" w:cs="Times New Roman"/>
                <w:noProof/>
                <w:sz w:val="18"/>
                <w:szCs w:val="18"/>
                <w:lang w:val="sq-AL"/>
              </w:rPr>
              <w:t xml:space="preserve"> </w:t>
            </w:r>
            <w:r w:rsidR="00636D6E" w:rsidRPr="00641640">
              <w:rPr>
                <w:rFonts w:ascii="Times New Roman" w:hAnsi="Times New Roman" w:cs="Times New Roman"/>
                <w:noProof/>
                <w:sz w:val="18"/>
                <w:szCs w:val="18"/>
                <w:lang w:val="sq-AL"/>
              </w:rPr>
              <w:t>4</w:t>
            </w:r>
            <w:r w:rsidRPr="00641640">
              <w:rPr>
                <w:rFonts w:ascii="Times New Roman" w:hAnsi="Times New Roman" w:cs="Times New Roman"/>
                <w:noProof/>
                <w:sz w:val="18"/>
                <w:szCs w:val="18"/>
                <w:lang w:val="sq-AL"/>
              </w:rPr>
              <w:t>.1.2</w:t>
            </w:r>
          </w:p>
        </w:tc>
        <w:tc>
          <w:tcPr>
            <w:tcW w:w="276" w:type="dxa"/>
            <w:shd w:val="clear" w:color="auto" w:fill="E2EFD9" w:themeFill="accent6" w:themeFillTint="33"/>
          </w:tcPr>
          <w:p w14:paraId="3133E05E" w14:textId="77777777"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2E333803" w14:textId="7F52F006" w:rsidR="00FD66E4" w:rsidRPr="00641640" w:rsidRDefault="005906F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Plotësimi i kuadrit rregullator në zbatim të ligjit nr. 90/2012 “Për organizimin dhe funksionimin e administratës shtetërore”, të rishikuar.</w:t>
            </w:r>
          </w:p>
        </w:tc>
      </w:tr>
      <w:tr w:rsidR="00FD66E4" w:rsidRPr="00641640" w14:paraId="5F2B3820" w14:textId="77777777" w:rsidTr="00BE2D6A">
        <w:tc>
          <w:tcPr>
            <w:tcW w:w="9350" w:type="dxa"/>
            <w:gridSpan w:val="4"/>
            <w:shd w:val="clear" w:color="auto" w:fill="E2EFD9" w:themeFill="accent6" w:themeFillTint="33"/>
          </w:tcPr>
          <w:p w14:paraId="6C37F8A5" w14:textId="77777777" w:rsidR="00FD66E4" w:rsidRPr="00641640" w:rsidRDefault="00FD66E4" w:rsidP="002C31DE">
            <w:pPr>
              <w:pStyle w:val="T-normal"/>
              <w:spacing w:line="276" w:lineRule="auto"/>
              <w:jc w:val="both"/>
              <w:rPr>
                <w:rFonts w:ascii="Times New Roman" w:hAnsi="Times New Roman" w:cs="Times New Roman"/>
                <w:noProof/>
                <w:sz w:val="22"/>
                <w:szCs w:val="22"/>
                <w:lang w:val="sq-AL"/>
              </w:rPr>
            </w:pPr>
          </w:p>
          <w:p w14:paraId="310FD143" w14:textId="752C1CB6" w:rsidR="00FD66E4" w:rsidRPr="00641640" w:rsidRDefault="00085F7E" w:rsidP="002C31DE">
            <w:pPr>
              <w:pStyle w:val="T-normal"/>
              <w:spacing w:line="276" w:lineRule="auto"/>
              <w:jc w:val="both"/>
              <w:rPr>
                <w:rFonts w:ascii="Times New Roman" w:eastAsiaTheme="minorHAnsi" w:hAnsi="Times New Roman" w:cs="Times New Roman"/>
                <w:b/>
                <w:bCs/>
                <w:i/>
                <w:noProof/>
                <w:color w:val="C45911" w:themeColor="accent2" w:themeShade="BF"/>
                <w:sz w:val="18"/>
                <w:szCs w:val="18"/>
                <w:lang w:val="sq-AL"/>
              </w:rPr>
            </w:pPr>
            <w:r w:rsidRPr="00641640">
              <w:rPr>
                <w:rFonts w:ascii="Times New Roman" w:hAnsi="Times New Roman" w:cs="Times New Roman"/>
                <w:b/>
                <w:bCs/>
                <w:i/>
                <w:noProof/>
                <w:color w:val="C45911" w:themeColor="accent2" w:themeShade="BF"/>
                <w:sz w:val="18"/>
                <w:szCs w:val="18"/>
                <w:lang w:val="sq-AL"/>
              </w:rPr>
              <w:t>Komponenti 4.</w:t>
            </w:r>
            <w:r w:rsidRPr="00641640">
              <w:rPr>
                <w:rFonts w:ascii="Times New Roman" w:eastAsiaTheme="minorHAnsi" w:hAnsi="Times New Roman" w:cs="Times New Roman"/>
                <w:b/>
                <w:bCs/>
                <w:i/>
                <w:noProof/>
                <w:color w:val="C45911" w:themeColor="accent2" w:themeShade="BF"/>
                <w:sz w:val="18"/>
                <w:szCs w:val="18"/>
                <w:lang w:val="sq-AL"/>
              </w:rPr>
              <w:t>2</w:t>
            </w:r>
            <w:r w:rsidR="00DE405D" w:rsidRPr="00641640">
              <w:rPr>
                <w:rFonts w:ascii="Times New Roman" w:eastAsiaTheme="minorHAnsi" w:hAnsi="Times New Roman" w:cs="Times New Roman"/>
                <w:b/>
                <w:bCs/>
                <w:i/>
                <w:noProof/>
                <w:color w:val="C45911" w:themeColor="accent2" w:themeShade="BF"/>
                <w:sz w:val="18"/>
                <w:szCs w:val="18"/>
                <w:lang w:val="sq-AL"/>
              </w:rPr>
              <w:t xml:space="preserve">: </w:t>
            </w:r>
            <w:r w:rsidRPr="00641640">
              <w:rPr>
                <w:rFonts w:ascii="Times New Roman" w:eastAsiaTheme="minorHAnsi" w:hAnsi="Times New Roman" w:cs="Times New Roman"/>
                <w:b/>
                <w:bCs/>
                <w:i/>
                <w:noProof/>
                <w:color w:val="C45911" w:themeColor="accent2" w:themeShade="BF"/>
                <w:sz w:val="18"/>
                <w:szCs w:val="18"/>
                <w:lang w:val="sq-AL"/>
              </w:rPr>
              <w:t>Rritja e llogaridhënies së brendshme në administratën publike</w:t>
            </w:r>
          </w:p>
          <w:p w14:paraId="3A4AB5BF" w14:textId="7EE2EAFB" w:rsidR="0020402A" w:rsidRPr="00641640" w:rsidRDefault="0020402A" w:rsidP="002C31DE">
            <w:pPr>
              <w:pStyle w:val="T-normal"/>
              <w:spacing w:line="276" w:lineRule="auto"/>
              <w:jc w:val="both"/>
              <w:rPr>
                <w:rFonts w:ascii="Times New Roman" w:hAnsi="Times New Roman" w:cs="Times New Roman"/>
                <w:noProof/>
                <w:sz w:val="10"/>
                <w:szCs w:val="10"/>
                <w:lang w:val="sq-AL"/>
              </w:rPr>
            </w:pPr>
          </w:p>
        </w:tc>
      </w:tr>
      <w:tr w:rsidR="00FD66E4" w:rsidRPr="00641640" w14:paraId="51B49FB7" w14:textId="77777777" w:rsidTr="00BE2D6A">
        <w:tc>
          <w:tcPr>
            <w:tcW w:w="1975" w:type="dxa"/>
            <w:gridSpan w:val="3"/>
            <w:shd w:val="clear" w:color="auto" w:fill="E2EFD9" w:themeFill="accent6" w:themeFillTint="33"/>
          </w:tcPr>
          <w:p w14:paraId="1815185E" w14:textId="4322D581" w:rsidR="00FD66E4" w:rsidRPr="00641640" w:rsidRDefault="00FD66E4" w:rsidP="002C31DE">
            <w:pPr>
              <w:pStyle w:val="T-normal"/>
              <w:spacing w:line="276" w:lineRule="auto"/>
              <w:jc w:val="both"/>
              <w:rPr>
                <w:rFonts w:ascii="Times New Roman" w:hAnsi="Times New Roman" w:cs="Times New Roman"/>
                <w:noProof/>
                <w:color w:val="003300"/>
                <w:sz w:val="18"/>
                <w:szCs w:val="18"/>
                <w:lang w:val="sq-AL"/>
              </w:rPr>
            </w:pPr>
            <w:r w:rsidRPr="00641640">
              <w:rPr>
                <w:rFonts w:ascii="Times New Roman" w:eastAsia="Times New Roman" w:hAnsi="Times New Roman" w:cs="Times New Roman"/>
                <w:b/>
                <w:noProof/>
                <w:color w:val="003300"/>
                <w:sz w:val="18"/>
                <w:szCs w:val="18"/>
                <w:lang w:val="sq-AL"/>
              </w:rPr>
              <w:t xml:space="preserve">Objektivi Specifik </w:t>
            </w:r>
            <w:r w:rsidR="006752B9" w:rsidRPr="00641640">
              <w:rPr>
                <w:rFonts w:ascii="Times New Roman" w:eastAsia="Times New Roman" w:hAnsi="Times New Roman" w:cs="Times New Roman"/>
                <w:b/>
                <w:noProof/>
                <w:color w:val="003300"/>
                <w:sz w:val="18"/>
                <w:szCs w:val="18"/>
                <w:lang w:val="sq-AL"/>
              </w:rPr>
              <w:t>4</w:t>
            </w:r>
            <w:r w:rsidRPr="00641640">
              <w:rPr>
                <w:rFonts w:ascii="Times New Roman" w:eastAsia="Times New Roman" w:hAnsi="Times New Roman" w:cs="Times New Roman"/>
                <w:b/>
                <w:noProof/>
                <w:color w:val="003300"/>
                <w:sz w:val="18"/>
                <w:szCs w:val="18"/>
                <w:lang w:val="sq-AL"/>
              </w:rPr>
              <w:t>.2:</w:t>
            </w:r>
          </w:p>
        </w:tc>
        <w:tc>
          <w:tcPr>
            <w:tcW w:w="7375" w:type="dxa"/>
            <w:shd w:val="clear" w:color="auto" w:fill="E2EFD9" w:themeFill="accent6" w:themeFillTint="33"/>
          </w:tcPr>
          <w:p w14:paraId="7C548179" w14:textId="6881A2CC" w:rsidR="00FD66E4" w:rsidRPr="00641640" w:rsidRDefault="006752B9" w:rsidP="002C31DE">
            <w:pPr>
              <w:pStyle w:val="T-normal"/>
              <w:spacing w:line="276" w:lineRule="auto"/>
              <w:jc w:val="both"/>
              <w:rPr>
                <w:rFonts w:ascii="Times New Roman" w:eastAsia="Times New Roman" w:hAnsi="Times New Roman" w:cs="Times New Roman"/>
                <w:b/>
                <w:noProof/>
                <w:color w:val="003300"/>
                <w:sz w:val="18"/>
                <w:szCs w:val="18"/>
                <w:lang w:val="sq-AL"/>
              </w:rPr>
            </w:pPr>
            <w:r w:rsidRPr="00641640">
              <w:rPr>
                <w:rFonts w:ascii="Times New Roman" w:eastAsia="Times New Roman" w:hAnsi="Times New Roman" w:cs="Times New Roman"/>
                <w:b/>
                <w:noProof/>
                <w:color w:val="003300"/>
                <w:sz w:val="18"/>
                <w:szCs w:val="18"/>
                <w:lang w:val="sq-AL"/>
              </w:rPr>
              <w:t>Krijimi i mekanizmave të qartë të brendshëm që garantojnë llogaridhënien e punonjësve dhe drejtuesve të administratës publike për performancën dhe vendimmarrjen e tyre</w:t>
            </w:r>
            <w:r w:rsidR="00FD66E4" w:rsidRPr="00641640">
              <w:rPr>
                <w:rFonts w:ascii="Times New Roman" w:eastAsia="Times New Roman" w:hAnsi="Times New Roman" w:cs="Times New Roman"/>
                <w:b/>
                <w:noProof/>
                <w:color w:val="003300"/>
                <w:sz w:val="18"/>
                <w:szCs w:val="18"/>
                <w:lang w:val="sq-AL"/>
              </w:rPr>
              <w:t>.</w:t>
            </w:r>
          </w:p>
          <w:p w14:paraId="50F7E90E" w14:textId="77777777" w:rsidR="00FD66E4" w:rsidRPr="00641640" w:rsidRDefault="00FD66E4" w:rsidP="002C31DE">
            <w:pPr>
              <w:pStyle w:val="T-normal"/>
              <w:spacing w:line="276" w:lineRule="auto"/>
              <w:jc w:val="both"/>
              <w:rPr>
                <w:rFonts w:ascii="Times New Roman" w:hAnsi="Times New Roman" w:cs="Times New Roman"/>
                <w:noProof/>
                <w:color w:val="003300"/>
                <w:sz w:val="12"/>
                <w:szCs w:val="12"/>
                <w:lang w:val="sq-AL"/>
              </w:rPr>
            </w:pPr>
          </w:p>
        </w:tc>
      </w:tr>
      <w:tr w:rsidR="00FD66E4" w:rsidRPr="00641640" w14:paraId="328106ED" w14:textId="77777777" w:rsidTr="00BE2D6A">
        <w:tc>
          <w:tcPr>
            <w:tcW w:w="1165" w:type="dxa"/>
            <w:shd w:val="clear" w:color="auto" w:fill="E2EFD9" w:themeFill="accent6" w:themeFillTint="33"/>
          </w:tcPr>
          <w:p w14:paraId="5B5C308F" w14:textId="527E4403"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460446" w:rsidRPr="00641640">
              <w:rPr>
                <w:rFonts w:ascii="Times New Roman" w:hAnsi="Times New Roman" w:cs="Times New Roman"/>
                <w:noProof/>
                <w:sz w:val="18"/>
                <w:szCs w:val="18"/>
                <w:lang w:val="sq-AL"/>
              </w:rPr>
              <w:t>4</w:t>
            </w:r>
            <w:r w:rsidRPr="00641640">
              <w:rPr>
                <w:rFonts w:ascii="Times New Roman" w:hAnsi="Times New Roman" w:cs="Times New Roman"/>
                <w:noProof/>
                <w:sz w:val="18"/>
                <w:szCs w:val="18"/>
                <w:lang w:val="sq-AL"/>
              </w:rPr>
              <w:t>.2.1</w:t>
            </w:r>
          </w:p>
        </w:tc>
        <w:tc>
          <w:tcPr>
            <w:tcW w:w="276" w:type="dxa"/>
            <w:shd w:val="clear" w:color="auto" w:fill="E2EFD9" w:themeFill="accent6" w:themeFillTint="33"/>
          </w:tcPr>
          <w:p w14:paraId="7ABFD5AE" w14:textId="77777777"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1138A339" w14:textId="77777777" w:rsidR="00FD66E4" w:rsidRPr="00641640" w:rsidRDefault="00460446"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Krijimi dhe zbatimi i një kornize të qartë monitorimi dhe funksionimi të institucioneve të varësisë, përmes rishikimit të ligjit nr. 90/2012 “Për organizimin dhe funksionimin e administratës shtetërore”</w:t>
            </w:r>
            <w:r w:rsidR="0096458C" w:rsidRPr="00641640">
              <w:rPr>
                <w:rFonts w:ascii="Times New Roman" w:hAnsi="Times New Roman" w:cs="Times New Roman"/>
                <w:noProof/>
                <w:sz w:val="18"/>
                <w:szCs w:val="18"/>
                <w:lang w:val="sq-AL"/>
              </w:rPr>
              <w:t>.</w:t>
            </w:r>
          </w:p>
          <w:p w14:paraId="2C757E75" w14:textId="10C92E79" w:rsidR="0096458C" w:rsidRPr="00641640" w:rsidRDefault="0096458C" w:rsidP="002C31DE">
            <w:pPr>
              <w:pStyle w:val="T-normal"/>
              <w:spacing w:line="276" w:lineRule="auto"/>
              <w:jc w:val="both"/>
              <w:rPr>
                <w:rFonts w:ascii="Times New Roman" w:hAnsi="Times New Roman" w:cs="Times New Roman"/>
                <w:noProof/>
                <w:sz w:val="8"/>
                <w:szCs w:val="8"/>
                <w:lang w:val="sq-AL"/>
              </w:rPr>
            </w:pPr>
          </w:p>
        </w:tc>
      </w:tr>
      <w:tr w:rsidR="00FD66E4" w:rsidRPr="00641640" w14:paraId="3DCA6FF8" w14:textId="77777777" w:rsidTr="00BE2D6A">
        <w:tc>
          <w:tcPr>
            <w:tcW w:w="1165" w:type="dxa"/>
            <w:shd w:val="clear" w:color="auto" w:fill="E2EFD9" w:themeFill="accent6" w:themeFillTint="33"/>
          </w:tcPr>
          <w:p w14:paraId="1AF38353" w14:textId="37C6D9AA"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0671B1" w:rsidRPr="00641640">
              <w:rPr>
                <w:rFonts w:ascii="Times New Roman" w:hAnsi="Times New Roman" w:cs="Times New Roman"/>
                <w:noProof/>
                <w:sz w:val="18"/>
                <w:szCs w:val="18"/>
                <w:lang w:val="sq-AL"/>
              </w:rPr>
              <w:t>4</w:t>
            </w:r>
            <w:r w:rsidRPr="00641640">
              <w:rPr>
                <w:rFonts w:ascii="Times New Roman" w:hAnsi="Times New Roman" w:cs="Times New Roman"/>
                <w:noProof/>
                <w:sz w:val="18"/>
                <w:szCs w:val="18"/>
                <w:lang w:val="sq-AL"/>
              </w:rPr>
              <w:t>.2.2</w:t>
            </w:r>
          </w:p>
        </w:tc>
        <w:tc>
          <w:tcPr>
            <w:tcW w:w="276" w:type="dxa"/>
            <w:shd w:val="clear" w:color="auto" w:fill="E2EFD9" w:themeFill="accent6" w:themeFillTint="33"/>
          </w:tcPr>
          <w:p w14:paraId="0B01B6BC" w14:textId="77777777"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0B21E582" w14:textId="77777777" w:rsidR="00FD66E4" w:rsidRPr="00641640" w:rsidRDefault="00460446"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Monitorimi i funksionimit të plotë dhe të rregullt të Sistemit të Qarkullimit të Dokumenteve me Nënshkrim Elektronik (SQNDE)</w:t>
            </w:r>
            <w:r w:rsidR="00663BB8" w:rsidRPr="00641640">
              <w:rPr>
                <w:rFonts w:ascii="Times New Roman" w:hAnsi="Times New Roman" w:cs="Times New Roman"/>
                <w:noProof/>
                <w:sz w:val="18"/>
                <w:szCs w:val="18"/>
                <w:lang w:val="sq-AL"/>
              </w:rPr>
              <w:t>.</w:t>
            </w:r>
          </w:p>
          <w:p w14:paraId="5BCC0AE2" w14:textId="706D95FF" w:rsidR="0096458C" w:rsidRPr="00641640" w:rsidRDefault="0096458C" w:rsidP="002C31DE">
            <w:pPr>
              <w:pStyle w:val="T-normal"/>
              <w:spacing w:line="276" w:lineRule="auto"/>
              <w:jc w:val="both"/>
              <w:rPr>
                <w:rFonts w:ascii="Times New Roman" w:hAnsi="Times New Roman" w:cs="Times New Roman"/>
                <w:noProof/>
                <w:sz w:val="8"/>
                <w:szCs w:val="8"/>
                <w:lang w:val="sq-AL"/>
              </w:rPr>
            </w:pPr>
          </w:p>
        </w:tc>
      </w:tr>
      <w:tr w:rsidR="00FD66E4" w:rsidRPr="00641640" w14:paraId="680F09EF" w14:textId="77777777" w:rsidTr="00BE2D6A">
        <w:tc>
          <w:tcPr>
            <w:tcW w:w="1165" w:type="dxa"/>
            <w:shd w:val="clear" w:color="auto" w:fill="E2EFD9" w:themeFill="accent6" w:themeFillTint="33"/>
          </w:tcPr>
          <w:p w14:paraId="1A365E34" w14:textId="0F29D440"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0671B1" w:rsidRPr="00641640">
              <w:rPr>
                <w:rFonts w:ascii="Times New Roman" w:hAnsi="Times New Roman" w:cs="Times New Roman"/>
                <w:noProof/>
                <w:sz w:val="18"/>
                <w:szCs w:val="18"/>
                <w:lang w:val="sq-AL"/>
              </w:rPr>
              <w:t>4</w:t>
            </w:r>
            <w:r w:rsidRPr="00641640">
              <w:rPr>
                <w:rFonts w:ascii="Times New Roman" w:hAnsi="Times New Roman" w:cs="Times New Roman"/>
                <w:noProof/>
                <w:sz w:val="18"/>
                <w:szCs w:val="18"/>
                <w:lang w:val="sq-AL"/>
              </w:rPr>
              <w:t>.2.3</w:t>
            </w:r>
          </w:p>
        </w:tc>
        <w:tc>
          <w:tcPr>
            <w:tcW w:w="276" w:type="dxa"/>
            <w:shd w:val="clear" w:color="auto" w:fill="E2EFD9" w:themeFill="accent6" w:themeFillTint="33"/>
          </w:tcPr>
          <w:p w14:paraId="32C8B3F4" w14:textId="77777777"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5DD8715A" w14:textId="77777777" w:rsidR="00FD66E4" w:rsidRPr="00641640" w:rsidRDefault="00460446"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Garantimi i ofrimit të të njëjtave standarde cilësie në ofrimin e shërbimeve edhe në nivel vendor.</w:t>
            </w:r>
          </w:p>
          <w:p w14:paraId="58AC60EB" w14:textId="02A42F9A" w:rsidR="0096458C" w:rsidRPr="00641640" w:rsidRDefault="0096458C" w:rsidP="002C31DE">
            <w:pPr>
              <w:pStyle w:val="T-normal"/>
              <w:spacing w:line="276" w:lineRule="auto"/>
              <w:jc w:val="both"/>
              <w:rPr>
                <w:rFonts w:ascii="Times New Roman" w:hAnsi="Times New Roman" w:cs="Times New Roman"/>
                <w:noProof/>
                <w:sz w:val="8"/>
                <w:szCs w:val="8"/>
                <w:lang w:val="sq-AL"/>
              </w:rPr>
            </w:pPr>
          </w:p>
        </w:tc>
      </w:tr>
      <w:tr w:rsidR="00FD66E4" w:rsidRPr="00641640" w14:paraId="74A9958D" w14:textId="77777777" w:rsidTr="00BE2D6A">
        <w:tc>
          <w:tcPr>
            <w:tcW w:w="1165" w:type="dxa"/>
            <w:shd w:val="clear" w:color="auto" w:fill="E2EFD9" w:themeFill="accent6" w:themeFillTint="33"/>
          </w:tcPr>
          <w:p w14:paraId="23FD0B9D" w14:textId="6C94DEEB"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663BB8" w:rsidRPr="00641640">
              <w:rPr>
                <w:rFonts w:ascii="Times New Roman" w:hAnsi="Times New Roman" w:cs="Times New Roman"/>
                <w:noProof/>
                <w:sz w:val="18"/>
                <w:szCs w:val="18"/>
                <w:lang w:val="sq-AL"/>
              </w:rPr>
              <w:t>4</w:t>
            </w:r>
            <w:r w:rsidRPr="00641640">
              <w:rPr>
                <w:rFonts w:ascii="Times New Roman" w:hAnsi="Times New Roman" w:cs="Times New Roman"/>
                <w:noProof/>
                <w:sz w:val="18"/>
                <w:szCs w:val="18"/>
                <w:lang w:val="sq-AL"/>
              </w:rPr>
              <w:t>.2.4</w:t>
            </w:r>
          </w:p>
        </w:tc>
        <w:tc>
          <w:tcPr>
            <w:tcW w:w="276" w:type="dxa"/>
            <w:shd w:val="clear" w:color="auto" w:fill="E2EFD9" w:themeFill="accent6" w:themeFillTint="33"/>
          </w:tcPr>
          <w:p w14:paraId="3DB34E31" w14:textId="77777777"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26A34722" w14:textId="77777777" w:rsidR="00FD66E4" w:rsidRPr="00641640" w:rsidRDefault="000671B1"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Harmonizimi i legjislacionit sektorial me dispozitat e Kodit të Procedurave Administrative, në ofrim të standardeve më të mira për publikun.</w:t>
            </w:r>
          </w:p>
          <w:p w14:paraId="22CB8492" w14:textId="6B39C04B" w:rsidR="0096458C" w:rsidRPr="00641640" w:rsidRDefault="0096458C" w:rsidP="002C31DE">
            <w:pPr>
              <w:pStyle w:val="T-normal"/>
              <w:spacing w:line="276" w:lineRule="auto"/>
              <w:jc w:val="both"/>
              <w:rPr>
                <w:rFonts w:ascii="Times New Roman" w:hAnsi="Times New Roman" w:cs="Times New Roman"/>
                <w:noProof/>
                <w:sz w:val="8"/>
                <w:szCs w:val="8"/>
                <w:lang w:val="sq-AL"/>
              </w:rPr>
            </w:pPr>
          </w:p>
        </w:tc>
      </w:tr>
      <w:tr w:rsidR="00FD66E4" w:rsidRPr="00641640" w14:paraId="487C40D1" w14:textId="77777777" w:rsidTr="00BE2D6A">
        <w:tc>
          <w:tcPr>
            <w:tcW w:w="1165" w:type="dxa"/>
            <w:shd w:val="clear" w:color="auto" w:fill="E2EFD9" w:themeFill="accent6" w:themeFillTint="33"/>
          </w:tcPr>
          <w:p w14:paraId="28DB2B20" w14:textId="6E45C5F9"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663BB8" w:rsidRPr="00641640">
              <w:rPr>
                <w:rFonts w:ascii="Times New Roman" w:hAnsi="Times New Roman" w:cs="Times New Roman"/>
                <w:noProof/>
                <w:sz w:val="18"/>
                <w:szCs w:val="18"/>
                <w:lang w:val="sq-AL"/>
              </w:rPr>
              <w:t>4</w:t>
            </w:r>
            <w:r w:rsidRPr="00641640">
              <w:rPr>
                <w:rFonts w:ascii="Times New Roman" w:hAnsi="Times New Roman" w:cs="Times New Roman"/>
                <w:noProof/>
                <w:sz w:val="18"/>
                <w:szCs w:val="18"/>
                <w:lang w:val="sq-AL"/>
              </w:rPr>
              <w:t>.2.5</w:t>
            </w:r>
          </w:p>
        </w:tc>
        <w:tc>
          <w:tcPr>
            <w:tcW w:w="276" w:type="dxa"/>
            <w:shd w:val="clear" w:color="auto" w:fill="E2EFD9" w:themeFill="accent6" w:themeFillTint="33"/>
          </w:tcPr>
          <w:p w14:paraId="7B12297D" w14:textId="77777777"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02CE8977" w14:textId="3FF9E25B" w:rsidR="00FD66E4" w:rsidRPr="00641640" w:rsidRDefault="00663BB8"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Rritja e efikasitetit në zbatimin e ligjit nr. 107/2021 “Për bashkëqeverisjen”.</w:t>
            </w:r>
          </w:p>
        </w:tc>
      </w:tr>
      <w:tr w:rsidR="00FD66E4" w:rsidRPr="00641640" w14:paraId="5B6C1C89" w14:textId="77777777" w:rsidTr="00BE2D6A">
        <w:tc>
          <w:tcPr>
            <w:tcW w:w="9350" w:type="dxa"/>
            <w:gridSpan w:val="4"/>
            <w:shd w:val="clear" w:color="auto" w:fill="E2EFD9" w:themeFill="accent6" w:themeFillTint="33"/>
          </w:tcPr>
          <w:p w14:paraId="5D44DDC3" w14:textId="77777777" w:rsidR="00FD66E4" w:rsidRPr="00641640" w:rsidRDefault="00FD66E4" w:rsidP="00455192">
            <w:pPr>
              <w:pStyle w:val="T-normal"/>
              <w:spacing w:line="276" w:lineRule="auto"/>
              <w:jc w:val="both"/>
              <w:rPr>
                <w:rFonts w:ascii="Times New Roman" w:hAnsi="Times New Roman" w:cs="Times New Roman"/>
                <w:noProof/>
                <w:sz w:val="22"/>
                <w:szCs w:val="22"/>
                <w:lang w:val="sq-AL"/>
              </w:rPr>
            </w:pPr>
          </w:p>
          <w:p w14:paraId="76570D06" w14:textId="0FE5E236" w:rsidR="00455192" w:rsidRPr="00641640" w:rsidRDefault="00455192" w:rsidP="00455192">
            <w:pPr>
              <w:pStyle w:val="T-normal"/>
              <w:spacing w:line="276" w:lineRule="auto"/>
              <w:jc w:val="both"/>
              <w:rPr>
                <w:rFonts w:ascii="Times New Roman" w:hAnsi="Times New Roman" w:cs="Times New Roman"/>
                <w:b/>
                <w:bCs/>
                <w:i/>
                <w:iCs/>
                <w:noProof/>
                <w:color w:val="C45911" w:themeColor="accent2" w:themeShade="BF"/>
                <w:sz w:val="18"/>
                <w:szCs w:val="18"/>
                <w:lang w:val="sq-AL"/>
              </w:rPr>
            </w:pPr>
            <w:r w:rsidRPr="00641640">
              <w:rPr>
                <w:rFonts w:ascii="Times New Roman" w:hAnsi="Times New Roman" w:cs="Times New Roman"/>
                <w:b/>
                <w:bCs/>
                <w:i/>
                <w:iCs/>
                <w:noProof/>
                <w:color w:val="C45911" w:themeColor="accent2" w:themeShade="BF"/>
                <w:sz w:val="18"/>
                <w:szCs w:val="18"/>
                <w:lang w:val="sq-AL"/>
              </w:rPr>
              <w:t>Komponenti 4.3</w:t>
            </w:r>
            <w:r w:rsidR="00DE405D" w:rsidRPr="00641640">
              <w:rPr>
                <w:rFonts w:ascii="Times New Roman" w:hAnsi="Times New Roman" w:cs="Times New Roman"/>
                <w:b/>
                <w:bCs/>
                <w:i/>
                <w:iCs/>
                <w:noProof/>
                <w:color w:val="C45911" w:themeColor="accent2" w:themeShade="BF"/>
                <w:sz w:val="18"/>
                <w:szCs w:val="18"/>
                <w:lang w:val="sq-AL"/>
              </w:rPr>
              <w:t xml:space="preserve">: </w:t>
            </w:r>
            <w:r w:rsidRPr="00641640">
              <w:rPr>
                <w:rFonts w:ascii="Times New Roman" w:hAnsi="Times New Roman" w:cs="Times New Roman"/>
                <w:b/>
                <w:bCs/>
                <w:i/>
                <w:iCs/>
                <w:noProof/>
                <w:color w:val="C45911" w:themeColor="accent2" w:themeShade="BF"/>
                <w:sz w:val="18"/>
                <w:szCs w:val="18"/>
                <w:lang w:val="sq-AL"/>
              </w:rPr>
              <w:t>Institucione publike transparente</w:t>
            </w:r>
          </w:p>
          <w:p w14:paraId="440DAB29" w14:textId="5DCFB73A" w:rsidR="0020402A" w:rsidRPr="00641640" w:rsidRDefault="0020402A" w:rsidP="00455192">
            <w:pPr>
              <w:pStyle w:val="T-normal"/>
              <w:spacing w:line="276" w:lineRule="auto"/>
              <w:jc w:val="both"/>
              <w:rPr>
                <w:rFonts w:ascii="Times New Roman" w:hAnsi="Times New Roman" w:cs="Times New Roman"/>
                <w:noProof/>
                <w:sz w:val="10"/>
                <w:szCs w:val="10"/>
                <w:lang w:val="sq-AL"/>
              </w:rPr>
            </w:pPr>
          </w:p>
        </w:tc>
      </w:tr>
      <w:tr w:rsidR="00FD66E4" w:rsidRPr="00641640" w14:paraId="0F01C348" w14:textId="77777777" w:rsidTr="00BE2D6A">
        <w:tc>
          <w:tcPr>
            <w:tcW w:w="1975" w:type="dxa"/>
            <w:gridSpan w:val="3"/>
            <w:shd w:val="clear" w:color="auto" w:fill="E2EFD9" w:themeFill="accent6" w:themeFillTint="33"/>
          </w:tcPr>
          <w:p w14:paraId="5D8F8909" w14:textId="52F69A2C" w:rsidR="00FD66E4" w:rsidRPr="00641640" w:rsidRDefault="00FD66E4" w:rsidP="002C31DE">
            <w:pPr>
              <w:pStyle w:val="T-normal"/>
              <w:spacing w:line="276" w:lineRule="auto"/>
              <w:jc w:val="both"/>
              <w:rPr>
                <w:rFonts w:ascii="Times New Roman" w:hAnsi="Times New Roman" w:cs="Times New Roman"/>
                <w:noProof/>
                <w:color w:val="003300"/>
                <w:sz w:val="18"/>
                <w:szCs w:val="18"/>
                <w:lang w:val="sq-AL"/>
              </w:rPr>
            </w:pPr>
            <w:r w:rsidRPr="00641640">
              <w:rPr>
                <w:rFonts w:ascii="Times New Roman" w:hAnsi="Times New Roman" w:cs="Times New Roman"/>
                <w:b/>
                <w:bCs/>
                <w:noProof/>
                <w:color w:val="003300"/>
                <w:sz w:val="18"/>
                <w:szCs w:val="18"/>
                <w:lang w:val="sq-AL"/>
              </w:rPr>
              <w:t xml:space="preserve">Ojektivi Specifik </w:t>
            </w:r>
            <w:r w:rsidR="00431F10" w:rsidRPr="00641640">
              <w:rPr>
                <w:rFonts w:ascii="Times New Roman" w:hAnsi="Times New Roman" w:cs="Times New Roman"/>
                <w:b/>
                <w:bCs/>
                <w:noProof/>
                <w:color w:val="003300"/>
                <w:sz w:val="18"/>
                <w:szCs w:val="18"/>
                <w:lang w:val="sq-AL"/>
              </w:rPr>
              <w:t>4</w:t>
            </w:r>
            <w:r w:rsidRPr="00641640">
              <w:rPr>
                <w:rFonts w:ascii="Times New Roman" w:hAnsi="Times New Roman" w:cs="Times New Roman"/>
                <w:b/>
                <w:bCs/>
                <w:noProof/>
                <w:color w:val="003300"/>
                <w:sz w:val="18"/>
                <w:szCs w:val="18"/>
                <w:lang w:val="sq-AL"/>
              </w:rPr>
              <w:t>.3:</w:t>
            </w:r>
          </w:p>
        </w:tc>
        <w:tc>
          <w:tcPr>
            <w:tcW w:w="7375" w:type="dxa"/>
            <w:shd w:val="clear" w:color="auto" w:fill="E2EFD9" w:themeFill="accent6" w:themeFillTint="33"/>
          </w:tcPr>
          <w:p w14:paraId="6689133B" w14:textId="540A0F0F" w:rsidR="00FD66E4" w:rsidRPr="00641640" w:rsidRDefault="001E1BF7" w:rsidP="002C31DE">
            <w:pPr>
              <w:pStyle w:val="T-normal"/>
              <w:spacing w:line="276" w:lineRule="auto"/>
              <w:jc w:val="both"/>
              <w:rPr>
                <w:rFonts w:ascii="Times New Roman" w:hAnsi="Times New Roman" w:cs="Times New Roman"/>
                <w:b/>
                <w:bCs/>
                <w:noProof/>
                <w:color w:val="003300"/>
                <w:sz w:val="18"/>
                <w:szCs w:val="18"/>
                <w:lang w:val="sq-AL"/>
              </w:rPr>
            </w:pPr>
            <w:r w:rsidRPr="00641640">
              <w:rPr>
                <w:rFonts w:ascii="Times New Roman" w:hAnsi="Times New Roman" w:cs="Times New Roman"/>
                <w:b/>
                <w:bCs/>
                <w:noProof/>
                <w:color w:val="003300"/>
                <w:sz w:val="18"/>
                <w:szCs w:val="18"/>
                <w:lang w:val="sq-AL"/>
              </w:rPr>
              <w:t>Promovimi i një administrate të hapur dhe transparente që angazhon qytetarët dhe palët e tjera të interesuara në proceset e vendimmarrjes, duke rritur aksesin në informacion dhe duke përmirësuar dialogun ndërmjet administratës dhe publikut</w:t>
            </w:r>
            <w:r w:rsidR="00FD66E4" w:rsidRPr="00641640">
              <w:rPr>
                <w:rFonts w:ascii="Times New Roman" w:hAnsi="Times New Roman" w:cs="Times New Roman"/>
                <w:b/>
                <w:bCs/>
                <w:noProof/>
                <w:color w:val="003300"/>
                <w:sz w:val="18"/>
                <w:szCs w:val="18"/>
                <w:lang w:val="sq-AL"/>
              </w:rPr>
              <w:t>.</w:t>
            </w:r>
          </w:p>
          <w:p w14:paraId="33B3AD07" w14:textId="77777777" w:rsidR="00FD66E4" w:rsidRPr="00641640" w:rsidRDefault="00FD66E4" w:rsidP="002C31DE">
            <w:pPr>
              <w:pStyle w:val="T-normal"/>
              <w:spacing w:line="276" w:lineRule="auto"/>
              <w:jc w:val="both"/>
              <w:rPr>
                <w:rFonts w:ascii="Times New Roman" w:hAnsi="Times New Roman" w:cs="Times New Roman"/>
                <w:noProof/>
                <w:color w:val="003300"/>
                <w:sz w:val="12"/>
                <w:szCs w:val="12"/>
                <w:lang w:val="sq-AL"/>
              </w:rPr>
            </w:pPr>
          </w:p>
        </w:tc>
      </w:tr>
      <w:tr w:rsidR="00FD66E4" w:rsidRPr="00641640" w14:paraId="777DBA31" w14:textId="77777777" w:rsidTr="00BE2D6A">
        <w:tc>
          <w:tcPr>
            <w:tcW w:w="1165" w:type="dxa"/>
            <w:shd w:val="clear" w:color="auto" w:fill="E2EFD9" w:themeFill="accent6" w:themeFillTint="33"/>
          </w:tcPr>
          <w:p w14:paraId="3AADBAE5" w14:textId="3F4B247C"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1E1BF7" w:rsidRPr="00641640">
              <w:rPr>
                <w:rFonts w:ascii="Times New Roman" w:hAnsi="Times New Roman" w:cs="Times New Roman"/>
                <w:noProof/>
                <w:sz w:val="18"/>
                <w:szCs w:val="18"/>
                <w:lang w:val="sq-AL"/>
              </w:rPr>
              <w:t>4</w:t>
            </w:r>
            <w:r w:rsidRPr="00641640">
              <w:rPr>
                <w:rFonts w:ascii="Times New Roman" w:hAnsi="Times New Roman" w:cs="Times New Roman"/>
                <w:noProof/>
                <w:sz w:val="18"/>
                <w:szCs w:val="18"/>
                <w:lang w:val="sq-AL"/>
              </w:rPr>
              <w:t>.3.1</w:t>
            </w:r>
          </w:p>
        </w:tc>
        <w:tc>
          <w:tcPr>
            <w:tcW w:w="276" w:type="dxa"/>
            <w:shd w:val="clear" w:color="auto" w:fill="E2EFD9" w:themeFill="accent6" w:themeFillTint="33"/>
          </w:tcPr>
          <w:p w14:paraId="35E7C8DD" w14:textId="77777777"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15487199" w14:textId="77777777" w:rsidR="00FD66E4" w:rsidRPr="00641640" w:rsidRDefault="008D623C"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Miratimi i legjislacionit dytësor në zbatim të ligjit nr. 119/2014 “Për të drejtën e informimit”, i ndryshuar, dhe ligjit nr. 33/2022 “Për të dhënat e hapura dhe ripërdorimin e informacionit të sektorit publik”.</w:t>
            </w:r>
          </w:p>
          <w:p w14:paraId="1811A1ED" w14:textId="0FD8CC7A" w:rsidR="00413232" w:rsidRPr="00641640" w:rsidRDefault="00413232" w:rsidP="002C31DE">
            <w:pPr>
              <w:pStyle w:val="T-normal"/>
              <w:spacing w:line="276" w:lineRule="auto"/>
              <w:jc w:val="both"/>
              <w:rPr>
                <w:rFonts w:ascii="Times New Roman" w:hAnsi="Times New Roman" w:cs="Times New Roman"/>
                <w:noProof/>
                <w:sz w:val="8"/>
                <w:szCs w:val="8"/>
                <w:lang w:val="sq-AL"/>
              </w:rPr>
            </w:pPr>
          </w:p>
        </w:tc>
      </w:tr>
      <w:tr w:rsidR="00FD66E4" w:rsidRPr="00641640" w14:paraId="44E16246" w14:textId="77777777" w:rsidTr="00BE2D6A">
        <w:tc>
          <w:tcPr>
            <w:tcW w:w="1165" w:type="dxa"/>
            <w:shd w:val="clear" w:color="auto" w:fill="E2EFD9" w:themeFill="accent6" w:themeFillTint="33"/>
          </w:tcPr>
          <w:p w14:paraId="2D5CD360" w14:textId="25171768"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1E1BF7" w:rsidRPr="00641640">
              <w:rPr>
                <w:rFonts w:ascii="Times New Roman" w:hAnsi="Times New Roman" w:cs="Times New Roman"/>
                <w:noProof/>
                <w:sz w:val="18"/>
                <w:szCs w:val="18"/>
                <w:lang w:val="sq-AL"/>
              </w:rPr>
              <w:t>4</w:t>
            </w:r>
            <w:r w:rsidRPr="00641640">
              <w:rPr>
                <w:rFonts w:ascii="Times New Roman" w:hAnsi="Times New Roman" w:cs="Times New Roman"/>
                <w:noProof/>
                <w:sz w:val="18"/>
                <w:szCs w:val="18"/>
                <w:lang w:val="sq-AL"/>
              </w:rPr>
              <w:t>.3.2</w:t>
            </w:r>
          </w:p>
        </w:tc>
        <w:tc>
          <w:tcPr>
            <w:tcW w:w="276" w:type="dxa"/>
            <w:shd w:val="clear" w:color="auto" w:fill="E2EFD9" w:themeFill="accent6" w:themeFillTint="33"/>
          </w:tcPr>
          <w:p w14:paraId="5D25E12A" w14:textId="77777777"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4305F22C" w14:textId="77777777" w:rsidR="00FD66E4" w:rsidRPr="00641640" w:rsidRDefault="008D623C"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Forcimi i kapaciteteve të Zyrës së Komisionerit për të Drejtën e Informimit dhe Mbrojtjen e të Dhënave Personale, si dhe të institucioneve të administratës publike për zbatimin efikas të kuadrit ligjor për të drejtën e informimit, të dhënat e hapura dhe ripërdorimin e informacionit të sektorit publik nga institucionet kryesore.</w:t>
            </w:r>
          </w:p>
          <w:p w14:paraId="113BF98D" w14:textId="7EFAC1F7" w:rsidR="00413232" w:rsidRPr="00641640" w:rsidRDefault="00413232" w:rsidP="002C31DE">
            <w:pPr>
              <w:pStyle w:val="T-normal"/>
              <w:spacing w:line="276" w:lineRule="auto"/>
              <w:jc w:val="both"/>
              <w:rPr>
                <w:rFonts w:ascii="Times New Roman" w:hAnsi="Times New Roman" w:cs="Times New Roman"/>
                <w:noProof/>
                <w:sz w:val="8"/>
                <w:szCs w:val="8"/>
                <w:lang w:val="sq-AL"/>
              </w:rPr>
            </w:pPr>
          </w:p>
        </w:tc>
      </w:tr>
      <w:tr w:rsidR="00FD66E4" w:rsidRPr="00641640" w14:paraId="56DC6FDD" w14:textId="77777777" w:rsidTr="00BE2D6A">
        <w:tc>
          <w:tcPr>
            <w:tcW w:w="1165" w:type="dxa"/>
            <w:shd w:val="clear" w:color="auto" w:fill="E2EFD9" w:themeFill="accent6" w:themeFillTint="33"/>
          </w:tcPr>
          <w:p w14:paraId="1583FF49" w14:textId="00570FB7"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1E1BF7" w:rsidRPr="00641640">
              <w:rPr>
                <w:rFonts w:ascii="Times New Roman" w:hAnsi="Times New Roman" w:cs="Times New Roman"/>
                <w:noProof/>
                <w:sz w:val="18"/>
                <w:szCs w:val="18"/>
                <w:lang w:val="sq-AL"/>
              </w:rPr>
              <w:t>4</w:t>
            </w:r>
            <w:r w:rsidRPr="00641640">
              <w:rPr>
                <w:rFonts w:ascii="Times New Roman" w:hAnsi="Times New Roman" w:cs="Times New Roman"/>
                <w:noProof/>
                <w:sz w:val="18"/>
                <w:szCs w:val="18"/>
                <w:lang w:val="sq-AL"/>
              </w:rPr>
              <w:t>.3.3</w:t>
            </w:r>
          </w:p>
        </w:tc>
        <w:tc>
          <w:tcPr>
            <w:tcW w:w="276" w:type="dxa"/>
            <w:shd w:val="clear" w:color="auto" w:fill="E2EFD9" w:themeFill="accent6" w:themeFillTint="33"/>
          </w:tcPr>
          <w:p w14:paraId="03E53D8F" w14:textId="77777777"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62F61ABD" w14:textId="77777777" w:rsidR="00FD66E4" w:rsidRPr="00641640" w:rsidRDefault="00E1063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Krijimi i një platforme unike digjitale “Transparent Albania” për ofrimin e informacionit publik dhe që mundëson lidhjen e përdoruesit me faqet e tjera zyrtare.</w:t>
            </w:r>
          </w:p>
          <w:p w14:paraId="0C77469B" w14:textId="3FB1D65C" w:rsidR="00413232" w:rsidRPr="00641640" w:rsidRDefault="00413232" w:rsidP="002C31DE">
            <w:pPr>
              <w:pStyle w:val="T-normal"/>
              <w:spacing w:line="276" w:lineRule="auto"/>
              <w:jc w:val="both"/>
              <w:rPr>
                <w:rFonts w:ascii="Times New Roman" w:hAnsi="Times New Roman" w:cs="Times New Roman"/>
                <w:noProof/>
                <w:sz w:val="8"/>
                <w:szCs w:val="8"/>
                <w:lang w:val="sq-AL"/>
              </w:rPr>
            </w:pPr>
          </w:p>
        </w:tc>
      </w:tr>
      <w:tr w:rsidR="00FD66E4" w:rsidRPr="00641640" w14:paraId="592A93AF" w14:textId="77777777" w:rsidTr="00BE2D6A">
        <w:tc>
          <w:tcPr>
            <w:tcW w:w="1165" w:type="dxa"/>
            <w:shd w:val="clear" w:color="auto" w:fill="E2EFD9" w:themeFill="accent6" w:themeFillTint="33"/>
          </w:tcPr>
          <w:p w14:paraId="61BC5D08" w14:textId="280372BA"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1E1BF7" w:rsidRPr="00641640">
              <w:rPr>
                <w:rFonts w:ascii="Times New Roman" w:hAnsi="Times New Roman" w:cs="Times New Roman"/>
                <w:noProof/>
                <w:sz w:val="18"/>
                <w:szCs w:val="18"/>
                <w:lang w:val="sq-AL"/>
              </w:rPr>
              <w:t>4</w:t>
            </w:r>
            <w:r w:rsidRPr="00641640">
              <w:rPr>
                <w:rFonts w:ascii="Times New Roman" w:hAnsi="Times New Roman" w:cs="Times New Roman"/>
                <w:noProof/>
                <w:sz w:val="18"/>
                <w:szCs w:val="18"/>
                <w:lang w:val="sq-AL"/>
              </w:rPr>
              <w:t>.3.4</w:t>
            </w:r>
          </w:p>
        </w:tc>
        <w:tc>
          <w:tcPr>
            <w:tcW w:w="276" w:type="dxa"/>
            <w:shd w:val="clear" w:color="auto" w:fill="E2EFD9" w:themeFill="accent6" w:themeFillTint="33"/>
          </w:tcPr>
          <w:p w14:paraId="1249DD64" w14:textId="77777777"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646A73BC" w14:textId="77777777" w:rsidR="00FD66E4" w:rsidRPr="00641640" w:rsidRDefault="00E1063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Nxitja e partneritetit dhe dialogut të vazhdueshëm me organizatat e shoqërisë civile si monitorues të pavarur të transparencës dhe llogaridhënies së institucioneve publike.</w:t>
            </w:r>
          </w:p>
          <w:p w14:paraId="36BF04DE" w14:textId="5299525E" w:rsidR="00413232" w:rsidRPr="00641640" w:rsidRDefault="00413232" w:rsidP="002C31DE">
            <w:pPr>
              <w:pStyle w:val="T-normal"/>
              <w:spacing w:line="276" w:lineRule="auto"/>
              <w:jc w:val="both"/>
              <w:rPr>
                <w:rFonts w:ascii="Times New Roman" w:hAnsi="Times New Roman" w:cs="Times New Roman"/>
                <w:noProof/>
                <w:sz w:val="8"/>
                <w:szCs w:val="8"/>
                <w:lang w:val="sq-AL"/>
              </w:rPr>
            </w:pPr>
          </w:p>
        </w:tc>
      </w:tr>
      <w:tr w:rsidR="00FD66E4" w:rsidRPr="00641640" w14:paraId="3D33A7A7" w14:textId="77777777" w:rsidTr="00BE2D6A">
        <w:tc>
          <w:tcPr>
            <w:tcW w:w="1165" w:type="dxa"/>
            <w:shd w:val="clear" w:color="auto" w:fill="E2EFD9" w:themeFill="accent6" w:themeFillTint="33"/>
          </w:tcPr>
          <w:p w14:paraId="51709503" w14:textId="075C0EE8"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1E1BF7" w:rsidRPr="00641640">
              <w:rPr>
                <w:rFonts w:ascii="Times New Roman" w:hAnsi="Times New Roman" w:cs="Times New Roman"/>
                <w:noProof/>
                <w:sz w:val="18"/>
                <w:szCs w:val="18"/>
                <w:lang w:val="sq-AL"/>
              </w:rPr>
              <w:t>4</w:t>
            </w:r>
            <w:r w:rsidRPr="00641640">
              <w:rPr>
                <w:rFonts w:ascii="Times New Roman" w:hAnsi="Times New Roman" w:cs="Times New Roman"/>
                <w:noProof/>
                <w:sz w:val="18"/>
                <w:szCs w:val="18"/>
                <w:lang w:val="sq-AL"/>
              </w:rPr>
              <w:t>.3.5</w:t>
            </w:r>
          </w:p>
        </w:tc>
        <w:tc>
          <w:tcPr>
            <w:tcW w:w="276" w:type="dxa"/>
            <w:shd w:val="clear" w:color="auto" w:fill="E2EFD9" w:themeFill="accent6" w:themeFillTint="33"/>
          </w:tcPr>
          <w:p w14:paraId="67117844" w14:textId="77777777"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243FC34A" w14:textId="1287BCEE" w:rsidR="00FD66E4" w:rsidRPr="00641640" w:rsidRDefault="00E1063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Zhvillimi i fushatave informuese për edukimin ligjor të qytetarëve mbi të drejtën e tyre për të kërkuar dhe marrë informacion nga institucionet.</w:t>
            </w:r>
          </w:p>
        </w:tc>
      </w:tr>
      <w:tr w:rsidR="00FD66E4" w:rsidRPr="00641640" w14:paraId="494D47B1" w14:textId="77777777" w:rsidTr="00BE2D6A">
        <w:tc>
          <w:tcPr>
            <w:tcW w:w="9350" w:type="dxa"/>
            <w:gridSpan w:val="4"/>
            <w:shd w:val="clear" w:color="auto" w:fill="E2EFD9" w:themeFill="accent6" w:themeFillTint="33"/>
          </w:tcPr>
          <w:p w14:paraId="3ED812CF" w14:textId="77777777" w:rsidR="00FD66E4" w:rsidRPr="00641640" w:rsidRDefault="00FD66E4" w:rsidP="002C31DE">
            <w:pPr>
              <w:pStyle w:val="T-normal"/>
              <w:spacing w:line="276" w:lineRule="auto"/>
              <w:jc w:val="both"/>
              <w:rPr>
                <w:rFonts w:ascii="Times New Roman" w:hAnsi="Times New Roman" w:cs="Times New Roman"/>
                <w:b/>
                <w:bCs/>
                <w:noProof/>
                <w:color w:val="ED7D31" w:themeColor="accent2"/>
                <w:sz w:val="22"/>
                <w:szCs w:val="22"/>
                <w:lang w:val="sq-AL"/>
              </w:rPr>
            </w:pPr>
          </w:p>
          <w:p w14:paraId="5ED16048" w14:textId="39442DFA" w:rsidR="00FD66E4" w:rsidRPr="00641640" w:rsidRDefault="00847BDF" w:rsidP="002C31DE">
            <w:pPr>
              <w:pStyle w:val="T-normal"/>
              <w:spacing w:line="276" w:lineRule="auto"/>
              <w:jc w:val="both"/>
              <w:rPr>
                <w:rFonts w:ascii="Times New Roman" w:hAnsi="Times New Roman" w:cs="Times New Roman"/>
                <w:b/>
                <w:i/>
                <w:iCs/>
                <w:noProof/>
                <w:color w:val="C45911" w:themeColor="accent2" w:themeShade="BF"/>
                <w:sz w:val="18"/>
                <w:szCs w:val="18"/>
                <w:lang w:val="sq-AL"/>
              </w:rPr>
            </w:pPr>
            <w:r w:rsidRPr="00641640">
              <w:rPr>
                <w:rFonts w:ascii="Times New Roman" w:hAnsi="Times New Roman" w:cs="Times New Roman"/>
                <w:b/>
                <w:i/>
                <w:iCs/>
                <w:noProof/>
                <w:color w:val="C45911" w:themeColor="accent2" w:themeShade="BF"/>
                <w:sz w:val="18"/>
                <w:szCs w:val="18"/>
                <w:lang w:val="sq-AL"/>
              </w:rPr>
              <w:t>Komponenti 4.4</w:t>
            </w:r>
            <w:r w:rsidR="00DE405D" w:rsidRPr="00641640">
              <w:rPr>
                <w:rFonts w:ascii="Times New Roman" w:hAnsi="Times New Roman" w:cs="Times New Roman"/>
                <w:b/>
                <w:i/>
                <w:iCs/>
                <w:noProof/>
                <w:color w:val="C45911" w:themeColor="accent2" w:themeShade="BF"/>
                <w:sz w:val="18"/>
                <w:szCs w:val="18"/>
                <w:lang w:val="sq-AL"/>
              </w:rPr>
              <w:t xml:space="preserve">: </w:t>
            </w:r>
            <w:r w:rsidRPr="00641640">
              <w:rPr>
                <w:rFonts w:ascii="Times New Roman" w:hAnsi="Times New Roman" w:cs="Times New Roman"/>
                <w:b/>
                <w:i/>
                <w:iCs/>
                <w:noProof/>
                <w:color w:val="C45911" w:themeColor="accent2" w:themeShade="BF"/>
                <w:sz w:val="18"/>
                <w:szCs w:val="18"/>
                <w:lang w:val="sq-AL"/>
              </w:rPr>
              <w:t>Fuqizimi i llogaridhënies së jashtme të administratës publik</w:t>
            </w:r>
            <w:r w:rsidR="00BB6225" w:rsidRPr="00641640">
              <w:rPr>
                <w:rFonts w:ascii="Times New Roman" w:hAnsi="Times New Roman" w:cs="Times New Roman"/>
                <w:b/>
                <w:i/>
                <w:iCs/>
                <w:noProof/>
                <w:color w:val="C45911" w:themeColor="accent2" w:themeShade="BF"/>
                <w:sz w:val="18"/>
                <w:szCs w:val="18"/>
                <w:lang w:val="sq-AL"/>
              </w:rPr>
              <w:t>e</w:t>
            </w:r>
          </w:p>
          <w:p w14:paraId="02567182" w14:textId="792773A9" w:rsidR="0020402A" w:rsidRPr="00641640" w:rsidRDefault="0020402A" w:rsidP="002C31DE">
            <w:pPr>
              <w:pStyle w:val="T-normal"/>
              <w:spacing w:line="276" w:lineRule="auto"/>
              <w:jc w:val="both"/>
              <w:rPr>
                <w:rFonts w:ascii="Times New Roman" w:hAnsi="Times New Roman" w:cs="Times New Roman"/>
                <w:noProof/>
                <w:sz w:val="10"/>
                <w:szCs w:val="10"/>
                <w:lang w:val="sq-AL"/>
              </w:rPr>
            </w:pPr>
          </w:p>
        </w:tc>
      </w:tr>
      <w:tr w:rsidR="00FD66E4" w:rsidRPr="00641640" w14:paraId="53D49EDB" w14:textId="77777777" w:rsidTr="00BE2D6A">
        <w:tc>
          <w:tcPr>
            <w:tcW w:w="1975" w:type="dxa"/>
            <w:gridSpan w:val="3"/>
            <w:shd w:val="clear" w:color="auto" w:fill="E2EFD9" w:themeFill="accent6" w:themeFillTint="33"/>
          </w:tcPr>
          <w:p w14:paraId="34C42560" w14:textId="60AD6345" w:rsidR="00FD66E4" w:rsidRPr="00641640" w:rsidRDefault="00FD66E4" w:rsidP="002C31DE">
            <w:pPr>
              <w:pStyle w:val="T-normal"/>
              <w:spacing w:line="276" w:lineRule="auto"/>
              <w:jc w:val="both"/>
              <w:rPr>
                <w:rFonts w:ascii="Times New Roman" w:hAnsi="Times New Roman" w:cs="Times New Roman"/>
                <w:noProof/>
                <w:color w:val="003300"/>
                <w:sz w:val="18"/>
                <w:szCs w:val="18"/>
                <w:lang w:val="sq-AL"/>
              </w:rPr>
            </w:pPr>
            <w:r w:rsidRPr="00641640">
              <w:rPr>
                <w:rFonts w:ascii="Times New Roman" w:hAnsi="Times New Roman" w:cs="Times New Roman"/>
                <w:b/>
                <w:bCs/>
                <w:noProof/>
                <w:color w:val="003300"/>
                <w:sz w:val="18"/>
                <w:szCs w:val="18"/>
                <w:lang w:val="sq-AL"/>
              </w:rPr>
              <w:t xml:space="preserve">Ojektivi Specifik </w:t>
            </w:r>
            <w:r w:rsidR="00D76946" w:rsidRPr="00641640">
              <w:rPr>
                <w:rFonts w:ascii="Times New Roman" w:hAnsi="Times New Roman" w:cs="Times New Roman"/>
                <w:b/>
                <w:bCs/>
                <w:noProof/>
                <w:color w:val="003300"/>
                <w:sz w:val="18"/>
                <w:szCs w:val="18"/>
                <w:lang w:val="sq-AL"/>
              </w:rPr>
              <w:t>4</w:t>
            </w:r>
            <w:r w:rsidRPr="00641640">
              <w:rPr>
                <w:rFonts w:ascii="Times New Roman" w:hAnsi="Times New Roman" w:cs="Times New Roman"/>
                <w:b/>
                <w:bCs/>
                <w:noProof/>
                <w:color w:val="003300"/>
                <w:sz w:val="18"/>
                <w:szCs w:val="18"/>
                <w:lang w:val="sq-AL"/>
              </w:rPr>
              <w:t>.4:</w:t>
            </w:r>
          </w:p>
        </w:tc>
        <w:tc>
          <w:tcPr>
            <w:tcW w:w="7375" w:type="dxa"/>
            <w:shd w:val="clear" w:color="auto" w:fill="E2EFD9" w:themeFill="accent6" w:themeFillTint="33"/>
          </w:tcPr>
          <w:p w14:paraId="1F7C012E" w14:textId="42AF6F74" w:rsidR="00FD66E4" w:rsidRPr="00641640" w:rsidRDefault="00226585" w:rsidP="002C31DE">
            <w:pPr>
              <w:pStyle w:val="T-normal"/>
              <w:spacing w:line="276" w:lineRule="auto"/>
              <w:jc w:val="both"/>
              <w:rPr>
                <w:rFonts w:ascii="Times New Roman" w:hAnsi="Times New Roman" w:cs="Times New Roman"/>
                <w:b/>
                <w:bCs/>
                <w:noProof/>
                <w:color w:val="003300"/>
                <w:sz w:val="18"/>
                <w:szCs w:val="18"/>
                <w:lang w:val="sq-AL"/>
              </w:rPr>
            </w:pPr>
            <w:r w:rsidRPr="00641640">
              <w:rPr>
                <w:rFonts w:ascii="Times New Roman" w:hAnsi="Times New Roman" w:cs="Times New Roman"/>
                <w:b/>
                <w:bCs/>
                <w:noProof/>
                <w:color w:val="003300"/>
                <w:sz w:val="18"/>
                <w:szCs w:val="18"/>
                <w:lang w:val="sq-AL"/>
              </w:rPr>
              <w:t>Fuqizimi i mbikëqyrjes së jashtme të administratës publike nga Kuvendi dhe institucionet e pavarura mbi zbatimin e politikave dhe detyrimeve nga ana e qeverisë.</w:t>
            </w:r>
          </w:p>
          <w:p w14:paraId="63DA96B6" w14:textId="3E917020" w:rsidR="00226585" w:rsidRPr="00641640" w:rsidRDefault="00226585" w:rsidP="002C31DE">
            <w:pPr>
              <w:pStyle w:val="T-normal"/>
              <w:spacing w:line="276" w:lineRule="auto"/>
              <w:jc w:val="both"/>
              <w:rPr>
                <w:rFonts w:ascii="Times New Roman" w:hAnsi="Times New Roman" w:cs="Times New Roman"/>
                <w:noProof/>
                <w:color w:val="003300"/>
                <w:sz w:val="12"/>
                <w:szCs w:val="12"/>
                <w:lang w:val="sq-AL"/>
              </w:rPr>
            </w:pPr>
          </w:p>
        </w:tc>
      </w:tr>
      <w:tr w:rsidR="00FD66E4" w:rsidRPr="00641640" w14:paraId="135BD895" w14:textId="77777777" w:rsidTr="00BE2D6A">
        <w:tc>
          <w:tcPr>
            <w:tcW w:w="1165" w:type="dxa"/>
            <w:shd w:val="clear" w:color="auto" w:fill="E2EFD9" w:themeFill="accent6" w:themeFillTint="33"/>
          </w:tcPr>
          <w:p w14:paraId="1D20EF26" w14:textId="3AEE033D"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D30E5E" w:rsidRPr="00641640">
              <w:rPr>
                <w:rFonts w:ascii="Times New Roman" w:hAnsi="Times New Roman" w:cs="Times New Roman"/>
                <w:noProof/>
                <w:sz w:val="18"/>
                <w:szCs w:val="18"/>
                <w:lang w:val="sq-AL"/>
              </w:rPr>
              <w:t>4</w:t>
            </w:r>
            <w:r w:rsidRPr="00641640">
              <w:rPr>
                <w:rFonts w:ascii="Times New Roman" w:hAnsi="Times New Roman" w:cs="Times New Roman"/>
                <w:noProof/>
                <w:sz w:val="18"/>
                <w:szCs w:val="18"/>
                <w:lang w:val="sq-AL"/>
              </w:rPr>
              <w:t>.4.1</w:t>
            </w:r>
          </w:p>
        </w:tc>
        <w:tc>
          <w:tcPr>
            <w:tcW w:w="276" w:type="dxa"/>
            <w:shd w:val="clear" w:color="auto" w:fill="E2EFD9" w:themeFill="accent6" w:themeFillTint="33"/>
          </w:tcPr>
          <w:p w14:paraId="13833FB4" w14:textId="5F539B91" w:rsidR="00FD66E4" w:rsidRPr="00641640" w:rsidRDefault="00226585"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1FDCB08C" w14:textId="77777777" w:rsidR="00FD66E4" w:rsidRPr="00641640" w:rsidRDefault="00D30E5E"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Fuqizimi i rolit proaktiv të Kuvendit në ushtrimin sistematik të funksionit mbikëqyrës ndaj veprimtarisë së Qeverisë.</w:t>
            </w:r>
          </w:p>
          <w:p w14:paraId="2D2F8707" w14:textId="6256D7C0" w:rsidR="00DE405D" w:rsidRPr="00641640" w:rsidRDefault="00DE405D" w:rsidP="002C31DE">
            <w:pPr>
              <w:pStyle w:val="T-normal"/>
              <w:spacing w:line="276" w:lineRule="auto"/>
              <w:jc w:val="both"/>
              <w:rPr>
                <w:rFonts w:ascii="Times New Roman" w:hAnsi="Times New Roman" w:cs="Times New Roman"/>
                <w:noProof/>
                <w:sz w:val="8"/>
                <w:szCs w:val="8"/>
                <w:lang w:val="sq-AL"/>
              </w:rPr>
            </w:pPr>
          </w:p>
        </w:tc>
      </w:tr>
      <w:tr w:rsidR="00FD66E4" w:rsidRPr="00641640" w14:paraId="67CC5691" w14:textId="77777777" w:rsidTr="00BE2D6A">
        <w:tc>
          <w:tcPr>
            <w:tcW w:w="1165" w:type="dxa"/>
            <w:shd w:val="clear" w:color="auto" w:fill="E2EFD9" w:themeFill="accent6" w:themeFillTint="33"/>
          </w:tcPr>
          <w:p w14:paraId="45909915" w14:textId="70C12811"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D30E5E" w:rsidRPr="00641640">
              <w:rPr>
                <w:rFonts w:ascii="Times New Roman" w:hAnsi="Times New Roman" w:cs="Times New Roman"/>
                <w:noProof/>
                <w:sz w:val="18"/>
                <w:szCs w:val="18"/>
                <w:lang w:val="sq-AL"/>
              </w:rPr>
              <w:t>4</w:t>
            </w:r>
            <w:r w:rsidRPr="00641640">
              <w:rPr>
                <w:rFonts w:ascii="Times New Roman" w:hAnsi="Times New Roman" w:cs="Times New Roman"/>
                <w:noProof/>
                <w:sz w:val="18"/>
                <w:szCs w:val="18"/>
                <w:lang w:val="sq-AL"/>
              </w:rPr>
              <w:t>.4.2</w:t>
            </w:r>
          </w:p>
        </w:tc>
        <w:tc>
          <w:tcPr>
            <w:tcW w:w="276" w:type="dxa"/>
            <w:shd w:val="clear" w:color="auto" w:fill="E2EFD9" w:themeFill="accent6" w:themeFillTint="33"/>
          </w:tcPr>
          <w:p w14:paraId="574D8302" w14:textId="2583EF21" w:rsidR="00FD66E4" w:rsidRPr="00641640" w:rsidRDefault="00226585"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0C616F11" w14:textId="77777777" w:rsidR="00FD66E4" w:rsidRPr="00641640" w:rsidRDefault="00BE2D6A"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Zbatimi i kontrollit post-legjislativ nga Kuvendi jo vetëm mbi ligjet e përafruara me acquis-në e BE-së, por edhe mbi aktet e tjera</w:t>
            </w:r>
            <w:r w:rsidR="00DE405D" w:rsidRPr="00641640">
              <w:rPr>
                <w:rFonts w:ascii="Times New Roman" w:hAnsi="Times New Roman" w:cs="Times New Roman"/>
                <w:noProof/>
                <w:sz w:val="18"/>
                <w:szCs w:val="18"/>
                <w:lang w:val="sq-AL"/>
              </w:rPr>
              <w:t>.</w:t>
            </w:r>
          </w:p>
          <w:p w14:paraId="53A7CF66" w14:textId="706DBD81" w:rsidR="00DE405D" w:rsidRPr="00641640" w:rsidRDefault="00DE405D" w:rsidP="002C31DE">
            <w:pPr>
              <w:pStyle w:val="T-normal"/>
              <w:spacing w:line="276" w:lineRule="auto"/>
              <w:jc w:val="both"/>
              <w:rPr>
                <w:rFonts w:ascii="Times New Roman" w:hAnsi="Times New Roman" w:cs="Times New Roman"/>
                <w:noProof/>
                <w:sz w:val="8"/>
                <w:szCs w:val="8"/>
                <w:lang w:val="sq-AL"/>
              </w:rPr>
            </w:pPr>
          </w:p>
        </w:tc>
      </w:tr>
      <w:tr w:rsidR="00FD66E4" w:rsidRPr="00641640" w14:paraId="777D23F9" w14:textId="77777777" w:rsidTr="00BE2D6A">
        <w:tc>
          <w:tcPr>
            <w:tcW w:w="1165" w:type="dxa"/>
            <w:shd w:val="clear" w:color="auto" w:fill="E2EFD9" w:themeFill="accent6" w:themeFillTint="33"/>
          </w:tcPr>
          <w:p w14:paraId="2521E2B4" w14:textId="3402554E"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D30E5E" w:rsidRPr="00641640">
              <w:rPr>
                <w:rFonts w:ascii="Times New Roman" w:hAnsi="Times New Roman" w:cs="Times New Roman"/>
                <w:noProof/>
                <w:sz w:val="18"/>
                <w:szCs w:val="18"/>
                <w:lang w:val="sq-AL"/>
              </w:rPr>
              <w:t>4</w:t>
            </w:r>
            <w:r w:rsidRPr="00641640">
              <w:rPr>
                <w:rFonts w:ascii="Times New Roman" w:hAnsi="Times New Roman" w:cs="Times New Roman"/>
                <w:noProof/>
                <w:sz w:val="18"/>
                <w:szCs w:val="18"/>
                <w:lang w:val="sq-AL"/>
              </w:rPr>
              <w:t>.4.3</w:t>
            </w:r>
          </w:p>
        </w:tc>
        <w:tc>
          <w:tcPr>
            <w:tcW w:w="276" w:type="dxa"/>
            <w:shd w:val="clear" w:color="auto" w:fill="E2EFD9" w:themeFill="accent6" w:themeFillTint="33"/>
          </w:tcPr>
          <w:p w14:paraId="2002C7B1" w14:textId="51799C94" w:rsidR="00FD66E4" w:rsidRPr="00641640" w:rsidRDefault="00226585"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2C31FA32" w14:textId="77777777" w:rsidR="00FD66E4" w:rsidRPr="00641640" w:rsidRDefault="00BE2D6A"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Thellimi proaktiv i mbikëqyrjes së angazhimeve të autoriteteve publike të ndërmarra në kuadër të procesit të anëtarësimit nga Kuvendi i Republikës së Shqipërisë.</w:t>
            </w:r>
          </w:p>
          <w:p w14:paraId="25B3A2E6" w14:textId="1FE92C66" w:rsidR="00DE405D" w:rsidRPr="00641640" w:rsidRDefault="00DE405D" w:rsidP="002C31DE">
            <w:pPr>
              <w:pStyle w:val="T-normal"/>
              <w:spacing w:line="276" w:lineRule="auto"/>
              <w:jc w:val="both"/>
              <w:rPr>
                <w:rFonts w:ascii="Times New Roman" w:hAnsi="Times New Roman" w:cs="Times New Roman"/>
                <w:noProof/>
                <w:sz w:val="8"/>
                <w:szCs w:val="8"/>
                <w:lang w:val="sq-AL"/>
              </w:rPr>
            </w:pPr>
          </w:p>
        </w:tc>
      </w:tr>
      <w:tr w:rsidR="00FD66E4" w:rsidRPr="00641640" w14:paraId="7F2D7F83" w14:textId="77777777" w:rsidTr="00BE2D6A">
        <w:tc>
          <w:tcPr>
            <w:tcW w:w="1165" w:type="dxa"/>
            <w:shd w:val="clear" w:color="auto" w:fill="E2EFD9" w:themeFill="accent6" w:themeFillTint="33"/>
          </w:tcPr>
          <w:p w14:paraId="16DA002B" w14:textId="0CF63E3A" w:rsidR="00FD66E4" w:rsidRPr="00641640" w:rsidRDefault="00FD66E4" w:rsidP="002C31DE">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D30E5E" w:rsidRPr="00641640">
              <w:rPr>
                <w:rFonts w:ascii="Times New Roman" w:hAnsi="Times New Roman" w:cs="Times New Roman"/>
                <w:noProof/>
                <w:sz w:val="18"/>
                <w:szCs w:val="18"/>
                <w:lang w:val="sq-AL"/>
              </w:rPr>
              <w:t>4</w:t>
            </w:r>
            <w:r w:rsidRPr="00641640">
              <w:rPr>
                <w:rFonts w:ascii="Times New Roman" w:hAnsi="Times New Roman" w:cs="Times New Roman"/>
                <w:noProof/>
                <w:sz w:val="18"/>
                <w:szCs w:val="18"/>
                <w:lang w:val="sq-AL"/>
              </w:rPr>
              <w:t>.4.4</w:t>
            </w:r>
          </w:p>
        </w:tc>
        <w:tc>
          <w:tcPr>
            <w:tcW w:w="276" w:type="dxa"/>
            <w:shd w:val="clear" w:color="auto" w:fill="E2EFD9" w:themeFill="accent6" w:themeFillTint="33"/>
          </w:tcPr>
          <w:p w14:paraId="44453D13" w14:textId="77777777" w:rsidR="00FD66E4" w:rsidRPr="00641640" w:rsidRDefault="00FD66E4" w:rsidP="002C31DE">
            <w:pPr>
              <w:pStyle w:val="T-normal"/>
              <w:spacing w:line="276" w:lineRule="auto"/>
              <w:jc w:val="both"/>
              <w:rPr>
                <w:rFonts w:ascii="Times New Roman" w:hAnsi="Times New Roman" w:cs="Times New Roman"/>
                <w:noProof/>
                <w:sz w:val="18"/>
                <w:szCs w:val="18"/>
                <w:lang w:val="sq-AL"/>
              </w:rPr>
            </w:pPr>
          </w:p>
        </w:tc>
        <w:tc>
          <w:tcPr>
            <w:tcW w:w="7909" w:type="dxa"/>
            <w:gridSpan w:val="2"/>
            <w:shd w:val="clear" w:color="auto" w:fill="E2EFD9" w:themeFill="accent6" w:themeFillTint="33"/>
          </w:tcPr>
          <w:p w14:paraId="2F44D85F" w14:textId="2E1EE684" w:rsidR="00FD66E4" w:rsidRPr="00641640" w:rsidRDefault="00BE2D6A" w:rsidP="002C31DE">
            <w:pPr>
              <w:pStyle w:val="T-normal"/>
              <w:spacing w:after="240"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Fuqizimi i rolit mbikëqyrës së Avokatit të Popullit.</w:t>
            </w:r>
          </w:p>
        </w:tc>
      </w:tr>
    </w:tbl>
    <w:p w14:paraId="6D1DA912" w14:textId="77777777" w:rsidR="00FD66E4" w:rsidRPr="00641640" w:rsidRDefault="00FD66E4" w:rsidP="003748C9">
      <w:pPr>
        <w:spacing w:after="0"/>
        <w:jc w:val="both"/>
        <w:rPr>
          <w:rFonts w:ascii="Times New Roman" w:hAnsi="Times New Roman" w:cs="Times New Roman"/>
          <w:b/>
          <w:bCs/>
          <w:i/>
          <w:iCs/>
          <w:noProof/>
          <w:sz w:val="24"/>
          <w:szCs w:val="24"/>
          <w:lang w:val="sq-AL"/>
        </w:rPr>
      </w:pPr>
    </w:p>
    <w:p w14:paraId="3EB80FE5" w14:textId="09763DA1" w:rsidR="003748C9" w:rsidRPr="00641640" w:rsidRDefault="003748C9" w:rsidP="003A395D">
      <w:pPr>
        <w:spacing w:line="276" w:lineRule="auto"/>
        <w:jc w:val="both"/>
        <w:rPr>
          <w:rFonts w:ascii="Times New Roman" w:hAnsi="Times New Roman" w:cs="Times New Roman"/>
          <w:b/>
          <w:bCs/>
          <w:i/>
          <w:iCs/>
          <w:noProof/>
          <w:sz w:val="24"/>
          <w:szCs w:val="24"/>
          <w:lang w:val="sq-AL"/>
        </w:rPr>
      </w:pPr>
      <w:r w:rsidRPr="00641640">
        <w:rPr>
          <w:rFonts w:ascii="Times New Roman" w:hAnsi="Times New Roman" w:cs="Times New Roman"/>
          <w:b/>
          <w:bCs/>
          <w:i/>
          <w:iCs/>
          <w:noProof/>
          <w:sz w:val="24"/>
          <w:szCs w:val="24"/>
          <w:lang w:val="sq-AL"/>
        </w:rPr>
        <w:lastRenderedPageBreak/>
        <w:t>Komponenti 4.1</w:t>
      </w:r>
      <w:r w:rsidR="00FF1FAA" w:rsidRPr="00641640">
        <w:rPr>
          <w:rFonts w:ascii="Times New Roman" w:hAnsi="Times New Roman" w:cs="Times New Roman"/>
          <w:noProof/>
          <w:sz w:val="24"/>
          <w:szCs w:val="24"/>
          <w:lang w:val="sq-AL"/>
        </w:rPr>
        <w:t xml:space="preserve">: </w:t>
      </w:r>
      <w:r w:rsidRPr="00641640">
        <w:rPr>
          <w:rFonts w:ascii="Times New Roman" w:hAnsi="Times New Roman" w:cs="Times New Roman"/>
          <w:b/>
          <w:bCs/>
          <w:i/>
          <w:iCs/>
          <w:noProof/>
          <w:sz w:val="24"/>
          <w:szCs w:val="24"/>
          <w:lang w:val="sq-AL"/>
        </w:rPr>
        <w:t xml:space="preserve">Mirëorganizimi i administratës publike, me institucione që performojnë mbështetur në kritere të qarta organizative dhe në përputhje me kuadrin ligjor ekzistues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E4"/>
        <w:tblLook w:val="04A0" w:firstRow="1" w:lastRow="0" w:firstColumn="1" w:lastColumn="0" w:noHBand="0" w:noVBand="1"/>
      </w:tblPr>
      <w:tblGrid>
        <w:gridCol w:w="535"/>
        <w:gridCol w:w="8815"/>
      </w:tblGrid>
      <w:tr w:rsidR="004C7E73" w:rsidRPr="00641640" w14:paraId="44CCF7CF" w14:textId="77777777" w:rsidTr="004C7E73">
        <w:tc>
          <w:tcPr>
            <w:tcW w:w="535" w:type="dxa"/>
            <w:shd w:val="clear" w:color="auto" w:fill="EAF4E4"/>
          </w:tcPr>
          <w:p w14:paraId="74368C6D" w14:textId="21FFE97A" w:rsidR="00FF1FAA" w:rsidRPr="00641640" w:rsidRDefault="00FF1FAA" w:rsidP="003A395D">
            <w:pPr>
              <w:spacing w:line="276" w:lineRule="auto"/>
              <w:rPr>
                <w:rFonts w:ascii="Times New Roman" w:hAnsi="Times New Roman" w:cs="Times New Roman"/>
                <w:b/>
                <w:bCs/>
                <w:noProof/>
                <w:color w:val="003300"/>
                <w:sz w:val="24"/>
                <w:szCs w:val="24"/>
                <w:lang w:val="sq-AL"/>
              </w:rPr>
            </w:pPr>
            <w:r w:rsidRPr="00641640">
              <w:rPr>
                <w:rFonts w:ascii="Times New Roman" w:hAnsi="Times New Roman" w:cs="Times New Roman"/>
                <w:b/>
                <w:bCs/>
                <w:noProof/>
                <w:color w:val="003300"/>
                <w:sz w:val="24"/>
                <w:szCs w:val="24"/>
                <w:lang w:val="sq-AL"/>
              </w:rPr>
              <w:t>4</w:t>
            </w:r>
            <w:r w:rsidR="004C7E73" w:rsidRPr="00641640">
              <w:rPr>
                <w:rFonts w:ascii="Times New Roman" w:hAnsi="Times New Roman" w:cs="Times New Roman"/>
                <w:b/>
                <w:bCs/>
                <w:noProof/>
                <w:color w:val="003300"/>
                <w:sz w:val="24"/>
                <w:szCs w:val="24"/>
                <w:lang w:val="sq-AL"/>
              </w:rPr>
              <w:t>.1</w:t>
            </w:r>
          </w:p>
        </w:tc>
        <w:tc>
          <w:tcPr>
            <w:tcW w:w="8815" w:type="dxa"/>
            <w:shd w:val="clear" w:color="auto" w:fill="EAF4E4"/>
          </w:tcPr>
          <w:p w14:paraId="6BB61EEA" w14:textId="41DF0037" w:rsidR="00FF1FAA" w:rsidRPr="00641640" w:rsidRDefault="004C7E73" w:rsidP="003A395D">
            <w:pPr>
              <w:spacing w:line="276" w:lineRule="auto"/>
              <w:rPr>
                <w:rFonts w:ascii="Times New Roman" w:hAnsi="Times New Roman" w:cs="Times New Roman"/>
                <w:b/>
                <w:bCs/>
                <w:noProof/>
                <w:color w:val="003300"/>
                <w:sz w:val="24"/>
                <w:szCs w:val="24"/>
                <w:lang w:val="sq-AL"/>
              </w:rPr>
            </w:pPr>
            <w:r w:rsidRPr="00641640">
              <w:rPr>
                <w:rFonts w:ascii="Times New Roman" w:hAnsi="Times New Roman" w:cs="Times New Roman"/>
                <w:b/>
                <w:bCs/>
                <w:noProof/>
                <w:color w:val="003300"/>
                <w:sz w:val="24"/>
                <w:szCs w:val="24"/>
                <w:lang w:val="sq-AL"/>
              </w:rPr>
              <w:t>Objektivi Specifik 4.1: Zhvillimi i strukturave organizative të qarta dhe të përshtatshme për të përmbushur detyrat e administratës publike në mënyrë efektive dhe efikase</w:t>
            </w:r>
          </w:p>
        </w:tc>
      </w:tr>
    </w:tbl>
    <w:p w14:paraId="5D1D4CA7" w14:textId="6FF63D7F" w:rsidR="003748C9" w:rsidRPr="00641640" w:rsidRDefault="003748C9" w:rsidP="003A395D">
      <w:pPr>
        <w:shd w:val="clear" w:color="auto" w:fill="FFFFFF" w:themeFill="background1"/>
        <w:spacing w:beforeAutospacing="1" w:line="276" w:lineRule="auto"/>
        <w:jc w:val="both"/>
        <w:textAlignment w:val="baseline"/>
        <w:rPr>
          <w:rFonts w:ascii="Times New Roman" w:hAnsi="Times New Roman" w:cs="Times New Roman"/>
          <w:b/>
          <w:bCs/>
          <w:noProof/>
          <w:color w:val="000000" w:themeColor="text1"/>
          <w:sz w:val="24"/>
          <w:szCs w:val="24"/>
          <w:lang w:val="sq-AL"/>
        </w:rPr>
      </w:pPr>
      <w:r w:rsidRPr="00641640">
        <w:rPr>
          <w:rFonts w:ascii="Times New Roman" w:hAnsi="Times New Roman" w:cs="Times New Roman"/>
          <w:b/>
          <w:bCs/>
          <w:noProof/>
          <w:color w:val="000000" w:themeColor="text1"/>
          <w:sz w:val="24"/>
          <w:szCs w:val="24"/>
          <w:lang w:val="sq-AL"/>
        </w:rPr>
        <w:t>Prioritetet</w:t>
      </w:r>
    </w:p>
    <w:p w14:paraId="1C250B8A" w14:textId="77777777" w:rsidR="00661B8B" w:rsidRPr="00641640" w:rsidRDefault="003748C9" w:rsidP="003A395D">
      <w:pPr>
        <w:spacing w:after="0"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Objektivi afatgjatë në këtë fushë është mirëpërcaktimi i tipologjisë së institucioneve të varësisë dhe shmangia e krijimit të institucioneve që qëndrojnë në kufijtë e dy apo më shumë tipologjive. Kjo sfidë e evidentuar më herët synohet të adresohet përmes rishikimit të kuadrit ligjor dhe përkatësisht ligjit nr. 90/2012 “Për organizimin dhe funksionimin e institucioneve të administratës shtetërore”, dhe përcaktimin e kritereve të qarta për secilën tipologji</w:t>
      </w:r>
      <w:r w:rsidR="00661B8B" w:rsidRPr="00641640">
        <w:rPr>
          <w:rFonts w:ascii="Times New Roman" w:hAnsi="Times New Roman" w:cs="Times New Roman"/>
          <w:noProof/>
          <w:sz w:val="24"/>
          <w:szCs w:val="24"/>
          <w:lang w:val="sq-AL"/>
        </w:rPr>
        <w:t xml:space="preserve"> të institucioneve të varësisë.</w:t>
      </w:r>
    </w:p>
    <w:p w14:paraId="117D56BE" w14:textId="77777777" w:rsidR="00661B8B" w:rsidRPr="00641640" w:rsidRDefault="00661B8B" w:rsidP="00F863ED">
      <w:pPr>
        <w:spacing w:line="276" w:lineRule="auto"/>
        <w:jc w:val="both"/>
        <w:rPr>
          <w:rFonts w:ascii="Times New Roman" w:hAnsi="Times New Roman" w:cs="Times New Roman"/>
          <w:noProof/>
          <w:sz w:val="24"/>
          <w:szCs w:val="24"/>
          <w:lang w:val="sq-AL"/>
        </w:rPr>
      </w:pPr>
    </w:p>
    <w:p w14:paraId="6F072AB0" w14:textId="77777777" w:rsidR="00003663" w:rsidRPr="00641640" w:rsidRDefault="00003663" w:rsidP="00F863ED">
      <w:p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imes New Roman" w:hAnsi="Times New Roman" w:cs="Times New Roman"/>
          <w:b/>
          <w:bCs/>
          <w:noProof/>
          <w:sz w:val="24"/>
          <w:szCs w:val="24"/>
          <w:lang w:val="sq-AL"/>
        </w:rPr>
        <w:t>Rezultatet e pritshme nga zbatimi i masave që lidhen me Objektivin Specifik</w:t>
      </w:r>
    </w:p>
    <w:p w14:paraId="47D80DD7" w14:textId="10620A0D" w:rsidR="0063538C" w:rsidRPr="00641640" w:rsidRDefault="00003663" w:rsidP="00F863ED">
      <w:pPr>
        <w:spacing w:line="276" w:lineRule="auto"/>
        <w:jc w:val="both"/>
        <w:rPr>
          <w:rFonts w:ascii="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 xml:space="preserve">Objektivi Specifik </w:t>
      </w:r>
      <w:r w:rsidR="00381A48" w:rsidRPr="00641640">
        <w:rPr>
          <w:rFonts w:ascii="Times New Roman" w:eastAsia="Times New Roman" w:hAnsi="Times New Roman" w:cs="Times New Roman"/>
          <w:noProof/>
          <w:sz w:val="24"/>
          <w:szCs w:val="24"/>
          <w:lang w:val="sq-AL"/>
        </w:rPr>
        <w:t>4</w:t>
      </w:r>
      <w:r w:rsidRPr="00641640">
        <w:rPr>
          <w:rFonts w:ascii="Times New Roman" w:eastAsia="Times New Roman" w:hAnsi="Times New Roman" w:cs="Times New Roman"/>
          <w:noProof/>
          <w:sz w:val="24"/>
          <w:szCs w:val="24"/>
          <w:lang w:val="sq-AL"/>
        </w:rPr>
        <w:t>.1,</w:t>
      </w:r>
      <w:r w:rsidR="0063538C" w:rsidRPr="00641640">
        <w:rPr>
          <w:rFonts w:ascii="Times New Roman" w:eastAsia="Times New Roman" w:hAnsi="Times New Roman" w:cs="Times New Roman"/>
          <w:noProof/>
          <w:sz w:val="24"/>
          <w:szCs w:val="24"/>
          <w:lang w:val="sq-AL"/>
        </w:rPr>
        <w:t xml:space="preserve"> </w:t>
      </w:r>
      <w:r w:rsidR="00917A65" w:rsidRPr="00641640">
        <w:rPr>
          <w:rFonts w:ascii="Times New Roman" w:eastAsia="Times New Roman" w:hAnsi="Times New Roman" w:cs="Times New Roman"/>
          <w:noProof/>
          <w:sz w:val="24"/>
          <w:szCs w:val="24"/>
          <w:lang w:val="sq-AL"/>
        </w:rPr>
        <w:t>duke patur</w:t>
      </w:r>
      <w:r w:rsidR="0063538C" w:rsidRPr="00641640">
        <w:rPr>
          <w:rFonts w:ascii="Times New Roman" w:eastAsia="Times New Roman" w:hAnsi="Times New Roman" w:cs="Times New Roman"/>
          <w:noProof/>
          <w:sz w:val="24"/>
          <w:szCs w:val="24"/>
          <w:lang w:val="sq-AL"/>
        </w:rPr>
        <w:t xml:space="preserve"> si q</w:t>
      </w:r>
      <w:r w:rsidR="00FD11C6" w:rsidRPr="00641640">
        <w:rPr>
          <w:rFonts w:ascii="Times New Roman" w:eastAsia="Times New Roman" w:hAnsi="Times New Roman" w:cs="Times New Roman"/>
          <w:noProof/>
          <w:sz w:val="24"/>
          <w:szCs w:val="24"/>
          <w:lang w:val="sq-AL"/>
        </w:rPr>
        <w:t>ë</w:t>
      </w:r>
      <w:r w:rsidR="0063538C" w:rsidRPr="00641640">
        <w:rPr>
          <w:rFonts w:ascii="Times New Roman" w:eastAsia="Times New Roman" w:hAnsi="Times New Roman" w:cs="Times New Roman"/>
          <w:noProof/>
          <w:sz w:val="24"/>
          <w:szCs w:val="24"/>
          <w:lang w:val="sq-AL"/>
        </w:rPr>
        <w:t xml:space="preserve">llim </w:t>
      </w:r>
      <w:r w:rsidR="004D3535" w:rsidRPr="00641640">
        <w:rPr>
          <w:rFonts w:ascii="Times New Roman" w:hAnsi="Times New Roman" w:cs="Times New Roman"/>
          <w:noProof/>
          <w:sz w:val="24"/>
          <w:szCs w:val="24"/>
          <w:lang w:val="sq-AL"/>
        </w:rPr>
        <w:t>mirëorganizimi</w:t>
      </w:r>
      <w:r w:rsidR="0063538C" w:rsidRPr="00641640">
        <w:rPr>
          <w:rFonts w:ascii="Times New Roman" w:hAnsi="Times New Roman" w:cs="Times New Roman"/>
          <w:noProof/>
          <w:sz w:val="24"/>
          <w:szCs w:val="24"/>
          <w:lang w:val="sq-AL"/>
        </w:rPr>
        <w:t xml:space="preserve">n </w:t>
      </w:r>
      <w:r w:rsidR="004D3535" w:rsidRPr="00641640">
        <w:rPr>
          <w:rFonts w:ascii="Times New Roman" w:hAnsi="Times New Roman" w:cs="Times New Roman"/>
          <w:noProof/>
          <w:sz w:val="24"/>
          <w:szCs w:val="24"/>
          <w:lang w:val="sq-AL"/>
        </w:rPr>
        <w:t>administratës publike, me institucione që performojnë mbështetur në kritere të qarta organizative dhe në përputhje me kuadrin ligjor ekzistues</w:t>
      </w:r>
      <w:r w:rsidR="0063538C" w:rsidRPr="00641640">
        <w:rPr>
          <w:rFonts w:ascii="Times New Roman" w:hAnsi="Times New Roman" w:cs="Times New Roman"/>
          <w:noProof/>
          <w:sz w:val="24"/>
          <w:szCs w:val="24"/>
          <w:lang w:val="sq-AL"/>
        </w:rPr>
        <w:t>, pr</w:t>
      </w:r>
      <w:r w:rsidR="00E65447" w:rsidRPr="00641640">
        <w:rPr>
          <w:rFonts w:ascii="Times New Roman" w:hAnsi="Times New Roman" w:cs="Times New Roman"/>
          <w:noProof/>
          <w:sz w:val="24"/>
          <w:szCs w:val="24"/>
          <w:lang w:val="sq-AL"/>
        </w:rPr>
        <w:t>i</w:t>
      </w:r>
      <w:r w:rsidR="0063538C" w:rsidRPr="00641640">
        <w:rPr>
          <w:rFonts w:ascii="Times New Roman" w:hAnsi="Times New Roman" w:cs="Times New Roman"/>
          <w:noProof/>
          <w:sz w:val="24"/>
          <w:szCs w:val="24"/>
          <w:lang w:val="sq-AL"/>
        </w:rPr>
        <w:t>tet t</w:t>
      </w:r>
      <w:r w:rsidR="00FD11C6" w:rsidRPr="00641640">
        <w:rPr>
          <w:rFonts w:ascii="Times New Roman" w:hAnsi="Times New Roman" w:cs="Times New Roman"/>
          <w:noProof/>
          <w:sz w:val="24"/>
          <w:szCs w:val="24"/>
          <w:lang w:val="sq-AL"/>
        </w:rPr>
        <w:t>ë</w:t>
      </w:r>
      <w:r w:rsidR="0063538C" w:rsidRPr="00641640">
        <w:rPr>
          <w:rFonts w:ascii="Times New Roman" w:hAnsi="Times New Roman" w:cs="Times New Roman"/>
          <w:noProof/>
          <w:sz w:val="24"/>
          <w:szCs w:val="24"/>
          <w:lang w:val="sq-AL"/>
        </w:rPr>
        <w:t xml:space="preserve"> ja</w:t>
      </w:r>
      <w:r w:rsidR="00E65447" w:rsidRPr="00641640">
        <w:rPr>
          <w:rFonts w:ascii="Times New Roman" w:hAnsi="Times New Roman" w:cs="Times New Roman"/>
          <w:noProof/>
          <w:sz w:val="24"/>
          <w:szCs w:val="24"/>
          <w:lang w:val="sq-AL"/>
        </w:rPr>
        <w:t>p</w:t>
      </w:r>
      <w:r w:rsidR="00FD11C6" w:rsidRPr="00641640">
        <w:rPr>
          <w:rFonts w:ascii="Times New Roman" w:hAnsi="Times New Roman" w:cs="Times New Roman"/>
          <w:noProof/>
          <w:sz w:val="24"/>
          <w:szCs w:val="24"/>
          <w:lang w:val="sq-AL"/>
        </w:rPr>
        <w:t>ë</w:t>
      </w:r>
      <w:r w:rsidR="0063538C" w:rsidRPr="00641640">
        <w:rPr>
          <w:rFonts w:ascii="Times New Roman" w:hAnsi="Times New Roman" w:cs="Times New Roman"/>
          <w:noProof/>
          <w:sz w:val="24"/>
          <w:szCs w:val="24"/>
          <w:lang w:val="sq-AL"/>
        </w:rPr>
        <w:t xml:space="preserve"> rezultatet q</w:t>
      </w:r>
      <w:r w:rsidR="00FD11C6" w:rsidRPr="00641640">
        <w:rPr>
          <w:rFonts w:ascii="Times New Roman" w:hAnsi="Times New Roman" w:cs="Times New Roman"/>
          <w:noProof/>
          <w:sz w:val="24"/>
          <w:szCs w:val="24"/>
          <w:lang w:val="sq-AL"/>
        </w:rPr>
        <w:t>ë</w:t>
      </w:r>
      <w:r w:rsidR="0063538C" w:rsidRPr="00641640">
        <w:rPr>
          <w:rFonts w:ascii="Times New Roman" w:hAnsi="Times New Roman" w:cs="Times New Roman"/>
          <w:noProof/>
          <w:sz w:val="24"/>
          <w:szCs w:val="24"/>
          <w:lang w:val="sq-AL"/>
        </w:rPr>
        <w:t xml:space="preserve"> p</w:t>
      </w:r>
      <w:r w:rsidR="00FD11C6" w:rsidRPr="00641640">
        <w:rPr>
          <w:rFonts w:ascii="Times New Roman" w:hAnsi="Times New Roman" w:cs="Times New Roman"/>
          <w:noProof/>
          <w:sz w:val="24"/>
          <w:szCs w:val="24"/>
          <w:lang w:val="sq-AL"/>
        </w:rPr>
        <w:t>ë</w:t>
      </w:r>
      <w:r w:rsidR="0063538C" w:rsidRPr="00641640">
        <w:rPr>
          <w:rFonts w:ascii="Times New Roman" w:hAnsi="Times New Roman" w:cs="Times New Roman"/>
          <w:noProof/>
          <w:sz w:val="24"/>
          <w:szCs w:val="24"/>
          <w:lang w:val="sq-AL"/>
        </w:rPr>
        <w:t>rmenden m</w:t>
      </w:r>
      <w:r w:rsidR="00FD11C6" w:rsidRPr="00641640">
        <w:rPr>
          <w:rFonts w:ascii="Times New Roman" w:hAnsi="Times New Roman" w:cs="Times New Roman"/>
          <w:noProof/>
          <w:sz w:val="24"/>
          <w:szCs w:val="24"/>
          <w:lang w:val="sq-AL"/>
        </w:rPr>
        <w:t>ë</w:t>
      </w:r>
      <w:r w:rsidR="0063538C" w:rsidRPr="00641640">
        <w:rPr>
          <w:rFonts w:ascii="Times New Roman" w:hAnsi="Times New Roman" w:cs="Times New Roman"/>
          <w:noProof/>
          <w:sz w:val="24"/>
          <w:szCs w:val="24"/>
          <w:lang w:val="sq-AL"/>
        </w:rPr>
        <w:t xml:space="preserve"> posht</w:t>
      </w:r>
      <w:r w:rsidR="00FD11C6" w:rsidRPr="00641640">
        <w:rPr>
          <w:rFonts w:ascii="Times New Roman" w:hAnsi="Times New Roman" w:cs="Times New Roman"/>
          <w:noProof/>
          <w:sz w:val="24"/>
          <w:szCs w:val="24"/>
          <w:lang w:val="sq-AL"/>
        </w:rPr>
        <w:t>ë</w:t>
      </w:r>
      <w:r w:rsidR="0063538C" w:rsidRPr="00641640">
        <w:rPr>
          <w:rFonts w:ascii="Times New Roman" w:hAnsi="Times New Roman" w:cs="Times New Roman"/>
          <w:noProof/>
          <w:sz w:val="24"/>
          <w:szCs w:val="24"/>
          <w:lang w:val="sq-AL"/>
        </w:rPr>
        <w:t>:</w:t>
      </w:r>
    </w:p>
    <w:p w14:paraId="0576143B" w14:textId="68E88934" w:rsidR="00003663" w:rsidRPr="00641640" w:rsidRDefault="00003663" w:rsidP="00F863ED">
      <w:pPr>
        <w:spacing w:line="276" w:lineRule="auto"/>
        <w:jc w:val="both"/>
        <w:rPr>
          <w:rFonts w:ascii="Times New Roman" w:eastAsiaTheme="minorHAnsi"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1:</w:t>
      </w:r>
      <w:r w:rsidRPr="00641640">
        <w:rPr>
          <w:rFonts w:ascii="Times New Roman" w:eastAsia="Times New Roman" w:hAnsi="Times New Roman" w:cs="Times New Roman"/>
          <w:noProof/>
          <w:sz w:val="24"/>
          <w:szCs w:val="24"/>
          <w:lang w:val="sq-AL"/>
        </w:rPr>
        <w:t xml:space="preserve"> </w:t>
      </w:r>
      <w:r w:rsidR="00F01C97" w:rsidRPr="00641640">
        <w:rPr>
          <w:rFonts w:ascii="Times New Roman" w:hAnsi="Times New Roman" w:cs="Times New Roman"/>
          <w:noProof/>
          <w:sz w:val="24"/>
          <w:szCs w:val="24"/>
          <w:lang w:val="sq-AL"/>
        </w:rPr>
        <w:t>Përcaktimi i kritereve të sakta për secilën tipologji të institucioneve të varësisë</w:t>
      </w:r>
      <w:r w:rsidRPr="00641640">
        <w:rPr>
          <w:rFonts w:ascii="Times New Roman" w:eastAsiaTheme="minorHAnsi" w:hAnsi="Times New Roman" w:cs="Times New Roman"/>
          <w:noProof/>
          <w:sz w:val="24"/>
          <w:szCs w:val="24"/>
          <w:lang w:val="sq-AL"/>
        </w:rPr>
        <w:t xml:space="preserve"> </w:t>
      </w:r>
      <w:r w:rsidR="00F01C97" w:rsidRPr="00641640">
        <w:rPr>
          <w:rFonts w:ascii="Times New Roman" w:eastAsiaTheme="minorHAnsi" w:hAnsi="Times New Roman" w:cs="Times New Roman"/>
          <w:noProof/>
          <w:sz w:val="24"/>
          <w:szCs w:val="24"/>
          <w:lang w:val="sq-AL"/>
        </w:rPr>
        <w:t>n</w:t>
      </w:r>
      <w:r w:rsidR="00FD11C6" w:rsidRPr="00641640">
        <w:rPr>
          <w:rFonts w:ascii="Times New Roman" w:eastAsiaTheme="minorHAnsi" w:hAnsi="Times New Roman" w:cs="Times New Roman"/>
          <w:noProof/>
          <w:sz w:val="24"/>
          <w:szCs w:val="24"/>
          <w:lang w:val="sq-AL"/>
        </w:rPr>
        <w:t>ë</w:t>
      </w:r>
      <w:r w:rsidR="00F01C97" w:rsidRPr="00641640">
        <w:rPr>
          <w:rFonts w:ascii="Times New Roman" w:eastAsiaTheme="minorHAnsi" w:hAnsi="Times New Roman" w:cs="Times New Roman"/>
          <w:noProof/>
          <w:sz w:val="24"/>
          <w:szCs w:val="24"/>
          <w:lang w:val="sq-AL"/>
        </w:rPr>
        <w:t>p</w:t>
      </w:r>
      <w:r w:rsidR="00FD11C6" w:rsidRPr="00641640">
        <w:rPr>
          <w:rFonts w:ascii="Times New Roman" w:eastAsiaTheme="minorHAnsi" w:hAnsi="Times New Roman" w:cs="Times New Roman"/>
          <w:noProof/>
          <w:sz w:val="24"/>
          <w:szCs w:val="24"/>
          <w:lang w:val="sq-AL"/>
        </w:rPr>
        <w:t>ë</w:t>
      </w:r>
      <w:r w:rsidR="00F01C97" w:rsidRPr="00641640">
        <w:rPr>
          <w:rFonts w:ascii="Times New Roman" w:eastAsiaTheme="minorHAnsi" w:hAnsi="Times New Roman" w:cs="Times New Roman"/>
          <w:noProof/>
          <w:sz w:val="24"/>
          <w:szCs w:val="24"/>
          <w:lang w:val="sq-AL"/>
        </w:rPr>
        <w:t>rmjet rishikimit t</w:t>
      </w:r>
      <w:r w:rsidR="00FD11C6" w:rsidRPr="00641640">
        <w:rPr>
          <w:rFonts w:ascii="Times New Roman" w:eastAsiaTheme="minorHAnsi" w:hAnsi="Times New Roman" w:cs="Times New Roman"/>
          <w:noProof/>
          <w:sz w:val="24"/>
          <w:szCs w:val="24"/>
          <w:lang w:val="sq-AL"/>
        </w:rPr>
        <w:t>ë</w:t>
      </w:r>
      <w:r w:rsidR="00F01C97" w:rsidRPr="00641640">
        <w:rPr>
          <w:rFonts w:ascii="Times New Roman" w:eastAsiaTheme="minorHAnsi" w:hAnsi="Times New Roman" w:cs="Times New Roman"/>
          <w:noProof/>
          <w:sz w:val="24"/>
          <w:szCs w:val="24"/>
          <w:lang w:val="sq-AL"/>
        </w:rPr>
        <w:t xml:space="preserve"> </w:t>
      </w:r>
      <w:r w:rsidR="001B7A7E" w:rsidRPr="00641640">
        <w:rPr>
          <w:rFonts w:ascii="Times New Roman" w:hAnsi="Times New Roman" w:cs="Times New Roman"/>
          <w:noProof/>
          <w:sz w:val="24"/>
          <w:szCs w:val="24"/>
          <w:lang w:val="sq-AL"/>
        </w:rPr>
        <w:t>ligjit nr. 90/2012 “</w:t>
      </w:r>
      <w:r w:rsidR="001B7A7E" w:rsidRPr="00641640">
        <w:rPr>
          <w:rFonts w:ascii="Times New Roman" w:hAnsi="Times New Roman" w:cs="Times New Roman"/>
          <w:i/>
          <w:iCs/>
          <w:noProof/>
          <w:sz w:val="24"/>
          <w:szCs w:val="24"/>
          <w:lang w:val="sq-AL"/>
        </w:rPr>
        <w:t>Për organizimin dhe funksionimin e administratës shtetërore</w:t>
      </w:r>
      <w:r w:rsidR="001B7A7E" w:rsidRPr="00641640">
        <w:rPr>
          <w:rFonts w:ascii="Times New Roman" w:hAnsi="Times New Roman" w:cs="Times New Roman"/>
          <w:noProof/>
          <w:sz w:val="24"/>
          <w:szCs w:val="24"/>
          <w:lang w:val="sq-AL"/>
        </w:rPr>
        <w:t>”;</w:t>
      </w:r>
    </w:p>
    <w:p w14:paraId="1DF2BDCA" w14:textId="6D8583F0" w:rsidR="00003663" w:rsidRPr="00641640" w:rsidRDefault="00003663" w:rsidP="00F863ED">
      <w:pPr>
        <w:spacing w:line="276" w:lineRule="auto"/>
        <w:jc w:val="both"/>
        <w:rPr>
          <w:rFonts w:ascii="Times New Roman" w:eastAsiaTheme="minorHAnsi" w:hAnsi="Times New Roman" w:cs="Times New Roman"/>
          <w:bCs/>
          <w:noProof/>
          <w:sz w:val="24"/>
          <w:szCs w:val="24"/>
          <w:lang w:val="sq-AL"/>
        </w:rPr>
      </w:pPr>
      <w:r w:rsidRPr="00641640">
        <w:rPr>
          <w:rFonts w:ascii="Times New Roman" w:eastAsia="Times New Roman" w:hAnsi="Times New Roman" w:cs="Times New Roman"/>
          <w:b/>
          <w:bCs/>
          <w:noProof/>
          <w:sz w:val="24"/>
          <w:szCs w:val="24"/>
          <w:lang w:val="sq-AL"/>
        </w:rPr>
        <w:t>Rezultati 2:</w:t>
      </w:r>
      <w:r w:rsidRPr="00641640">
        <w:rPr>
          <w:rFonts w:ascii="Times New Roman" w:eastAsia="Times New Roman" w:hAnsi="Times New Roman" w:cs="Times New Roman"/>
          <w:noProof/>
          <w:sz w:val="24"/>
          <w:szCs w:val="24"/>
          <w:lang w:val="sq-AL"/>
        </w:rPr>
        <w:t xml:space="preserve"> </w:t>
      </w:r>
      <w:r w:rsidR="00B773DA" w:rsidRPr="00641640">
        <w:rPr>
          <w:rFonts w:ascii="Times New Roman" w:eastAsiaTheme="minorHAnsi" w:hAnsi="Times New Roman" w:cs="Times New Roman"/>
          <w:bCs/>
          <w:noProof/>
          <w:sz w:val="24"/>
          <w:szCs w:val="24"/>
          <w:lang w:val="sq-AL"/>
        </w:rPr>
        <w:t>Hartimi dhe miratimi i kuadrit t</w:t>
      </w:r>
      <w:r w:rsidR="00FD11C6" w:rsidRPr="00641640">
        <w:rPr>
          <w:rFonts w:ascii="Times New Roman" w:eastAsiaTheme="minorHAnsi" w:hAnsi="Times New Roman" w:cs="Times New Roman"/>
          <w:bCs/>
          <w:noProof/>
          <w:sz w:val="24"/>
          <w:szCs w:val="24"/>
          <w:lang w:val="sq-AL"/>
        </w:rPr>
        <w:t>ë</w:t>
      </w:r>
      <w:r w:rsidR="00B773DA" w:rsidRPr="00641640">
        <w:rPr>
          <w:rFonts w:ascii="Times New Roman" w:eastAsiaTheme="minorHAnsi" w:hAnsi="Times New Roman" w:cs="Times New Roman"/>
          <w:bCs/>
          <w:noProof/>
          <w:sz w:val="24"/>
          <w:szCs w:val="24"/>
          <w:lang w:val="sq-AL"/>
        </w:rPr>
        <w:t xml:space="preserve"> plot</w:t>
      </w:r>
      <w:r w:rsidR="00FD11C6" w:rsidRPr="00641640">
        <w:rPr>
          <w:rFonts w:ascii="Times New Roman" w:eastAsiaTheme="minorHAnsi" w:hAnsi="Times New Roman" w:cs="Times New Roman"/>
          <w:bCs/>
          <w:noProof/>
          <w:sz w:val="24"/>
          <w:szCs w:val="24"/>
          <w:lang w:val="sq-AL"/>
        </w:rPr>
        <w:t>ë</w:t>
      </w:r>
      <w:r w:rsidR="00B773DA" w:rsidRPr="00641640">
        <w:rPr>
          <w:rFonts w:ascii="Times New Roman" w:eastAsiaTheme="minorHAnsi" w:hAnsi="Times New Roman" w:cs="Times New Roman"/>
          <w:bCs/>
          <w:noProof/>
          <w:sz w:val="24"/>
          <w:szCs w:val="24"/>
          <w:lang w:val="sq-AL"/>
        </w:rPr>
        <w:t xml:space="preserve"> ligjor </w:t>
      </w:r>
      <w:r w:rsidR="00FD11C6" w:rsidRPr="00641640">
        <w:rPr>
          <w:rFonts w:ascii="Times New Roman" w:hAnsi="Times New Roman" w:cs="Times New Roman"/>
          <w:noProof/>
          <w:sz w:val="24"/>
          <w:szCs w:val="24"/>
          <w:lang w:val="sq-AL"/>
        </w:rPr>
        <w:t>në zbatim të ligjit nr. 90/2012 “</w:t>
      </w:r>
      <w:r w:rsidR="00FD11C6" w:rsidRPr="00641640">
        <w:rPr>
          <w:rFonts w:ascii="Times New Roman" w:hAnsi="Times New Roman" w:cs="Times New Roman"/>
          <w:i/>
          <w:iCs/>
          <w:noProof/>
          <w:sz w:val="24"/>
          <w:szCs w:val="24"/>
          <w:lang w:val="sq-AL"/>
        </w:rPr>
        <w:t>Për organizimin dhe funksionimin e administratës shtetërore</w:t>
      </w:r>
      <w:r w:rsidR="00FD11C6" w:rsidRPr="00641640">
        <w:rPr>
          <w:rFonts w:ascii="Times New Roman" w:hAnsi="Times New Roman" w:cs="Times New Roman"/>
          <w:noProof/>
          <w:sz w:val="24"/>
          <w:szCs w:val="24"/>
          <w:lang w:val="sq-AL"/>
        </w:rPr>
        <w:t>”, të rishikuar.</w:t>
      </w:r>
    </w:p>
    <w:p w14:paraId="1B3882CD" w14:textId="0FEFD840" w:rsidR="00003663" w:rsidRPr="00641640" w:rsidRDefault="00003663"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kryesore:</w:t>
      </w:r>
      <w:r w:rsidRPr="00641640">
        <w:rPr>
          <w:rFonts w:ascii="Times New Roman" w:eastAsia="Times New Roman" w:hAnsi="Times New Roman" w:cs="Times New Roman"/>
          <w:noProof/>
          <w:sz w:val="24"/>
          <w:szCs w:val="24"/>
          <w:lang w:val="sq-AL"/>
        </w:rPr>
        <w:t xml:space="preserve"> </w:t>
      </w:r>
      <w:r w:rsidR="0095564E" w:rsidRPr="00641640">
        <w:rPr>
          <w:rFonts w:ascii="Times New Roman" w:eastAsia="Times New Roman" w:hAnsi="Times New Roman" w:cs="Times New Roman"/>
          <w:noProof/>
          <w:sz w:val="24"/>
          <w:szCs w:val="24"/>
          <w:lang w:val="sq-AL"/>
        </w:rPr>
        <w:t>Departa</w:t>
      </w:r>
      <w:r w:rsidR="00D32525" w:rsidRPr="00641640">
        <w:rPr>
          <w:rFonts w:ascii="Times New Roman" w:eastAsia="Times New Roman" w:hAnsi="Times New Roman" w:cs="Times New Roman"/>
          <w:noProof/>
          <w:sz w:val="24"/>
          <w:szCs w:val="24"/>
          <w:lang w:val="sq-AL"/>
        </w:rPr>
        <w:t>menti i Administrat</w:t>
      </w:r>
      <w:r w:rsidR="00FD11C6" w:rsidRPr="00641640">
        <w:rPr>
          <w:rFonts w:ascii="Times New Roman" w:eastAsia="Times New Roman" w:hAnsi="Times New Roman" w:cs="Times New Roman"/>
          <w:noProof/>
          <w:sz w:val="24"/>
          <w:szCs w:val="24"/>
          <w:lang w:val="sq-AL"/>
        </w:rPr>
        <w:t>ë</w:t>
      </w:r>
      <w:r w:rsidR="00D32525" w:rsidRPr="00641640">
        <w:rPr>
          <w:rFonts w:ascii="Times New Roman" w:eastAsia="Times New Roman" w:hAnsi="Times New Roman" w:cs="Times New Roman"/>
          <w:noProof/>
          <w:sz w:val="24"/>
          <w:szCs w:val="24"/>
          <w:lang w:val="sq-AL"/>
        </w:rPr>
        <w:t>s Publike</w:t>
      </w:r>
      <w:r w:rsidR="00720441">
        <w:rPr>
          <w:rFonts w:ascii="Times New Roman" w:eastAsia="Times New Roman" w:hAnsi="Times New Roman" w:cs="Times New Roman"/>
          <w:noProof/>
          <w:sz w:val="24"/>
          <w:szCs w:val="24"/>
          <w:lang w:val="sq-AL"/>
        </w:rPr>
        <w:t>, Këshilli i Ministrave</w:t>
      </w:r>
      <w:r w:rsidR="00406925">
        <w:rPr>
          <w:rFonts w:ascii="Times New Roman" w:eastAsia="Times New Roman" w:hAnsi="Times New Roman" w:cs="Times New Roman"/>
          <w:noProof/>
          <w:sz w:val="24"/>
          <w:szCs w:val="24"/>
          <w:lang w:val="sq-AL"/>
        </w:rPr>
        <w:t>.</w:t>
      </w:r>
    </w:p>
    <w:p w14:paraId="61FEB7D1" w14:textId="7F47D4B4" w:rsidR="00003663" w:rsidRPr="00641640" w:rsidDel="001914E6" w:rsidRDefault="00003663"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kontributore:</w:t>
      </w:r>
      <w:r w:rsidRPr="00641640">
        <w:rPr>
          <w:rFonts w:ascii="Times New Roman" w:eastAsia="Times New Roman" w:hAnsi="Times New Roman" w:cs="Times New Roman"/>
          <w:noProof/>
          <w:sz w:val="24"/>
          <w:szCs w:val="24"/>
          <w:lang w:val="sq-AL"/>
        </w:rPr>
        <w:t xml:space="preserve"> </w:t>
      </w:r>
      <w:r w:rsidR="00381A48" w:rsidRPr="00641640">
        <w:rPr>
          <w:rFonts w:ascii="Times New Roman" w:eastAsia="Times New Roman" w:hAnsi="Times New Roman" w:cs="Times New Roman"/>
          <w:noProof/>
          <w:sz w:val="24"/>
          <w:szCs w:val="24"/>
          <w:lang w:val="sq-AL"/>
        </w:rPr>
        <w:t>N/A</w:t>
      </w:r>
      <w:r w:rsidR="00406925">
        <w:rPr>
          <w:rFonts w:ascii="Times New Roman" w:eastAsia="Times New Roman" w:hAnsi="Times New Roman" w:cs="Times New Roman"/>
          <w:noProof/>
          <w:sz w:val="24"/>
          <w:szCs w:val="24"/>
          <w:lang w:val="sq-AL"/>
        </w:rPr>
        <w:t>.</w:t>
      </w:r>
    </w:p>
    <w:p w14:paraId="03DEBE1C" w14:textId="77777777" w:rsidR="00003663" w:rsidRPr="00641640" w:rsidRDefault="00003663" w:rsidP="003A395D">
      <w:pPr>
        <w:spacing w:after="0" w:line="276" w:lineRule="auto"/>
        <w:jc w:val="both"/>
        <w:rPr>
          <w:rFonts w:ascii="Times New Roman" w:hAnsi="Times New Roman" w:cs="Times New Roman"/>
          <w:noProof/>
          <w:sz w:val="24"/>
          <w:szCs w:val="24"/>
          <w:lang w:val="sq-AL"/>
        </w:rPr>
      </w:pPr>
    </w:p>
    <w:p w14:paraId="32E0A42D" w14:textId="5870189E" w:rsidR="00003663" w:rsidRPr="00641640" w:rsidRDefault="00003663"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Masat dhe aktivitetet</w:t>
      </w:r>
    </w:p>
    <w:p w14:paraId="02F62DEE" w14:textId="33D01D51" w:rsidR="003748C9" w:rsidRPr="00641640" w:rsidRDefault="003748C9" w:rsidP="003A395D">
      <w:pPr>
        <w:spacing w:after="0" w:line="276" w:lineRule="auto"/>
        <w:jc w:val="both"/>
        <w:rPr>
          <w:rFonts w:ascii="Times New Roman" w:hAnsi="Times New Roman" w:cs="Times New Roman"/>
          <w:noProof/>
          <w:sz w:val="24"/>
          <w:szCs w:val="24"/>
          <w:lang w:val="sq-AL"/>
        </w:rPr>
      </w:pPr>
      <w:r w:rsidRPr="00641640">
        <w:rPr>
          <w:rFonts w:ascii="Times New Roman" w:hAnsi="Times New Roman" w:cs="Times New Roman"/>
          <w:bCs/>
          <w:noProof/>
          <w:color w:val="000000" w:themeColor="text1"/>
          <w:sz w:val="24"/>
          <w:szCs w:val="24"/>
          <w:lang w:val="sq-AL"/>
        </w:rPr>
        <w:t xml:space="preserve">Ky </w:t>
      </w:r>
      <w:r w:rsidR="009051D8" w:rsidRPr="00641640">
        <w:rPr>
          <w:rFonts w:ascii="Times New Roman" w:hAnsi="Times New Roman" w:cs="Times New Roman"/>
          <w:bCs/>
          <w:noProof/>
          <w:color w:val="000000" w:themeColor="text1"/>
          <w:sz w:val="24"/>
          <w:szCs w:val="24"/>
          <w:lang w:val="sq-AL"/>
        </w:rPr>
        <w:t>o</w:t>
      </w:r>
      <w:r w:rsidRPr="00641640">
        <w:rPr>
          <w:rFonts w:ascii="Times New Roman" w:hAnsi="Times New Roman" w:cs="Times New Roman"/>
          <w:bCs/>
          <w:noProof/>
          <w:color w:val="000000" w:themeColor="text1"/>
          <w:sz w:val="24"/>
          <w:szCs w:val="24"/>
          <w:lang w:val="sq-AL"/>
        </w:rPr>
        <w:t xml:space="preserve">bjektiv </w:t>
      </w:r>
      <w:r w:rsidR="009051D8" w:rsidRPr="00641640">
        <w:rPr>
          <w:rFonts w:ascii="Times New Roman" w:hAnsi="Times New Roman" w:cs="Times New Roman"/>
          <w:bCs/>
          <w:noProof/>
          <w:color w:val="000000" w:themeColor="text1"/>
          <w:sz w:val="24"/>
          <w:szCs w:val="24"/>
          <w:lang w:val="sq-AL"/>
        </w:rPr>
        <w:t>s</w:t>
      </w:r>
      <w:r w:rsidRPr="00641640">
        <w:rPr>
          <w:rFonts w:ascii="Times New Roman" w:hAnsi="Times New Roman" w:cs="Times New Roman"/>
          <w:bCs/>
          <w:noProof/>
          <w:color w:val="000000" w:themeColor="text1"/>
          <w:sz w:val="24"/>
          <w:szCs w:val="24"/>
          <w:lang w:val="sq-AL"/>
        </w:rPr>
        <w:t>pecifik do të zbatohet përmes masave të mëposhtme, teksa aktivitetet konkrete për periudhën e parë të zbatimit të SNRAP 202</w:t>
      </w:r>
      <w:r w:rsidR="002F5182" w:rsidRPr="00641640">
        <w:rPr>
          <w:rFonts w:ascii="Times New Roman" w:hAnsi="Times New Roman" w:cs="Times New Roman"/>
          <w:bCs/>
          <w:noProof/>
          <w:color w:val="000000" w:themeColor="text1"/>
          <w:sz w:val="24"/>
          <w:szCs w:val="24"/>
          <w:lang w:val="sq-AL"/>
        </w:rPr>
        <w:t>5</w:t>
      </w:r>
      <w:r w:rsidRPr="00641640">
        <w:rPr>
          <w:rFonts w:ascii="Times New Roman" w:hAnsi="Times New Roman" w:cs="Times New Roman"/>
          <w:bCs/>
          <w:noProof/>
          <w:color w:val="000000" w:themeColor="text1"/>
          <w:sz w:val="24"/>
          <w:szCs w:val="24"/>
          <w:lang w:val="sq-AL"/>
        </w:rPr>
        <w:t>-2030 mund të gjenden në Planin e Veprimit 202</w:t>
      </w:r>
      <w:r w:rsidR="002F5182" w:rsidRPr="00641640">
        <w:rPr>
          <w:rFonts w:ascii="Times New Roman" w:hAnsi="Times New Roman" w:cs="Times New Roman"/>
          <w:bCs/>
          <w:noProof/>
          <w:color w:val="000000" w:themeColor="text1"/>
          <w:sz w:val="24"/>
          <w:szCs w:val="24"/>
          <w:lang w:val="sq-AL"/>
        </w:rPr>
        <w:t>5</w:t>
      </w:r>
      <w:r w:rsidRPr="00641640">
        <w:rPr>
          <w:rFonts w:ascii="Times New Roman" w:hAnsi="Times New Roman" w:cs="Times New Roman"/>
          <w:bCs/>
          <w:noProof/>
          <w:color w:val="000000" w:themeColor="text1"/>
          <w:sz w:val="24"/>
          <w:szCs w:val="24"/>
          <w:lang w:val="sq-AL"/>
        </w:rPr>
        <w:t>-202</w:t>
      </w:r>
      <w:r w:rsidR="002F5182" w:rsidRPr="00641640">
        <w:rPr>
          <w:rFonts w:ascii="Times New Roman" w:hAnsi="Times New Roman" w:cs="Times New Roman"/>
          <w:bCs/>
          <w:noProof/>
          <w:color w:val="000000" w:themeColor="text1"/>
          <w:sz w:val="24"/>
          <w:szCs w:val="24"/>
          <w:lang w:val="sq-AL"/>
        </w:rPr>
        <w:t>7</w:t>
      </w:r>
      <w:r w:rsidRPr="00641640">
        <w:rPr>
          <w:rFonts w:ascii="Times New Roman" w:hAnsi="Times New Roman" w:cs="Times New Roman"/>
          <w:bCs/>
          <w:noProof/>
          <w:color w:val="000000" w:themeColor="text1"/>
          <w:sz w:val="24"/>
          <w:szCs w:val="24"/>
          <w:lang w:val="sq-AL"/>
        </w:rPr>
        <w:t xml:space="preserve"> (Aneksi nr. 1).</w:t>
      </w:r>
    </w:p>
    <w:p w14:paraId="394CAF5F" w14:textId="59E7B45B" w:rsidR="003748C9" w:rsidRDefault="003748C9" w:rsidP="003A395D">
      <w:pPr>
        <w:spacing w:after="0" w:line="276" w:lineRule="auto"/>
        <w:jc w:val="both"/>
        <w:rPr>
          <w:rFonts w:ascii="Times New Roman" w:hAnsi="Times New Roman" w:cs="Times New Roman"/>
          <w:noProof/>
          <w:sz w:val="24"/>
          <w:szCs w:val="24"/>
          <w:lang w:val="sq-AL"/>
        </w:rPr>
      </w:pPr>
    </w:p>
    <w:p w14:paraId="28FEDE34" w14:textId="549F2DE2" w:rsidR="00B222B9" w:rsidRDefault="00B222B9" w:rsidP="003A395D">
      <w:pPr>
        <w:spacing w:after="0" w:line="276" w:lineRule="auto"/>
        <w:jc w:val="both"/>
        <w:rPr>
          <w:rFonts w:ascii="Times New Roman" w:hAnsi="Times New Roman" w:cs="Times New Roman"/>
          <w:noProof/>
          <w:sz w:val="24"/>
          <w:szCs w:val="24"/>
          <w:lang w:val="sq-AL"/>
        </w:rPr>
      </w:pPr>
    </w:p>
    <w:p w14:paraId="79B00B65" w14:textId="77777777" w:rsidR="00B222B9" w:rsidRPr="00641640" w:rsidRDefault="00B222B9" w:rsidP="003A395D">
      <w:pPr>
        <w:spacing w:after="0" w:line="276" w:lineRule="auto"/>
        <w:jc w:val="both"/>
        <w:rPr>
          <w:rFonts w:ascii="Times New Roman" w:hAnsi="Times New Roman" w:cs="Times New Roman"/>
          <w:noProof/>
          <w:sz w:val="24"/>
          <w:szCs w:val="24"/>
          <w:lang w:val="sq-AL"/>
        </w:rPr>
      </w:pPr>
    </w:p>
    <w:tbl>
      <w:tblPr>
        <w:tblStyle w:val="TableGridIDEA4"/>
        <w:tblW w:w="0" w:type="auto"/>
        <w:tblLook w:val="04A0" w:firstRow="1" w:lastRow="0" w:firstColumn="1" w:lastColumn="0" w:noHBand="0" w:noVBand="1"/>
      </w:tblPr>
      <w:tblGrid>
        <w:gridCol w:w="805"/>
        <w:gridCol w:w="8545"/>
      </w:tblGrid>
      <w:tr w:rsidR="003748C9" w:rsidRPr="00641640" w14:paraId="24D9E2A6" w14:textId="77777777" w:rsidTr="00807A32">
        <w:trPr>
          <w:trHeight w:val="980"/>
        </w:trPr>
        <w:tc>
          <w:tcPr>
            <w:tcW w:w="9350" w:type="dxa"/>
            <w:gridSpan w:val="2"/>
            <w:shd w:val="clear" w:color="auto" w:fill="C5E0B3" w:themeFill="accent6" w:themeFillTint="66"/>
          </w:tcPr>
          <w:p w14:paraId="4DF0AAEB" w14:textId="08D1A8DA" w:rsidR="003748C9" w:rsidRPr="00641640" w:rsidRDefault="003748C9" w:rsidP="003A395D">
            <w:pPr>
              <w:spacing w:before="240" w:after="160" w:line="276" w:lineRule="auto"/>
              <w:jc w:val="center"/>
              <w:textAlignment w:val="baseline"/>
              <w:rPr>
                <w:rFonts w:ascii="Times New Roman" w:hAnsi="Times New Roman" w:cs="Times New Roman"/>
                <w:b/>
                <w:i/>
                <w:noProof/>
                <w:sz w:val="22"/>
                <w:szCs w:val="22"/>
                <w:lang w:val="sq-AL"/>
              </w:rPr>
            </w:pPr>
            <w:r w:rsidRPr="00641640">
              <w:rPr>
                <w:rFonts w:ascii="Times New Roman" w:hAnsi="Times New Roman" w:cs="Times New Roman"/>
                <w:b/>
                <w:i/>
                <w:noProof/>
                <w:sz w:val="22"/>
                <w:szCs w:val="22"/>
                <w:lang w:val="sq-AL"/>
              </w:rPr>
              <w:lastRenderedPageBreak/>
              <w:t xml:space="preserve">Objektivi Specifik </w:t>
            </w:r>
            <w:r w:rsidR="002F5182" w:rsidRPr="00641640">
              <w:rPr>
                <w:rFonts w:ascii="Times New Roman" w:hAnsi="Times New Roman" w:cs="Times New Roman"/>
                <w:b/>
                <w:i/>
                <w:noProof/>
                <w:sz w:val="22"/>
                <w:szCs w:val="22"/>
                <w:lang w:val="sq-AL"/>
              </w:rPr>
              <w:t>4</w:t>
            </w:r>
            <w:r w:rsidRPr="00641640">
              <w:rPr>
                <w:rFonts w:ascii="Times New Roman" w:hAnsi="Times New Roman" w:cs="Times New Roman"/>
                <w:b/>
                <w:i/>
                <w:noProof/>
                <w:sz w:val="22"/>
                <w:szCs w:val="22"/>
                <w:lang w:val="sq-AL"/>
              </w:rPr>
              <w:t>.1: Zhvillimi i strukturave organizative të qarta dhe të përshtatshme për të përmbushur detyrat e administratës publike në mënyrë efektive dhe efikase.</w:t>
            </w:r>
          </w:p>
        </w:tc>
      </w:tr>
      <w:tr w:rsidR="003748C9" w:rsidRPr="00641640" w14:paraId="005B156E" w14:textId="77777777" w:rsidTr="00807A32">
        <w:tc>
          <w:tcPr>
            <w:tcW w:w="805" w:type="dxa"/>
            <w:shd w:val="clear" w:color="auto" w:fill="C5E0B3" w:themeFill="accent6" w:themeFillTint="66"/>
          </w:tcPr>
          <w:p w14:paraId="55D8B5A6" w14:textId="447CC32F" w:rsidR="003748C9" w:rsidRPr="00641640" w:rsidRDefault="003748C9" w:rsidP="003A395D">
            <w:pPr>
              <w:spacing w:beforeAutospacing="1" w:after="160"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2F5182" w:rsidRPr="00641640">
              <w:rPr>
                <w:rFonts w:ascii="Times New Roman" w:hAnsi="Times New Roman" w:cs="Times New Roman"/>
                <w:b/>
                <w:noProof/>
                <w:sz w:val="22"/>
                <w:szCs w:val="22"/>
                <w:lang w:val="sq-AL"/>
              </w:rPr>
              <w:t>4</w:t>
            </w:r>
            <w:r w:rsidRPr="00641640">
              <w:rPr>
                <w:rFonts w:ascii="Times New Roman" w:hAnsi="Times New Roman" w:cs="Times New Roman"/>
                <w:b/>
                <w:noProof/>
                <w:sz w:val="22"/>
                <w:szCs w:val="22"/>
                <w:lang w:val="sq-AL"/>
              </w:rPr>
              <w:t>.1.1</w:t>
            </w:r>
          </w:p>
        </w:tc>
        <w:tc>
          <w:tcPr>
            <w:tcW w:w="8545" w:type="dxa"/>
            <w:shd w:val="clear" w:color="auto" w:fill="auto"/>
          </w:tcPr>
          <w:p w14:paraId="75BD75BF" w14:textId="77777777" w:rsidR="003748C9" w:rsidRPr="00641640" w:rsidRDefault="003748C9"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Rishikimi i ligjit nr. 90/2012 “Për organizimin dhe funksionimin e administratës shtetërore”, me qëllim përcaktimin e kritereve të qarta për secilën tipologji të institucioneve të varësisë.</w:t>
            </w:r>
          </w:p>
        </w:tc>
      </w:tr>
      <w:tr w:rsidR="003748C9" w:rsidRPr="00641640" w14:paraId="6B020A81" w14:textId="77777777" w:rsidTr="00807A32">
        <w:tc>
          <w:tcPr>
            <w:tcW w:w="805" w:type="dxa"/>
            <w:shd w:val="clear" w:color="auto" w:fill="C5E0B3" w:themeFill="accent6" w:themeFillTint="66"/>
          </w:tcPr>
          <w:p w14:paraId="4151C5F2" w14:textId="416AB17E" w:rsidR="003748C9" w:rsidRPr="00641640" w:rsidRDefault="003748C9" w:rsidP="003A395D">
            <w:pPr>
              <w:spacing w:beforeAutospacing="1" w:after="160"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2F5182" w:rsidRPr="00641640">
              <w:rPr>
                <w:rFonts w:ascii="Times New Roman" w:hAnsi="Times New Roman" w:cs="Times New Roman"/>
                <w:b/>
                <w:noProof/>
                <w:sz w:val="22"/>
                <w:szCs w:val="22"/>
                <w:lang w:val="sq-AL"/>
              </w:rPr>
              <w:t>4</w:t>
            </w:r>
            <w:r w:rsidRPr="00641640">
              <w:rPr>
                <w:rFonts w:ascii="Times New Roman" w:hAnsi="Times New Roman" w:cs="Times New Roman"/>
                <w:b/>
                <w:noProof/>
                <w:sz w:val="22"/>
                <w:szCs w:val="22"/>
                <w:lang w:val="sq-AL"/>
              </w:rPr>
              <w:t>.1.2</w:t>
            </w:r>
          </w:p>
        </w:tc>
        <w:tc>
          <w:tcPr>
            <w:tcW w:w="8545" w:type="dxa"/>
            <w:shd w:val="clear" w:color="auto" w:fill="auto"/>
          </w:tcPr>
          <w:p w14:paraId="7923BC77" w14:textId="77777777" w:rsidR="003748C9" w:rsidRPr="00641640" w:rsidRDefault="003748C9"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 xml:space="preserve">Plotësimi i kuadrit rregullator në zbatim të ligjit nr. 90/2012 “Për organizimin dhe funksionimin e administratës shtetërore”, të rishikuar. </w:t>
            </w:r>
          </w:p>
        </w:tc>
      </w:tr>
    </w:tbl>
    <w:p w14:paraId="2B368E80" w14:textId="77777777" w:rsidR="003748C9" w:rsidRPr="00641640" w:rsidRDefault="003748C9" w:rsidP="003A395D">
      <w:pPr>
        <w:spacing w:line="276" w:lineRule="auto"/>
        <w:jc w:val="both"/>
        <w:rPr>
          <w:rFonts w:ascii="Times New Roman" w:hAnsi="Times New Roman" w:cs="Times New Roman"/>
          <w:noProof/>
          <w:sz w:val="24"/>
          <w:szCs w:val="24"/>
          <w:lang w:val="sq-AL"/>
        </w:rPr>
      </w:pPr>
    </w:p>
    <w:p w14:paraId="688AEC29" w14:textId="77777777" w:rsidR="002F05A5" w:rsidRPr="00727CD7" w:rsidRDefault="002F05A5" w:rsidP="002F05A5">
      <w:pPr>
        <w:spacing w:after="0" w:line="276" w:lineRule="auto"/>
        <w:jc w:val="both"/>
        <w:rPr>
          <w:rFonts w:ascii="Times New Roman" w:hAnsi="Times New Roman" w:cs="Times New Roman"/>
          <w:noProof/>
          <w:sz w:val="16"/>
          <w:szCs w:val="16"/>
          <w:lang w:val="sq-AL"/>
        </w:rPr>
      </w:pPr>
    </w:p>
    <w:p w14:paraId="1D74FC83" w14:textId="3168CB33" w:rsidR="00C8749D" w:rsidRPr="00641640" w:rsidRDefault="00C8749D"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Lidhja e treguesve kryesorë të performancës më Qëllimin e Politikës I</w:t>
      </w:r>
      <w:r w:rsidR="002F5182" w:rsidRPr="00641640">
        <w:rPr>
          <w:rFonts w:ascii="Times New Roman" w:hAnsi="Times New Roman" w:cs="Times New Roman"/>
          <w:b/>
          <w:bCs/>
          <w:noProof/>
          <w:sz w:val="24"/>
          <w:szCs w:val="24"/>
          <w:lang w:val="sq-AL"/>
        </w:rPr>
        <w:t>V</w:t>
      </w:r>
      <w:r w:rsidRPr="00641640">
        <w:rPr>
          <w:rFonts w:ascii="Times New Roman" w:hAnsi="Times New Roman" w:cs="Times New Roman"/>
          <w:b/>
          <w:bCs/>
          <w:noProof/>
          <w:sz w:val="24"/>
          <w:szCs w:val="24"/>
          <w:lang w:val="sq-AL"/>
        </w:rPr>
        <w:t xml:space="preserve">, Objektivin Specifik </w:t>
      </w:r>
      <w:r w:rsidR="002F5182" w:rsidRPr="00641640">
        <w:rPr>
          <w:rFonts w:ascii="Times New Roman" w:hAnsi="Times New Roman" w:cs="Times New Roman"/>
          <w:b/>
          <w:bCs/>
          <w:noProof/>
          <w:sz w:val="24"/>
          <w:szCs w:val="24"/>
          <w:lang w:val="sq-AL"/>
        </w:rPr>
        <w:t>4.1</w:t>
      </w:r>
      <w:r w:rsidRPr="00641640">
        <w:rPr>
          <w:rFonts w:ascii="Times New Roman" w:hAnsi="Times New Roman" w:cs="Times New Roman"/>
          <w:b/>
          <w:bCs/>
          <w:noProof/>
          <w:sz w:val="24"/>
          <w:szCs w:val="24"/>
          <w:lang w:val="sq-AL"/>
        </w:rPr>
        <w:t xml:space="preserve"> dhe institucionet përgjegjëse.</w:t>
      </w:r>
    </w:p>
    <w:tbl>
      <w:tblPr>
        <w:tblStyle w:val="TableGrid"/>
        <w:tblW w:w="93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2"/>
        <w:gridCol w:w="1980"/>
        <w:gridCol w:w="2160"/>
        <w:gridCol w:w="2340"/>
        <w:gridCol w:w="1890"/>
      </w:tblGrid>
      <w:tr w:rsidR="00C8749D" w:rsidRPr="00641640" w14:paraId="011B130C" w14:textId="77777777" w:rsidTr="00050400">
        <w:trPr>
          <w:trHeight w:val="15"/>
        </w:trPr>
        <w:tc>
          <w:tcPr>
            <w:tcW w:w="982" w:type="dxa"/>
            <w:shd w:val="clear" w:color="auto" w:fill="C5E0B3" w:themeFill="accent6" w:themeFillTint="66"/>
            <w:tcMar>
              <w:top w:w="15" w:type="dxa"/>
              <w:left w:w="75" w:type="dxa"/>
              <w:bottom w:w="15" w:type="dxa"/>
              <w:right w:w="75" w:type="dxa"/>
            </w:tcMar>
          </w:tcPr>
          <w:p w14:paraId="2C07E7BC"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p>
          <w:p w14:paraId="4651EF56"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Lloji i treguesit</w:t>
            </w:r>
          </w:p>
        </w:tc>
        <w:tc>
          <w:tcPr>
            <w:tcW w:w="1980" w:type="dxa"/>
            <w:shd w:val="clear" w:color="auto" w:fill="C5E0B3" w:themeFill="accent6" w:themeFillTint="66"/>
            <w:tcMar>
              <w:top w:w="15" w:type="dxa"/>
              <w:left w:w="75" w:type="dxa"/>
              <w:bottom w:w="15" w:type="dxa"/>
              <w:right w:w="75" w:type="dxa"/>
            </w:tcMar>
          </w:tcPr>
          <w:p w14:paraId="5057A07D"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p>
          <w:p w14:paraId="4CB4CAFA" w14:textId="6759F43D" w:rsidR="00C8749D" w:rsidRPr="00641640" w:rsidRDefault="00125698"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T</w:t>
            </w:r>
            <w:r w:rsidR="00C8749D" w:rsidRPr="00641640">
              <w:rPr>
                <w:rFonts w:ascii="Times New Roman" w:eastAsia="Arial" w:hAnsi="Times New Roman" w:cs="Times New Roman"/>
                <w:b/>
                <w:bCs/>
                <w:noProof/>
                <w:sz w:val="22"/>
                <w:szCs w:val="22"/>
                <w:lang w:val="sq-AL"/>
              </w:rPr>
              <w:t xml:space="preserve">reguesit </w:t>
            </w:r>
            <w:r w:rsidRPr="00641640">
              <w:rPr>
                <w:rFonts w:ascii="Times New Roman" w:eastAsia="Arial" w:hAnsi="Times New Roman" w:cs="Times New Roman"/>
                <w:b/>
                <w:bCs/>
                <w:noProof/>
                <w:sz w:val="22"/>
                <w:szCs w:val="22"/>
                <w:lang w:val="sq-AL"/>
              </w:rPr>
              <w:t>i</w:t>
            </w:r>
            <w:r w:rsidR="00C8749D" w:rsidRPr="00641640">
              <w:rPr>
                <w:rFonts w:ascii="Times New Roman" w:eastAsia="Arial" w:hAnsi="Times New Roman" w:cs="Times New Roman"/>
                <w:b/>
                <w:bCs/>
                <w:noProof/>
                <w:sz w:val="22"/>
                <w:szCs w:val="22"/>
                <w:lang w:val="sq-AL"/>
              </w:rPr>
              <w:t xml:space="preserve"> performancës</w:t>
            </w:r>
          </w:p>
          <w:p w14:paraId="4EDBC46B" w14:textId="77777777" w:rsidR="00C8749D" w:rsidRPr="00641640" w:rsidRDefault="00C8749D" w:rsidP="003A395D">
            <w:pPr>
              <w:spacing w:line="276" w:lineRule="auto"/>
              <w:jc w:val="center"/>
              <w:rPr>
                <w:rFonts w:ascii="Times New Roman" w:eastAsia="Arial" w:hAnsi="Times New Roman" w:cs="Times New Roman"/>
                <w:noProof/>
                <w:sz w:val="22"/>
                <w:szCs w:val="22"/>
                <w:lang w:val="sq-AL"/>
              </w:rPr>
            </w:pPr>
          </w:p>
        </w:tc>
        <w:tc>
          <w:tcPr>
            <w:tcW w:w="2160" w:type="dxa"/>
            <w:shd w:val="clear" w:color="auto" w:fill="C5E0B3" w:themeFill="accent6" w:themeFillTint="66"/>
          </w:tcPr>
          <w:p w14:paraId="600B106A"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p>
          <w:p w14:paraId="2381A0A8"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Qëllimin e Politikës</w:t>
            </w:r>
          </w:p>
        </w:tc>
        <w:tc>
          <w:tcPr>
            <w:tcW w:w="2340" w:type="dxa"/>
            <w:shd w:val="clear" w:color="auto" w:fill="C5E0B3" w:themeFill="accent6" w:themeFillTint="66"/>
          </w:tcPr>
          <w:p w14:paraId="3EFD00F5"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p>
          <w:p w14:paraId="0B1A8C20"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Objektivin Specifik</w:t>
            </w:r>
          </w:p>
        </w:tc>
        <w:tc>
          <w:tcPr>
            <w:tcW w:w="1890" w:type="dxa"/>
            <w:shd w:val="clear" w:color="auto" w:fill="C5E0B3" w:themeFill="accent6" w:themeFillTint="66"/>
            <w:tcMar>
              <w:top w:w="15" w:type="dxa"/>
              <w:left w:w="75" w:type="dxa"/>
              <w:bottom w:w="15" w:type="dxa"/>
              <w:right w:w="75" w:type="dxa"/>
            </w:tcMar>
          </w:tcPr>
          <w:p w14:paraId="147E684B" w14:textId="77777777" w:rsidR="00C8749D" w:rsidRPr="00641640" w:rsidRDefault="00C8749D" w:rsidP="003A395D">
            <w:pPr>
              <w:spacing w:line="276" w:lineRule="auto"/>
              <w:jc w:val="center"/>
              <w:rPr>
                <w:rFonts w:ascii="Times New Roman" w:eastAsia="Arial" w:hAnsi="Times New Roman" w:cs="Times New Roman"/>
                <w:noProof/>
                <w:sz w:val="22"/>
                <w:szCs w:val="22"/>
                <w:lang w:val="sq-AL"/>
              </w:rPr>
            </w:pPr>
          </w:p>
          <w:p w14:paraId="5073AF5B" w14:textId="77777777" w:rsidR="00C8749D" w:rsidRPr="00641640" w:rsidRDefault="00C8749D"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Institucioni përgjegjës</w:t>
            </w:r>
          </w:p>
        </w:tc>
      </w:tr>
      <w:tr w:rsidR="002F5182" w:rsidRPr="00641640" w14:paraId="0044083B" w14:textId="77777777" w:rsidTr="002F5182">
        <w:trPr>
          <w:trHeight w:val="965"/>
        </w:trPr>
        <w:tc>
          <w:tcPr>
            <w:tcW w:w="982" w:type="dxa"/>
            <w:shd w:val="clear" w:color="auto" w:fill="auto"/>
            <w:tcMar>
              <w:top w:w="15" w:type="dxa"/>
              <w:left w:w="75" w:type="dxa"/>
              <w:bottom w:w="15" w:type="dxa"/>
              <w:right w:w="75" w:type="dxa"/>
            </w:tcMar>
          </w:tcPr>
          <w:p w14:paraId="3B42D331" w14:textId="77777777" w:rsidR="0033788D" w:rsidRPr="00641640" w:rsidRDefault="0033788D" w:rsidP="000535EC">
            <w:pPr>
              <w:spacing w:line="276" w:lineRule="auto"/>
              <w:jc w:val="center"/>
              <w:rPr>
                <w:rFonts w:ascii="Times New Roman" w:hAnsi="Times New Roman" w:cs="Times New Roman"/>
                <w:noProof/>
                <w:sz w:val="22"/>
                <w:szCs w:val="22"/>
                <w:lang w:val="sq-AL"/>
              </w:rPr>
            </w:pPr>
          </w:p>
          <w:p w14:paraId="5694C5AC" w14:textId="007456ED" w:rsidR="002F5182" w:rsidRPr="00641640" w:rsidRDefault="000F4905" w:rsidP="000535EC">
            <w:pPr>
              <w:spacing w:line="276" w:lineRule="auto"/>
              <w:jc w:val="center"/>
              <w:rPr>
                <w:rFonts w:ascii="Times New Roman" w:hAnsi="Times New Roman" w:cs="Times New Roman"/>
                <w:noProof/>
                <w:sz w:val="22"/>
                <w:szCs w:val="22"/>
                <w:lang w:val="sq-AL"/>
              </w:rPr>
            </w:pPr>
            <w:r>
              <w:rPr>
                <w:rFonts w:ascii="Times New Roman" w:hAnsi="Times New Roman" w:cs="Times New Roman"/>
                <w:noProof/>
                <w:sz w:val="22"/>
                <w:szCs w:val="22"/>
                <w:lang w:val="sq-AL"/>
              </w:rPr>
              <w:t>Rezultati</w:t>
            </w:r>
          </w:p>
        </w:tc>
        <w:tc>
          <w:tcPr>
            <w:tcW w:w="1980" w:type="dxa"/>
            <w:shd w:val="clear" w:color="auto" w:fill="auto"/>
            <w:tcMar>
              <w:top w:w="15" w:type="dxa"/>
              <w:left w:w="75" w:type="dxa"/>
              <w:bottom w:w="15" w:type="dxa"/>
              <w:right w:w="75" w:type="dxa"/>
            </w:tcMar>
          </w:tcPr>
          <w:p w14:paraId="526161FA" w14:textId="77777777" w:rsidR="009C75DC" w:rsidRPr="00641640" w:rsidRDefault="009C75DC" w:rsidP="009C75DC">
            <w:pPr>
              <w:pStyle w:val="T-number"/>
              <w:spacing w:line="276" w:lineRule="auto"/>
              <w:ind w:left="0" w:firstLine="0"/>
              <w:rPr>
                <w:rFonts w:ascii="Times New Roman" w:eastAsiaTheme="minorHAnsi" w:hAnsi="Times New Roman" w:cs="Times New Roman"/>
                <w:noProof/>
                <w:sz w:val="22"/>
                <w:szCs w:val="22"/>
                <w:lang w:val="sq-AL"/>
              </w:rPr>
            </w:pPr>
          </w:p>
          <w:p w14:paraId="24704256" w14:textId="048F40BB" w:rsidR="002F5182" w:rsidRPr="00641640" w:rsidRDefault="009C75DC" w:rsidP="009C75DC">
            <w:pPr>
              <w:pStyle w:val="T-number"/>
              <w:spacing w:line="276" w:lineRule="auto"/>
              <w:ind w:left="0" w:firstLine="0"/>
              <w:rPr>
                <w:rFonts w:ascii="Times New Roman" w:eastAsiaTheme="minorHAnsi" w:hAnsi="Times New Roman" w:cs="Times New Roman"/>
                <w:noProof/>
                <w:sz w:val="22"/>
                <w:szCs w:val="22"/>
                <w:lang w:val="sq-AL"/>
              </w:rPr>
            </w:pPr>
            <w:r w:rsidRPr="00641640">
              <w:rPr>
                <w:rFonts w:ascii="Times New Roman" w:eastAsiaTheme="minorHAnsi" w:hAnsi="Times New Roman" w:cs="Times New Roman"/>
                <w:noProof/>
                <w:sz w:val="22"/>
                <w:szCs w:val="22"/>
                <w:lang w:val="sq-AL"/>
              </w:rPr>
              <w:t xml:space="preserve">4.1.1 </w:t>
            </w:r>
            <w:r w:rsidR="005B14B5">
              <w:rPr>
                <w:rFonts w:ascii="Times New Roman" w:eastAsiaTheme="minorHAnsi" w:hAnsi="Times New Roman" w:cs="Times New Roman"/>
                <w:noProof/>
                <w:sz w:val="22"/>
                <w:szCs w:val="22"/>
                <w:lang w:val="sq-AL"/>
              </w:rPr>
              <w:t>Ulja e n</w:t>
            </w:r>
            <w:r w:rsidRPr="00641640">
              <w:rPr>
                <w:rFonts w:ascii="Times New Roman" w:eastAsiaTheme="minorHAnsi" w:hAnsi="Times New Roman" w:cs="Times New Roman"/>
                <w:noProof/>
                <w:sz w:val="22"/>
                <w:szCs w:val="22"/>
                <w:lang w:val="sq-AL"/>
              </w:rPr>
              <w:t>umri</w:t>
            </w:r>
            <w:r w:rsidR="005B14B5">
              <w:rPr>
                <w:rFonts w:ascii="Times New Roman" w:eastAsiaTheme="minorHAnsi" w:hAnsi="Times New Roman" w:cs="Times New Roman"/>
                <w:noProof/>
                <w:sz w:val="22"/>
                <w:szCs w:val="22"/>
                <w:lang w:val="sq-AL"/>
              </w:rPr>
              <w:t>t</w:t>
            </w:r>
            <w:r w:rsidRPr="00641640">
              <w:rPr>
                <w:rFonts w:ascii="Times New Roman" w:eastAsiaTheme="minorHAnsi" w:hAnsi="Times New Roman" w:cs="Times New Roman"/>
                <w:noProof/>
                <w:sz w:val="22"/>
                <w:szCs w:val="22"/>
                <w:lang w:val="sq-AL"/>
              </w:rPr>
              <w:t xml:space="preserve"> </w:t>
            </w:r>
            <w:r w:rsidR="005B14B5">
              <w:rPr>
                <w:rFonts w:ascii="Times New Roman" w:eastAsiaTheme="minorHAnsi" w:hAnsi="Times New Roman" w:cs="Times New Roman"/>
                <w:noProof/>
                <w:sz w:val="22"/>
                <w:szCs w:val="22"/>
                <w:lang w:val="sq-AL"/>
              </w:rPr>
              <w:t>të</w:t>
            </w:r>
            <w:r w:rsidRPr="00641640">
              <w:rPr>
                <w:rFonts w:ascii="Times New Roman" w:eastAsiaTheme="minorHAnsi" w:hAnsi="Times New Roman" w:cs="Times New Roman"/>
                <w:noProof/>
                <w:sz w:val="22"/>
                <w:szCs w:val="22"/>
                <w:lang w:val="sq-AL"/>
              </w:rPr>
              <w:t xml:space="preserve"> institucione</w:t>
            </w:r>
            <w:r w:rsidR="005B14B5">
              <w:rPr>
                <w:rFonts w:ascii="Times New Roman" w:eastAsiaTheme="minorHAnsi" w:hAnsi="Times New Roman" w:cs="Times New Roman"/>
                <w:noProof/>
                <w:sz w:val="22"/>
                <w:szCs w:val="22"/>
                <w:lang w:val="sq-AL"/>
              </w:rPr>
              <w:t>ve</w:t>
            </w:r>
            <w:r w:rsidRPr="00641640">
              <w:rPr>
                <w:rFonts w:ascii="Times New Roman" w:eastAsiaTheme="minorHAnsi" w:hAnsi="Times New Roman" w:cs="Times New Roman"/>
                <w:noProof/>
                <w:sz w:val="22"/>
                <w:szCs w:val="22"/>
                <w:lang w:val="sq-AL"/>
              </w:rPr>
              <w:t xml:space="preserve"> në varësi të Kryeministrit</w:t>
            </w:r>
            <w:r w:rsidR="00DD50CE">
              <w:rPr>
                <w:rFonts w:ascii="Times New Roman" w:eastAsiaTheme="minorHAnsi" w:hAnsi="Times New Roman" w:cs="Times New Roman"/>
                <w:noProof/>
                <w:sz w:val="22"/>
                <w:szCs w:val="22"/>
                <w:lang w:val="sq-AL"/>
              </w:rPr>
              <w:t>.</w:t>
            </w:r>
          </w:p>
        </w:tc>
        <w:tc>
          <w:tcPr>
            <w:tcW w:w="2160" w:type="dxa"/>
            <w:shd w:val="clear" w:color="auto" w:fill="auto"/>
          </w:tcPr>
          <w:p w14:paraId="6798AFF8" w14:textId="77777777" w:rsidR="009C75DC" w:rsidRPr="00641640" w:rsidRDefault="009C75DC" w:rsidP="003A395D">
            <w:pPr>
              <w:spacing w:line="276" w:lineRule="auto"/>
              <w:rPr>
                <w:rFonts w:ascii="Times New Roman" w:eastAsia="Arial" w:hAnsi="Times New Roman" w:cs="Times New Roman"/>
                <w:noProof/>
                <w:sz w:val="22"/>
                <w:szCs w:val="22"/>
                <w:lang w:val="sq-AL"/>
              </w:rPr>
            </w:pPr>
          </w:p>
          <w:p w14:paraId="01AD9179" w14:textId="7CF895D3" w:rsidR="002F5182" w:rsidRPr="00641640" w:rsidRDefault="009C75DC"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Organizimi, llogaridhënia dhe mbikëqyrja e administratës</w:t>
            </w:r>
          </w:p>
        </w:tc>
        <w:tc>
          <w:tcPr>
            <w:tcW w:w="2340" w:type="dxa"/>
            <w:shd w:val="clear" w:color="auto" w:fill="auto"/>
          </w:tcPr>
          <w:p w14:paraId="54F91C66" w14:textId="77777777" w:rsidR="002F5182" w:rsidRPr="00641640" w:rsidRDefault="002F5182" w:rsidP="003A395D">
            <w:pPr>
              <w:spacing w:line="276" w:lineRule="auto"/>
              <w:rPr>
                <w:rFonts w:ascii="Times New Roman" w:eastAsia="Arial" w:hAnsi="Times New Roman" w:cs="Times New Roman"/>
                <w:noProof/>
                <w:sz w:val="22"/>
                <w:szCs w:val="22"/>
                <w:lang w:val="sq-AL"/>
              </w:rPr>
            </w:pPr>
          </w:p>
          <w:p w14:paraId="7AB27338" w14:textId="100C6957" w:rsidR="000E06CE" w:rsidRPr="00641640" w:rsidRDefault="000E06CE"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4.1 Zhvillimi i strukturave organizative të qarta dhe të përshtatshme për të përmbushur detyrat e administratës publike në mënyrë efektive dhe efikase.</w:t>
            </w:r>
          </w:p>
        </w:tc>
        <w:tc>
          <w:tcPr>
            <w:tcW w:w="1890" w:type="dxa"/>
            <w:shd w:val="clear" w:color="auto" w:fill="auto"/>
            <w:tcMar>
              <w:top w:w="15" w:type="dxa"/>
              <w:left w:w="75" w:type="dxa"/>
              <w:bottom w:w="15" w:type="dxa"/>
              <w:right w:w="75" w:type="dxa"/>
            </w:tcMar>
          </w:tcPr>
          <w:p w14:paraId="628C90D7" w14:textId="77777777" w:rsidR="002F5182" w:rsidRPr="00641640" w:rsidRDefault="002F5182" w:rsidP="003A395D">
            <w:pPr>
              <w:spacing w:line="276" w:lineRule="auto"/>
              <w:jc w:val="center"/>
              <w:rPr>
                <w:rFonts w:ascii="Times New Roman" w:eastAsia="Arial" w:hAnsi="Times New Roman" w:cs="Times New Roman"/>
                <w:noProof/>
                <w:sz w:val="22"/>
                <w:szCs w:val="22"/>
                <w:lang w:val="sq-AL"/>
              </w:rPr>
            </w:pPr>
          </w:p>
          <w:p w14:paraId="2AFB2841" w14:textId="2F99E825" w:rsidR="000E06CE" w:rsidRPr="00641640" w:rsidRDefault="000E06CE" w:rsidP="003A395D">
            <w:pPr>
              <w:spacing w:line="276" w:lineRule="auto"/>
              <w:jc w:val="center"/>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DAP</w:t>
            </w:r>
            <w:r w:rsidR="009C3C63">
              <w:rPr>
                <w:rFonts w:ascii="Times New Roman" w:eastAsia="Arial" w:hAnsi="Times New Roman" w:cs="Times New Roman"/>
                <w:noProof/>
                <w:sz w:val="22"/>
                <w:szCs w:val="22"/>
                <w:lang w:val="sq-AL"/>
              </w:rPr>
              <w:t>, Kryeministria</w:t>
            </w:r>
          </w:p>
        </w:tc>
      </w:tr>
      <w:tr w:rsidR="00C8749D" w:rsidRPr="00641640" w14:paraId="32EE4522" w14:textId="77777777" w:rsidTr="00C25671">
        <w:trPr>
          <w:trHeight w:val="965"/>
        </w:trPr>
        <w:tc>
          <w:tcPr>
            <w:tcW w:w="982" w:type="dxa"/>
            <w:shd w:val="clear" w:color="auto" w:fill="auto"/>
            <w:tcMar>
              <w:top w:w="15" w:type="dxa"/>
              <w:left w:w="75" w:type="dxa"/>
              <w:bottom w:w="15" w:type="dxa"/>
              <w:right w:w="75" w:type="dxa"/>
            </w:tcMar>
          </w:tcPr>
          <w:p w14:paraId="508AADEC" w14:textId="77777777" w:rsidR="000535EC" w:rsidRPr="00641640" w:rsidRDefault="000535EC" w:rsidP="000535EC">
            <w:pPr>
              <w:spacing w:line="276" w:lineRule="auto"/>
              <w:jc w:val="center"/>
              <w:rPr>
                <w:rFonts w:ascii="Times New Roman" w:hAnsi="Times New Roman" w:cs="Times New Roman"/>
                <w:noProof/>
                <w:sz w:val="22"/>
                <w:szCs w:val="22"/>
                <w:lang w:val="sq-AL"/>
              </w:rPr>
            </w:pPr>
          </w:p>
          <w:p w14:paraId="0D40CE27" w14:textId="718872B2" w:rsidR="00C8749D" w:rsidRPr="00641640" w:rsidRDefault="000F4905" w:rsidP="000535EC">
            <w:pPr>
              <w:spacing w:line="276" w:lineRule="auto"/>
              <w:jc w:val="center"/>
              <w:rPr>
                <w:rFonts w:ascii="Times New Roman" w:hAnsi="Times New Roman" w:cs="Times New Roman"/>
                <w:noProof/>
                <w:sz w:val="22"/>
                <w:szCs w:val="22"/>
                <w:lang w:val="sq-AL"/>
              </w:rPr>
            </w:pPr>
            <w:r>
              <w:rPr>
                <w:rFonts w:ascii="Times New Roman" w:hAnsi="Times New Roman" w:cs="Times New Roman"/>
                <w:noProof/>
                <w:sz w:val="22"/>
                <w:szCs w:val="22"/>
                <w:lang w:val="sq-AL"/>
              </w:rPr>
              <w:t>Rezulta</w:t>
            </w:r>
            <w:r w:rsidR="000535EC" w:rsidRPr="00641640">
              <w:rPr>
                <w:rFonts w:ascii="Times New Roman" w:hAnsi="Times New Roman" w:cs="Times New Roman"/>
                <w:noProof/>
                <w:sz w:val="22"/>
                <w:szCs w:val="22"/>
                <w:lang w:val="sq-AL"/>
              </w:rPr>
              <w:t>ti</w:t>
            </w:r>
          </w:p>
        </w:tc>
        <w:tc>
          <w:tcPr>
            <w:tcW w:w="1980" w:type="dxa"/>
            <w:shd w:val="clear" w:color="auto" w:fill="auto"/>
            <w:tcMar>
              <w:top w:w="15" w:type="dxa"/>
              <w:left w:w="75" w:type="dxa"/>
              <w:bottom w:w="15" w:type="dxa"/>
              <w:right w:w="75" w:type="dxa"/>
            </w:tcMar>
          </w:tcPr>
          <w:p w14:paraId="53AB9638" w14:textId="77777777" w:rsidR="000535EC" w:rsidRPr="00641640" w:rsidRDefault="000535EC" w:rsidP="000535EC">
            <w:pPr>
              <w:pStyle w:val="T-number"/>
              <w:spacing w:line="276" w:lineRule="auto"/>
              <w:ind w:left="0" w:firstLine="0"/>
              <w:rPr>
                <w:rFonts w:ascii="Times New Roman" w:eastAsiaTheme="minorHAnsi" w:hAnsi="Times New Roman" w:cs="Times New Roman"/>
                <w:noProof/>
                <w:sz w:val="22"/>
                <w:szCs w:val="22"/>
                <w:lang w:val="sq-AL"/>
              </w:rPr>
            </w:pPr>
          </w:p>
          <w:p w14:paraId="410D8866" w14:textId="226ED1BE" w:rsidR="00C8749D" w:rsidRPr="00641640" w:rsidRDefault="000535EC" w:rsidP="000535EC">
            <w:pPr>
              <w:pStyle w:val="T-number"/>
              <w:spacing w:line="276" w:lineRule="auto"/>
              <w:ind w:left="0" w:firstLine="0"/>
              <w:rPr>
                <w:rFonts w:ascii="Times New Roman" w:eastAsiaTheme="minorHAnsi" w:hAnsi="Times New Roman" w:cs="Times New Roman"/>
                <w:noProof/>
                <w:sz w:val="22"/>
                <w:szCs w:val="22"/>
                <w:lang w:val="sq-AL"/>
              </w:rPr>
            </w:pPr>
            <w:r w:rsidRPr="00641640">
              <w:rPr>
                <w:rFonts w:ascii="Times New Roman" w:eastAsiaTheme="minorHAnsi" w:hAnsi="Times New Roman" w:cs="Times New Roman"/>
                <w:noProof/>
                <w:sz w:val="22"/>
                <w:szCs w:val="22"/>
                <w:lang w:val="sq-AL"/>
              </w:rPr>
              <w:t>4.1.2</w:t>
            </w:r>
            <w:r w:rsidR="00F13432">
              <w:rPr>
                <w:rFonts w:ascii="Times New Roman" w:eastAsiaTheme="minorHAnsi" w:hAnsi="Times New Roman" w:cs="Times New Roman"/>
                <w:noProof/>
                <w:sz w:val="22"/>
                <w:szCs w:val="22"/>
                <w:lang w:val="sq-AL"/>
              </w:rPr>
              <w:t xml:space="preserve"> Ulja e</w:t>
            </w:r>
            <w:r w:rsidRPr="00641640">
              <w:rPr>
                <w:rFonts w:ascii="Times New Roman" w:eastAsiaTheme="minorHAnsi" w:hAnsi="Times New Roman" w:cs="Times New Roman"/>
                <w:noProof/>
                <w:sz w:val="22"/>
                <w:szCs w:val="22"/>
                <w:lang w:val="sq-AL"/>
              </w:rPr>
              <w:t xml:space="preserve"> </w:t>
            </w:r>
            <w:r w:rsidR="00F13432">
              <w:rPr>
                <w:rFonts w:ascii="Times New Roman" w:eastAsiaTheme="minorHAnsi" w:hAnsi="Times New Roman" w:cs="Times New Roman"/>
                <w:noProof/>
                <w:sz w:val="22"/>
                <w:szCs w:val="22"/>
                <w:lang w:val="sq-AL"/>
              </w:rPr>
              <w:t>n</w:t>
            </w:r>
            <w:r w:rsidRPr="00641640">
              <w:rPr>
                <w:rFonts w:ascii="Times New Roman" w:eastAsiaTheme="minorHAnsi" w:hAnsi="Times New Roman" w:cs="Times New Roman"/>
                <w:noProof/>
                <w:sz w:val="22"/>
                <w:szCs w:val="22"/>
                <w:lang w:val="sq-AL"/>
              </w:rPr>
              <w:t>umri</w:t>
            </w:r>
            <w:r w:rsidR="00F13432">
              <w:rPr>
                <w:rFonts w:ascii="Times New Roman" w:eastAsiaTheme="minorHAnsi" w:hAnsi="Times New Roman" w:cs="Times New Roman"/>
                <w:noProof/>
                <w:sz w:val="22"/>
                <w:szCs w:val="22"/>
                <w:lang w:val="sq-AL"/>
              </w:rPr>
              <w:t>t të</w:t>
            </w:r>
            <w:r w:rsidRPr="00641640">
              <w:rPr>
                <w:rFonts w:ascii="Times New Roman" w:eastAsiaTheme="minorHAnsi" w:hAnsi="Times New Roman" w:cs="Times New Roman"/>
                <w:noProof/>
                <w:sz w:val="22"/>
                <w:szCs w:val="22"/>
                <w:lang w:val="sq-AL"/>
              </w:rPr>
              <w:t xml:space="preserve"> institucione të pavarura me natyrë ekzekutive</w:t>
            </w:r>
            <w:r w:rsidR="00DD50CE">
              <w:rPr>
                <w:rFonts w:ascii="Times New Roman" w:eastAsiaTheme="minorHAnsi" w:hAnsi="Times New Roman" w:cs="Times New Roman"/>
                <w:noProof/>
                <w:sz w:val="22"/>
                <w:szCs w:val="22"/>
                <w:lang w:val="sq-AL"/>
              </w:rPr>
              <w:t>.</w:t>
            </w:r>
          </w:p>
        </w:tc>
        <w:tc>
          <w:tcPr>
            <w:tcW w:w="2160" w:type="dxa"/>
            <w:shd w:val="clear" w:color="auto" w:fill="auto"/>
          </w:tcPr>
          <w:p w14:paraId="3F368221" w14:textId="77777777" w:rsidR="00C8749D" w:rsidRPr="00641640" w:rsidRDefault="00C8749D" w:rsidP="003A395D">
            <w:pPr>
              <w:spacing w:line="276" w:lineRule="auto"/>
              <w:rPr>
                <w:rFonts w:ascii="Times New Roman" w:eastAsia="Arial" w:hAnsi="Times New Roman" w:cs="Times New Roman"/>
                <w:noProof/>
                <w:sz w:val="22"/>
                <w:szCs w:val="22"/>
                <w:lang w:val="sq-AL"/>
              </w:rPr>
            </w:pPr>
          </w:p>
          <w:p w14:paraId="292AF3FF" w14:textId="15AABFD5" w:rsidR="00C8749D" w:rsidRPr="00641640" w:rsidRDefault="000E06CE" w:rsidP="003A395D">
            <w:pPr>
              <w:spacing w:line="276" w:lineRule="auto"/>
              <w:rPr>
                <w:rFonts w:ascii="Times New Roman" w:eastAsia="Arial" w:hAnsi="Times New Roman" w:cs="Times New Roman"/>
                <w:b/>
                <w:bCs/>
                <w:noProof/>
                <w:sz w:val="22"/>
                <w:szCs w:val="22"/>
                <w:lang w:val="sq-AL"/>
              </w:rPr>
            </w:pPr>
            <w:r w:rsidRPr="00641640">
              <w:rPr>
                <w:rFonts w:ascii="Times New Roman" w:eastAsia="Arial" w:hAnsi="Times New Roman" w:cs="Times New Roman"/>
                <w:noProof/>
                <w:sz w:val="22"/>
                <w:szCs w:val="22"/>
                <w:lang w:val="sq-AL"/>
              </w:rPr>
              <w:t>Organizimi, llogaridhënia dhe mbikëqyrja e administratës</w:t>
            </w:r>
          </w:p>
        </w:tc>
        <w:tc>
          <w:tcPr>
            <w:tcW w:w="2340" w:type="dxa"/>
            <w:shd w:val="clear" w:color="auto" w:fill="auto"/>
          </w:tcPr>
          <w:p w14:paraId="6FDF4677" w14:textId="77777777" w:rsidR="00C8749D" w:rsidRPr="00641640" w:rsidRDefault="00C8749D" w:rsidP="003A395D">
            <w:pPr>
              <w:spacing w:line="276" w:lineRule="auto"/>
              <w:rPr>
                <w:rFonts w:ascii="Times New Roman" w:eastAsia="Arial" w:hAnsi="Times New Roman" w:cs="Times New Roman"/>
                <w:noProof/>
                <w:sz w:val="22"/>
                <w:szCs w:val="22"/>
                <w:lang w:val="sq-AL"/>
              </w:rPr>
            </w:pPr>
          </w:p>
          <w:p w14:paraId="7D2E3A04" w14:textId="7174B22C" w:rsidR="000E06CE" w:rsidRPr="00641640" w:rsidRDefault="000E06CE"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4.1 Zhvillimi i strukturave organizative të qarta dhe të përshtatshme për të përmbushur detyrat e administratës publike në mënyrë efektive dhe efikase.</w:t>
            </w:r>
          </w:p>
          <w:p w14:paraId="639F3259" w14:textId="402ECB62" w:rsidR="00C8749D" w:rsidRPr="00641640" w:rsidRDefault="00C8749D" w:rsidP="003A395D">
            <w:pPr>
              <w:spacing w:line="276" w:lineRule="auto"/>
              <w:rPr>
                <w:rFonts w:ascii="Times New Roman" w:eastAsia="Arial" w:hAnsi="Times New Roman" w:cs="Times New Roman"/>
                <w:noProof/>
                <w:sz w:val="22"/>
                <w:szCs w:val="22"/>
                <w:lang w:val="sq-AL"/>
              </w:rPr>
            </w:pPr>
          </w:p>
        </w:tc>
        <w:tc>
          <w:tcPr>
            <w:tcW w:w="1890" w:type="dxa"/>
            <w:shd w:val="clear" w:color="auto" w:fill="auto"/>
            <w:tcMar>
              <w:top w:w="15" w:type="dxa"/>
              <w:left w:w="75" w:type="dxa"/>
              <w:bottom w:w="15" w:type="dxa"/>
              <w:right w:w="75" w:type="dxa"/>
            </w:tcMar>
          </w:tcPr>
          <w:p w14:paraId="61761815" w14:textId="77777777" w:rsidR="00C8749D" w:rsidRPr="00641640" w:rsidRDefault="00C8749D" w:rsidP="003A395D">
            <w:pPr>
              <w:spacing w:line="276" w:lineRule="auto"/>
              <w:rPr>
                <w:rFonts w:ascii="Times New Roman" w:eastAsia="Arial" w:hAnsi="Times New Roman" w:cs="Times New Roman"/>
                <w:noProof/>
                <w:sz w:val="22"/>
                <w:szCs w:val="22"/>
                <w:lang w:val="sq-AL"/>
              </w:rPr>
            </w:pPr>
          </w:p>
          <w:p w14:paraId="7BC44093" w14:textId="6E1EEC4A" w:rsidR="000E06CE" w:rsidRPr="00641640" w:rsidRDefault="000E06CE" w:rsidP="000E06CE">
            <w:pPr>
              <w:spacing w:line="276" w:lineRule="auto"/>
              <w:jc w:val="center"/>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DAP</w:t>
            </w:r>
          </w:p>
        </w:tc>
      </w:tr>
    </w:tbl>
    <w:p w14:paraId="5D80BAE4" w14:textId="77777777" w:rsidR="003748C9" w:rsidRPr="00641640" w:rsidRDefault="003748C9" w:rsidP="003A395D">
      <w:pPr>
        <w:spacing w:line="276" w:lineRule="auto"/>
        <w:jc w:val="both"/>
        <w:rPr>
          <w:rFonts w:ascii="Times New Roman" w:hAnsi="Times New Roman" w:cs="Times New Roman"/>
          <w:b/>
          <w:bCs/>
          <w:noProof/>
          <w:sz w:val="24"/>
          <w:szCs w:val="24"/>
          <w:lang w:val="sq-AL"/>
        </w:rPr>
      </w:pPr>
    </w:p>
    <w:p w14:paraId="3D89DF6D" w14:textId="77777777" w:rsidR="002F05A5" w:rsidRPr="00641640" w:rsidRDefault="002F05A5" w:rsidP="003A395D">
      <w:pPr>
        <w:spacing w:line="276" w:lineRule="auto"/>
        <w:jc w:val="both"/>
        <w:rPr>
          <w:rFonts w:ascii="Times New Roman" w:hAnsi="Times New Roman" w:cs="Times New Roman"/>
          <w:b/>
          <w:bCs/>
          <w:noProof/>
          <w:sz w:val="24"/>
          <w:szCs w:val="24"/>
          <w:lang w:val="sq-AL"/>
        </w:rPr>
      </w:pPr>
    </w:p>
    <w:p w14:paraId="42A6861D" w14:textId="77777777" w:rsidR="002F05A5" w:rsidRPr="00641640" w:rsidRDefault="002F05A5" w:rsidP="003A395D">
      <w:pPr>
        <w:spacing w:line="276" w:lineRule="auto"/>
        <w:jc w:val="both"/>
        <w:rPr>
          <w:rFonts w:ascii="Times New Roman" w:hAnsi="Times New Roman" w:cs="Times New Roman"/>
          <w:b/>
          <w:bCs/>
          <w:noProof/>
          <w:sz w:val="24"/>
          <w:szCs w:val="24"/>
          <w:lang w:val="sq-AL"/>
        </w:rPr>
      </w:pPr>
    </w:p>
    <w:p w14:paraId="3D9BD2BD" w14:textId="77777777" w:rsidR="002F05A5" w:rsidRPr="00641640" w:rsidRDefault="002F05A5" w:rsidP="003A395D">
      <w:pPr>
        <w:spacing w:line="276" w:lineRule="auto"/>
        <w:jc w:val="both"/>
        <w:rPr>
          <w:rFonts w:ascii="Times New Roman" w:hAnsi="Times New Roman" w:cs="Times New Roman"/>
          <w:b/>
          <w:bCs/>
          <w:noProof/>
          <w:sz w:val="24"/>
          <w:szCs w:val="24"/>
          <w:lang w:val="sq-AL"/>
        </w:rPr>
      </w:pPr>
    </w:p>
    <w:p w14:paraId="2E8EB3F7" w14:textId="66228E87" w:rsidR="003748C9" w:rsidRPr="00641640" w:rsidRDefault="003748C9" w:rsidP="003A395D">
      <w:pPr>
        <w:spacing w:line="276" w:lineRule="auto"/>
        <w:jc w:val="both"/>
        <w:rPr>
          <w:rFonts w:ascii="Times New Roman" w:hAnsi="Times New Roman" w:cs="Times New Roman"/>
          <w:b/>
          <w:bCs/>
          <w:i/>
          <w:iCs/>
          <w:noProof/>
          <w:sz w:val="24"/>
          <w:szCs w:val="24"/>
          <w:lang w:val="sq-AL"/>
        </w:rPr>
      </w:pPr>
      <w:r w:rsidRPr="00641640">
        <w:rPr>
          <w:rFonts w:ascii="Times New Roman" w:hAnsi="Times New Roman" w:cs="Times New Roman"/>
          <w:b/>
          <w:bCs/>
          <w:i/>
          <w:iCs/>
          <w:noProof/>
          <w:sz w:val="24"/>
          <w:szCs w:val="24"/>
          <w:lang w:val="sq-AL"/>
        </w:rPr>
        <w:lastRenderedPageBreak/>
        <w:t>Komponenti 4.2</w:t>
      </w:r>
      <w:r w:rsidR="001B469E" w:rsidRPr="00641640">
        <w:rPr>
          <w:rFonts w:ascii="Times New Roman" w:hAnsi="Times New Roman" w:cs="Times New Roman"/>
          <w:b/>
          <w:bCs/>
          <w:i/>
          <w:iCs/>
          <w:noProof/>
          <w:sz w:val="24"/>
          <w:szCs w:val="24"/>
          <w:lang w:val="sq-AL"/>
        </w:rPr>
        <w:t xml:space="preserve">: </w:t>
      </w:r>
      <w:r w:rsidRPr="00641640">
        <w:rPr>
          <w:rFonts w:ascii="Times New Roman" w:hAnsi="Times New Roman" w:cs="Times New Roman"/>
          <w:b/>
          <w:bCs/>
          <w:i/>
          <w:iCs/>
          <w:noProof/>
          <w:sz w:val="24"/>
          <w:szCs w:val="24"/>
          <w:lang w:val="sq-AL"/>
        </w:rPr>
        <w:t>Rritja e llogaridhënies së brendshme në administratën publike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E4"/>
        <w:tblLook w:val="04A0" w:firstRow="1" w:lastRow="0" w:firstColumn="1" w:lastColumn="0" w:noHBand="0" w:noVBand="1"/>
      </w:tblPr>
      <w:tblGrid>
        <w:gridCol w:w="535"/>
        <w:gridCol w:w="8815"/>
      </w:tblGrid>
      <w:tr w:rsidR="009F4049" w:rsidRPr="00641640" w14:paraId="0501F8E2" w14:textId="77777777" w:rsidTr="009F4049">
        <w:tc>
          <w:tcPr>
            <w:tcW w:w="535" w:type="dxa"/>
            <w:shd w:val="clear" w:color="auto" w:fill="EAF4E4"/>
          </w:tcPr>
          <w:p w14:paraId="79966845" w14:textId="773A47C9" w:rsidR="009F4049" w:rsidRPr="00641640" w:rsidRDefault="009F4049" w:rsidP="003A395D">
            <w:pPr>
              <w:spacing w:line="276" w:lineRule="auto"/>
              <w:rPr>
                <w:rFonts w:ascii="Times New Roman" w:hAnsi="Times New Roman" w:cs="Times New Roman"/>
                <w:b/>
                <w:bCs/>
                <w:noProof/>
                <w:color w:val="003300"/>
                <w:sz w:val="24"/>
                <w:szCs w:val="24"/>
                <w:lang w:val="sq-AL"/>
              </w:rPr>
            </w:pPr>
            <w:r w:rsidRPr="00641640">
              <w:rPr>
                <w:rFonts w:ascii="Times New Roman" w:hAnsi="Times New Roman" w:cs="Times New Roman"/>
                <w:b/>
                <w:bCs/>
                <w:noProof/>
                <w:color w:val="003300"/>
                <w:sz w:val="24"/>
                <w:szCs w:val="24"/>
                <w:lang w:val="sq-AL"/>
              </w:rPr>
              <w:t>4.2</w:t>
            </w:r>
          </w:p>
        </w:tc>
        <w:tc>
          <w:tcPr>
            <w:tcW w:w="8815" w:type="dxa"/>
            <w:shd w:val="clear" w:color="auto" w:fill="EAF4E4"/>
          </w:tcPr>
          <w:p w14:paraId="1A2B2A49" w14:textId="16A7C940" w:rsidR="009F4049" w:rsidRPr="00641640" w:rsidRDefault="009F4049" w:rsidP="003A395D">
            <w:pPr>
              <w:spacing w:line="276" w:lineRule="auto"/>
              <w:rPr>
                <w:rFonts w:ascii="Times New Roman" w:hAnsi="Times New Roman" w:cs="Times New Roman"/>
                <w:b/>
                <w:bCs/>
                <w:noProof/>
                <w:color w:val="003300"/>
                <w:sz w:val="24"/>
                <w:szCs w:val="24"/>
                <w:lang w:val="sq-AL"/>
              </w:rPr>
            </w:pPr>
            <w:r w:rsidRPr="00641640">
              <w:rPr>
                <w:rFonts w:ascii="Times New Roman" w:hAnsi="Times New Roman" w:cs="Times New Roman"/>
                <w:b/>
                <w:bCs/>
                <w:noProof/>
                <w:color w:val="003300"/>
                <w:sz w:val="24"/>
                <w:szCs w:val="24"/>
                <w:lang w:val="sq-AL"/>
              </w:rPr>
              <w:t>Objektivi specifik 4.2: Krijimi i mekanizmave të qartë të brendshëm që garantojnë llogaridhënien e punonjësve dhe drejtuesve të administratës publike për performancën dhe vendimmarrjen e tyre</w:t>
            </w:r>
          </w:p>
        </w:tc>
      </w:tr>
    </w:tbl>
    <w:p w14:paraId="612B4438" w14:textId="250DFC2D" w:rsidR="003748C9" w:rsidRPr="00641640" w:rsidRDefault="003748C9" w:rsidP="003A395D">
      <w:pPr>
        <w:shd w:val="clear" w:color="auto" w:fill="FFFFFF" w:themeFill="background1"/>
        <w:spacing w:beforeAutospacing="1" w:line="276" w:lineRule="auto"/>
        <w:jc w:val="both"/>
        <w:textAlignment w:val="baseline"/>
        <w:rPr>
          <w:rFonts w:ascii="Times New Roman" w:hAnsi="Times New Roman" w:cs="Times New Roman"/>
          <w:b/>
          <w:bCs/>
          <w:noProof/>
          <w:color w:val="000000" w:themeColor="text1"/>
          <w:sz w:val="24"/>
          <w:szCs w:val="24"/>
          <w:lang w:val="sq-AL"/>
        </w:rPr>
      </w:pPr>
      <w:r w:rsidRPr="00641640">
        <w:rPr>
          <w:rFonts w:ascii="Times New Roman" w:hAnsi="Times New Roman" w:cs="Times New Roman"/>
          <w:b/>
          <w:bCs/>
          <w:noProof/>
          <w:color w:val="000000" w:themeColor="text1"/>
          <w:sz w:val="24"/>
          <w:szCs w:val="24"/>
          <w:lang w:val="sq-AL"/>
        </w:rPr>
        <w:t>Prioritetet</w:t>
      </w:r>
    </w:p>
    <w:p w14:paraId="53E50E94" w14:textId="4F6A071E" w:rsidR="003748C9" w:rsidRPr="00641640" w:rsidRDefault="003748C9" w:rsidP="003A395D">
      <w:pPr>
        <w:spacing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t>Qëllimi i politikave në këtë fushë synon krijimin e strukturave efi</w:t>
      </w:r>
      <w:r w:rsidR="00F719B8">
        <w:rPr>
          <w:rFonts w:ascii="Times New Roman" w:hAnsi="Times New Roman" w:cs="Times New Roman"/>
          <w:noProof/>
          <w:sz w:val="24"/>
          <w:szCs w:val="24"/>
          <w:lang w:val="sq-AL"/>
        </w:rPr>
        <w:t>ç</w:t>
      </w:r>
      <w:r w:rsidRPr="00641640">
        <w:rPr>
          <w:rFonts w:ascii="Times New Roman" w:hAnsi="Times New Roman" w:cs="Times New Roman"/>
          <w:noProof/>
          <w:sz w:val="24"/>
          <w:szCs w:val="24"/>
          <w:lang w:val="sq-AL"/>
        </w:rPr>
        <w:t>ente dhe të përgjegjshme të administratës publike, përmes minimizimit të riskut për praktika abuzive dhe shkelje të integritetit. Krahas saktësimit të kritereve për tipologjinë e institucioneve që do të mundësohet përmes rishikimit të ligjit nr. 90/2012, synohet gjithashtu të rritet niveli i llogaridhënies dhe të përmirësohet korniza e monitorimit të ushtruar nga ministritë përgjegjëse për institucionet përkatëse të varësisë. Rritja e efektivitetit të këtij monitorimi do të realizohet përmes krijimit të një kornize të unifikuar të mbikëqyrjes nga ministritë e linjës dhe përcaktimit të qartë të modaliteteve dhe procedurave të qarta për metodologjinë dhe periodicitetin e raportimit, si dhe vendosjen e indikatorëve kryesorë të performancës dhe raportimet periodike. Në vijim të ndërhyrjeve ligjore, kjo procedurë do të pilotohet fillimisht në një grup të zgjedhur institucionesh. Pas vlerësimit të rezultateve, kjo qasje do të zgjerohet për t’u zbatuar në të gjitha institucionet e varësisë.</w:t>
      </w:r>
    </w:p>
    <w:p w14:paraId="19B32B57" w14:textId="2773586A" w:rsidR="003748C9" w:rsidRPr="00641640" w:rsidRDefault="003748C9" w:rsidP="003A395D">
      <w:pPr>
        <w:spacing w:line="276" w:lineRule="auto"/>
        <w:jc w:val="both"/>
        <w:rPr>
          <w:rFonts w:ascii="Times New Roman" w:eastAsia="Calibri" w:hAnsi="Times New Roman" w:cs="Times New Roman"/>
          <w:noProof/>
          <w:sz w:val="24"/>
          <w:szCs w:val="24"/>
          <w:lang w:val="sq-AL"/>
        </w:rPr>
      </w:pPr>
      <w:r w:rsidRPr="00641640">
        <w:rPr>
          <w:rFonts w:ascii="Times New Roman" w:hAnsi="Times New Roman" w:cs="Times New Roman"/>
          <w:noProof/>
          <w:sz w:val="24"/>
          <w:szCs w:val="24"/>
          <w:lang w:val="sq-AL"/>
        </w:rPr>
        <w:t xml:space="preserve">Një aspekt kyç për organizimin, llogaridhënien dhe mbikëqyrjen e administratës është zhvillimi dhe monitorimi i mekanizmave që nxisin përfshirjen gjithëpërfshirëse të qytetarëve në procesin e politikëbërjes. Këto mekanizma garantojnë pjesëmarrjen e qytetarëve në procedurat administrative vendimmarrëse, duke rritur përgjegjshmërinë dhe llogaridhënien e administratës shtetërore. Përmes mekanizmave të posaçëm institucionalë, administrata do të përforcojë përpjekjet për zhvillimin dhe zbatimin e praktikave më të mira, duke siguruar përdorimin e tyre në mënyrë të njëtrajtshme në të gjitha institucionet, me synim garantimin e përfshirjes aktive të çdo qytetari në hartimin dhe zbatimin e politikave. </w:t>
      </w:r>
    </w:p>
    <w:p w14:paraId="09926B5F" w14:textId="77777777" w:rsidR="003748C9" w:rsidRPr="00641640" w:rsidRDefault="003748C9" w:rsidP="003A395D">
      <w:pPr>
        <w:spacing w:line="276" w:lineRule="auto"/>
        <w:jc w:val="both"/>
        <w:rPr>
          <w:rFonts w:ascii="Times New Roman" w:eastAsia="Calibri" w:hAnsi="Times New Roman" w:cs="Times New Roman"/>
          <w:noProof/>
          <w:sz w:val="24"/>
          <w:szCs w:val="24"/>
          <w:lang w:val="sq-AL"/>
        </w:rPr>
      </w:pPr>
      <w:r w:rsidRPr="00641640">
        <w:rPr>
          <w:rFonts w:ascii="Times New Roman" w:eastAsia="Calibri" w:hAnsi="Times New Roman" w:cs="Times New Roman"/>
          <w:noProof/>
          <w:sz w:val="24"/>
          <w:szCs w:val="24"/>
          <w:lang w:val="sq-AL"/>
        </w:rPr>
        <w:t>Me qëllim nxitjen e ndarjes së praktikave më të mira ndërmjet qeverisjes qendrore dhe asaj vendore, masat në këtë shtyllë do të përfshijnë hapa të qartë për bashkëpunim të ndërsjellë në krijimin e kushteve që favorizojnë ndërveprimin ndërmjet Agjencisë për Dialog dhe Bashkëqeverisje (ADB) dhe bashkive, për ndjekjen dhe trajtimin e ankesave të paraqitura në platformën “Shqipëria që duam”. Kjo rritje e bashkëpunimit synon të garantojë që standardet e larta të cilësisë në ofrimin e shërbimeve publike, të vendosura nga institucionet qendrore, të zbatohen në mënyrë të njëtrajtshme edhe nga institucionet vendore.</w:t>
      </w:r>
    </w:p>
    <w:p w14:paraId="512DC8EB" w14:textId="62A2FAFC" w:rsidR="003748C9" w:rsidRPr="00641640" w:rsidRDefault="003748C9" w:rsidP="003A395D">
      <w:pPr>
        <w:spacing w:line="276" w:lineRule="auto"/>
        <w:jc w:val="both"/>
        <w:rPr>
          <w:rFonts w:ascii="Times New Roman" w:hAnsi="Times New Roman" w:cs="Times New Roman"/>
          <w:noProof/>
          <w:sz w:val="24"/>
          <w:szCs w:val="24"/>
          <w:lang w:val="sq-AL"/>
        </w:rPr>
      </w:pPr>
      <w:r w:rsidRPr="00641640">
        <w:rPr>
          <w:rFonts w:ascii="Times New Roman" w:eastAsia="Calibri" w:hAnsi="Times New Roman" w:cs="Times New Roman"/>
          <w:noProof/>
          <w:sz w:val="24"/>
          <w:szCs w:val="24"/>
          <w:lang w:val="sq-AL"/>
        </w:rPr>
        <w:t xml:space="preserve">Gjithashtu, </w:t>
      </w:r>
      <w:r w:rsidRPr="00641640">
        <w:rPr>
          <w:rFonts w:ascii="Times New Roman" w:hAnsi="Times New Roman" w:cs="Times New Roman"/>
          <w:noProof/>
          <w:sz w:val="24"/>
          <w:szCs w:val="24"/>
          <w:lang w:val="sq-AL"/>
        </w:rPr>
        <w:t>në zbatim të ligjit nr. 107/2021 “</w:t>
      </w:r>
      <w:r w:rsidRPr="008B12B0">
        <w:rPr>
          <w:rFonts w:ascii="Times New Roman" w:hAnsi="Times New Roman" w:cs="Times New Roman"/>
          <w:i/>
          <w:iCs/>
          <w:noProof/>
          <w:sz w:val="24"/>
          <w:szCs w:val="24"/>
          <w:lang w:val="sq-AL"/>
        </w:rPr>
        <w:t>Për bashkëqeverisjen</w:t>
      </w:r>
      <w:r w:rsidRPr="00641640">
        <w:rPr>
          <w:rFonts w:ascii="Times New Roman" w:hAnsi="Times New Roman" w:cs="Times New Roman"/>
          <w:noProof/>
          <w:sz w:val="24"/>
          <w:szCs w:val="24"/>
          <w:lang w:val="sq-AL"/>
        </w:rPr>
        <w:t>”, çdo qytetar mund të denoncojë korrupsionin nëpërmjet platformës “</w:t>
      </w:r>
      <w:r w:rsidRPr="008B12B0">
        <w:rPr>
          <w:rFonts w:ascii="Times New Roman" w:hAnsi="Times New Roman" w:cs="Times New Roman"/>
          <w:i/>
          <w:iCs/>
          <w:noProof/>
          <w:sz w:val="24"/>
          <w:szCs w:val="24"/>
          <w:lang w:val="sq-AL"/>
        </w:rPr>
        <w:t>Shqipëria që Duam</w:t>
      </w:r>
      <w:r w:rsidRPr="00641640">
        <w:rPr>
          <w:rFonts w:ascii="Times New Roman" w:hAnsi="Times New Roman" w:cs="Times New Roman"/>
          <w:noProof/>
          <w:sz w:val="24"/>
          <w:szCs w:val="24"/>
          <w:lang w:val="sq-AL"/>
        </w:rPr>
        <w:t xml:space="preserve">", në rubrikën e dedikuar </w:t>
      </w:r>
      <w:r w:rsidR="008B12B0">
        <w:rPr>
          <w:rFonts w:ascii="Times New Roman" w:hAnsi="Times New Roman" w:cs="Times New Roman"/>
          <w:noProof/>
          <w:sz w:val="24"/>
          <w:szCs w:val="24"/>
          <w:lang w:val="sq-AL"/>
        </w:rPr>
        <w:t>“</w:t>
      </w:r>
      <w:r w:rsidRPr="008B12B0">
        <w:rPr>
          <w:rFonts w:ascii="Times New Roman" w:hAnsi="Times New Roman" w:cs="Times New Roman"/>
          <w:i/>
          <w:iCs/>
          <w:noProof/>
          <w:sz w:val="24"/>
          <w:szCs w:val="24"/>
          <w:lang w:val="sq-AL"/>
        </w:rPr>
        <w:t>Denonco Korrupsionin</w:t>
      </w:r>
      <w:r w:rsidR="008B12B0">
        <w:rPr>
          <w:rFonts w:ascii="Times New Roman" w:hAnsi="Times New Roman" w:cs="Times New Roman"/>
          <w:noProof/>
          <w:sz w:val="24"/>
          <w:szCs w:val="24"/>
          <w:lang w:val="sq-AL"/>
        </w:rPr>
        <w:t>”</w:t>
      </w:r>
      <w:r w:rsidRPr="00641640">
        <w:rPr>
          <w:rFonts w:ascii="Times New Roman" w:hAnsi="Times New Roman" w:cs="Times New Roman"/>
          <w:noProof/>
          <w:sz w:val="24"/>
          <w:szCs w:val="24"/>
          <w:lang w:val="sq-AL"/>
        </w:rPr>
        <w:t>.</w:t>
      </w:r>
    </w:p>
    <w:p w14:paraId="6481BC0E" w14:textId="77777777" w:rsidR="003748C9" w:rsidRPr="00641640" w:rsidRDefault="003748C9" w:rsidP="003A395D">
      <w:pPr>
        <w:spacing w:after="0" w:line="276" w:lineRule="auto"/>
        <w:jc w:val="both"/>
        <w:rPr>
          <w:rFonts w:ascii="Times New Roman" w:hAnsi="Times New Roman" w:cs="Times New Roman"/>
          <w:noProof/>
          <w:sz w:val="24"/>
          <w:szCs w:val="24"/>
          <w:lang w:val="sq-AL"/>
        </w:rPr>
      </w:pPr>
      <w:r w:rsidRPr="00641640">
        <w:rPr>
          <w:rFonts w:ascii="Times New Roman" w:hAnsi="Times New Roman" w:cs="Times New Roman"/>
          <w:noProof/>
          <w:sz w:val="24"/>
          <w:szCs w:val="24"/>
          <w:lang w:val="sq-AL"/>
        </w:rPr>
        <w:lastRenderedPageBreak/>
        <w:t>Në drejtim të menaxhimit të procedurave administrative, Kodi i Procedurave Administrative ofron një kuadër modern për trajtimin e akteve administrative dhe përcakton standardet më të larta për mbrojtjen e qytetarëve në proceset administrative. Ministria e Drejtësisë ka hartuar tashmë metodologjinë e harmonizimit të legjislacionit sektorial me dispozitat e Kodit dhe ka përpiluar inventarin e akteve që kërkojnë ndryshim. Në periudhën në vijim mbetet prioritar harmonizimi i 65 akteve të identifikuara nënligjore për të mundësuar që publiku të përfitojë nga një legjislacion i përditësuar dhe modern në këtë fushë.</w:t>
      </w:r>
    </w:p>
    <w:p w14:paraId="44C92A41" w14:textId="77777777" w:rsidR="00003663" w:rsidRPr="00641640" w:rsidRDefault="00003663" w:rsidP="00F863ED">
      <w:pPr>
        <w:spacing w:line="276" w:lineRule="auto"/>
        <w:jc w:val="both"/>
        <w:rPr>
          <w:rFonts w:ascii="Times New Roman" w:hAnsi="Times New Roman" w:cs="Times New Roman"/>
          <w:noProof/>
          <w:sz w:val="24"/>
          <w:szCs w:val="24"/>
          <w:lang w:val="sq-AL"/>
        </w:rPr>
      </w:pPr>
    </w:p>
    <w:p w14:paraId="6CE1AAB0" w14:textId="77777777" w:rsidR="00003663" w:rsidRPr="00641640" w:rsidRDefault="00003663" w:rsidP="00F863ED">
      <w:p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imes New Roman" w:hAnsi="Times New Roman" w:cs="Times New Roman"/>
          <w:b/>
          <w:bCs/>
          <w:noProof/>
          <w:sz w:val="24"/>
          <w:szCs w:val="24"/>
          <w:lang w:val="sq-AL"/>
        </w:rPr>
        <w:t>Rezultatet e pritshme nga zbatimi i masave që lidhen me Objektivin Specifik</w:t>
      </w:r>
    </w:p>
    <w:p w14:paraId="285E0CC9" w14:textId="38B14E63" w:rsidR="00003663" w:rsidRPr="00641640" w:rsidRDefault="00003663"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 xml:space="preserve">Objektivi Specifik </w:t>
      </w:r>
      <w:r w:rsidR="005E69EF" w:rsidRPr="00641640">
        <w:rPr>
          <w:rFonts w:ascii="Times New Roman" w:eastAsia="Times New Roman" w:hAnsi="Times New Roman" w:cs="Times New Roman"/>
          <w:noProof/>
          <w:sz w:val="24"/>
          <w:szCs w:val="24"/>
          <w:lang w:val="sq-AL"/>
        </w:rPr>
        <w:t>4.2</w:t>
      </w:r>
      <w:r w:rsidRPr="00641640">
        <w:rPr>
          <w:rFonts w:ascii="Times New Roman" w:eastAsia="Times New Roman" w:hAnsi="Times New Roman" w:cs="Times New Roman"/>
          <w:noProof/>
          <w:sz w:val="24"/>
          <w:szCs w:val="24"/>
          <w:lang w:val="sq-AL"/>
        </w:rPr>
        <w:t xml:space="preserve">, </w:t>
      </w:r>
      <w:r w:rsidR="00735EFA" w:rsidRPr="00641640">
        <w:rPr>
          <w:rFonts w:ascii="Times New Roman" w:eastAsia="Times New Roman" w:hAnsi="Times New Roman" w:cs="Times New Roman"/>
          <w:noProof/>
          <w:sz w:val="24"/>
          <w:szCs w:val="24"/>
          <w:lang w:val="sq-AL"/>
        </w:rPr>
        <w:t>duke synuar t</w:t>
      </w:r>
      <w:r w:rsidR="00F119EF" w:rsidRPr="00641640">
        <w:rPr>
          <w:rFonts w:ascii="Times New Roman" w:eastAsia="Times New Roman" w:hAnsi="Times New Roman" w:cs="Times New Roman"/>
          <w:noProof/>
          <w:sz w:val="24"/>
          <w:szCs w:val="24"/>
          <w:lang w:val="sq-AL"/>
        </w:rPr>
        <w:t>ë</w:t>
      </w:r>
      <w:r w:rsidR="00735EFA" w:rsidRPr="00641640">
        <w:rPr>
          <w:rFonts w:ascii="Times New Roman" w:eastAsia="Times New Roman" w:hAnsi="Times New Roman" w:cs="Times New Roman"/>
          <w:noProof/>
          <w:sz w:val="24"/>
          <w:szCs w:val="24"/>
          <w:lang w:val="sq-AL"/>
        </w:rPr>
        <w:t xml:space="preserve"> </w:t>
      </w:r>
      <w:r w:rsidRPr="00641640">
        <w:rPr>
          <w:rFonts w:ascii="Times New Roman" w:eastAsia="Times New Roman" w:hAnsi="Times New Roman" w:cs="Times New Roman"/>
          <w:noProof/>
          <w:sz w:val="24"/>
          <w:szCs w:val="24"/>
          <w:lang w:val="sq-AL"/>
        </w:rPr>
        <w:t>adresoj</w:t>
      </w:r>
      <w:r w:rsidR="00F119EF"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 xml:space="preserve"> t</w:t>
      </w:r>
      <w:r w:rsidR="00F119EF" w:rsidRPr="00641640">
        <w:rPr>
          <w:rFonts w:ascii="Times New Roman" w:eastAsia="Times New Roman" w:hAnsi="Times New Roman" w:cs="Times New Roman"/>
          <w:noProof/>
          <w:sz w:val="24"/>
          <w:szCs w:val="24"/>
          <w:lang w:val="sq-AL"/>
        </w:rPr>
        <w:t>ë</w:t>
      </w:r>
      <w:r w:rsidRPr="00641640">
        <w:rPr>
          <w:rFonts w:ascii="Times New Roman" w:eastAsia="Times New Roman" w:hAnsi="Times New Roman" w:cs="Times New Roman"/>
          <w:noProof/>
          <w:sz w:val="24"/>
          <w:szCs w:val="24"/>
          <w:lang w:val="sq-AL"/>
        </w:rPr>
        <w:t xml:space="preserve"> gjitha gjetje</w:t>
      </w:r>
      <w:r w:rsidR="00735EFA" w:rsidRPr="00641640">
        <w:rPr>
          <w:rFonts w:ascii="Times New Roman" w:eastAsia="Times New Roman" w:hAnsi="Times New Roman" w:cs="Times New Roman"/>
          <w:noProof/>
          <w:sz w:val="24"/>
          <w:szCs w:val="24"/>
          <w:lang w:val="sq-AL"/>
        </w:rPr>
        <w:t>t</w:t>
      </w:r>
      <w:r w:rsidRPr="00641640">
        <w:rPr>
          <w:rFonts w:ascii="Times New Roman" w:eastAsia="Times New Roman" w:hAnsi="Times New Roman" w:cs="Times New Roman"/>
          <w:noProof/>
          <w:sz w:val="24"/>
          <w:szCs w:val="24"/>
          <w:lang w:val="sq-AL"/>
        </w:rPr>
        <w:t xml:space="preserve"> </w:t>
      </w:r>
      <w:r w:rsidR="00863B47" w:rsidRPr="00641640">
        <w:rPr>
          <w:rFonts w:ascii="Times New Roman" w:eastAsia="Times New Roman" w:hAnsi="Times New Roman" w:cs="Times New Roman"/>
          <w:noProof/>
          <w:sz w:val="24"/>
          <w:szCs w:val="24"/>
          <w:lang w:val="sq-AL"/>
        </w:rPr>
        <w:t xml:space="preserve">mbi rritjen e </w:t>
      </w:r>
      <w:r w:rsidR="00F1251E" w:rsidRPr="00641640">
        <w:rPr>
          <w:rFonts w:ascii="Times New Roman" w:hAnsi="Times New Roman" w:cs="Times New Roman"/>
          <w:noProof/>
          <w:sz w:val="24"/>
          <w:szCs w:val="24"/>
          <w:lang w:val="sq-AL"/>
        </w:rPr>
        <w:t>llogaridhënies së brendshme në administratën publike</w:t>
      </w:r>
      <w:r w:rsidR="00A74CFD" w:rsidRPr="00641640">
        <w:rPr>
          <w:rFonts w:ascii="Times New Roman" w:hAnsi="Times New Roman" w:cs="Times New Roman"/>
          <w:noProof/>
          <w:sz w:val="24"/>
          <w:szCs w:val="24"/>
          <w:lang w:val="sq-AL"/>
        </w:rPr>
        <w:t>, pritet t</w:t>
      </w:r>
      <w:r w:rsidR="00F119EF" w:rsidRPr="00641640">
        <w:rPr>
          <w:rFonts w:ascii="Times New Roman" w:hAnsi="Times New Roman" w:cs="Times New Roman"/>
          <w:noProof/>
          <w:sz w:val="24"/>
          <w:szCs w:val="24"/>
          <w:lang w:val="sq-AL"/>
        </w:rPr>
        <w:t>ë</w:t>
      </w:r>
      <w:r w:rsidR="00A74CFD" w:rsidRPr="00641640">
        <w:rPr>
          <w:rFonts w:ascii="Times New Roman" w:hAnsi="Times New Roman" w:cs="Times New Roman"/>
          <w:noProof/>
          <w:sz w:val="24"/>
          <w:szCs w:val="24"/>
          <w:lang w:val="sq-AL"/>
        </w:rPr>
        <w:t xml:space="preserve"> jap</w:t>
      </w:r>
      <w:r w:rsidR="00F119EF" w:rsidRPr="00641640">
        <w:rPr>
          <w:rFonts w:ascii="Times New Roman" w:hAnsi="Times New Roman" w:cs="Times New Roman"/>
          <w:noProof/>
          <w:sz w:val="24"/>
          <w:szCs w:val="24"/>
          <w:lang w:val="sq-AL"/>
        </w:rPr>
        <w:t>ë</w:t>
      </w:r>
      <w:r w:rsidR="00A74CFD" w:rsidRPr="00641640">
        <w:rPr>
          <w:rFonts w:ascii="Times New Roman" w:hAnsi="Times New Roman" w:cs="Times New Roman"/>
          <w:noProof/>
          <w:sz w:val="24"/>
          <w:szCs w:val="24"/>
          <w:lang w:val="sq-AL"/>
        </w:rPr>
        <w:t xml:space="preserve"> rezultatet si m</w:t>
      </w:r>
      <w:r w:rsidR="00F119EF" w:rsidRPr="00641640">
        <w:rPr>
          <w:rFonts w:ascii="Times New Roman" w:hAnsi="Times New Roman" w:cs="Times New Roman"/>
          <w:noProof/>
          <w:sz w:val="24"/>
          <w:szCs w:val="24"/>
          <w:lang w:val="sq-AL"/>
        </w:rPr>
        <w:t>ë</w:t>
      </w:r>
      <w:r w:rsidR="00A74CFD" w:rsidRPr="00641640">
        <w:rPr>
          <w:rFonts w:ascii="Times New Roman" w:hAnsi="Times New Roman" w:cs="Times New Roman"/>
          <w:noProof/>
          <w:sz w:val="24"/>
          <w:szCs w:val="24"/>
          <w:lang w:val="sq-AL"/>
        </w:rPr>
        <w:t xml:space="preserve"> posht</w:t>
      </w:r>
      <w:r w:rsidR="00F119EF" w:rsidRPr="00641640">
        <w:rPr>
          <w:rFonts w:ascii="Times New Roman" w:hAnsi="Times New Roman" w:cs="Times New Roman"/>
          <w:noProof/>
          <w:sz w:val="24"/>
          <w:szCs w:val="24"/>
          <w:lang w:val="sq-AL"/>
        </w:rPr>
        <w:t>ë</w:t>
      </w:r>
      <w:r w:rsidR="00A74CFD" w:rsidRPr="00641640">
        <w:rPr>
          <w:rFonts w:ascii="Times New Roman" w:hAnsi="Times New Roman" w:cs="Times New Roman"/>
          <w:noProof/>
          <w:sz w:val="24"/>
          <w:szCs w:val="24"/>
          <w:lang w:val="sq-AL"/>
        </w:rPr>
        <w:t xml:space="preserve"> vijon:</w:t>
      </w:r>
    </w:p>
    <w:p w14:paraId="6F6FCC0A" w14:textId="0EC7EA37" w:rsidR="00003663" w:rsidRPr="00641640" w:rsidRDefault="00003663" w:rsidP="00F863ED">
      <w:pPr>
        <w:spacing w:line="276" w:lineRule="auto"/>
        <w:jc w:val="both"/>
        <w:rPr>
          <w:rFonts w:ascii="Times New Roman" w:eastAsiaTheme="minorHAnsi"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1:</w:t>
      </w:r>
      <w:r w:rsidRPr="00641640">
        <w:rPr>
          <w:rFonts w:ascii="Times New Roman" w:eastAsia="Times New Roman" w:hAnsi="Times New Roman" w:cs="Times New Roman"/>
          <w:noProof/>
          <w:sz w:val="24"/>
          <w:szCs w:val="24"/>
          <w:lang w:val="sq-AL"/>
        </w:rPr>
        <w:t xml:space="preserve"> </w:t>
      </w:r>
      <w:r w:rsidR="001D33AD" w:rsidRPr="00641640">
        <w:rPr>
          <w:rFonts w:ascii="Times New Roman" w:eastAsia="Times New Roman" w:hAnsi="Times New Roman" w:cs="Times New Roman"/>
          <w:noProof/>
          <w:sz w:val="24"/>
          <w:szCs w:val="24"/>
          <w:lang w:val="sq-AL"/>
        </w:rPr>
        <w:t>Raporte monitorimi për të gjitha institucionet e administratës shtetërore</w:t>
      </w:r>
      <w:r w:rsidR="000F243F" w:rsidRPr="00641640">
        <w:rPr>
          <w:rFonts w:ascii="Times New Roman" w:eastAsia="Times New Roman" w:hAnsi="Times New Roman" w:cs="Times New Roman"/>
          <w:noProof/>
          <w:sz w:val="24"/>
          <w:szCs w:val="24"/>
          <w:lang w:val="sq-AL"/>
        </w:rPr>
        <w:t xml:space="preserve">, mbi zbatimin e </w:t>
      </w:r>
      <w:r w:rsidR="00E573AA" w:rsidRPr="00641640">
        <w:rPr>
          <w:rFonts w:ascii="Times New Roman" w:eastAsiaTheme="minorHAnsi" w:hAnsi="Times New Roman" w:cs="Times New Roman"/>
          <w:noProof/>
          <w:sz w:val="24"/>
          <w:szCs w:val="24"/>
          <w:lang w:val="sq-AL"/>
        </w:rPr>
        <w:t>kornizës së llogaridhënies dhe caktimin e objektivave/indikatorëve në të gjitha sistemet ministrore</w:t>
      </w:r>
      <w:r w:rsidR="000F243F" w:rsidRPr="00641640">
        <w:rPr>
          <w:rFonts w:ascii="Times New Roman" w:eastAsiaTheme="minorHAnsi" w:hAnsi="Times New Roman" w:cs="Times New Roman"/>
          <w:noProof/>
          <w:sz w:val="24"/>
          <w:szCs w:val="24"/>
          <w:lang w:val="sq-AL"/>
        </w:rPr>
        <w:t>.</w:t>
      </w:r>
    </w:p>
    <w:p w14:paraId="2EF3904C" w14:textId="1F58CAFD" w:rsidR="00003663" w:rsidRPr="00641640" w:rsidRDefault="00003663" w:rsidP="00F863ED">
      <w:pPr>
        <w:spacing w:line="276" w:lineRule="auto"/>
        <w:jc w:val="both"/>
        <w:rPr>
          <w:rFonts w:ascii="Times New Roman" w:eastAsiaTheme="minorHAnsi" w:hAnsi="Times New Roman" w:cs="Times New Roman"/>
          <w:bCs/>
          <w:noProof/>
          <w:sz w:val="24"/>
          <w:szCs w:val="24"/>
          <w:lang w:val="sq-AL"/>
        </w:rPr>
      </w:pPr>
      <w:r w:rsidRPr="00641640">
        <w:rPr>
          <w:rFonts w:ascii="Times New Roman" w:eastAsia="Times New Roman" w:hAnsi="Times New Roman" w:cs="Times New Roman"/>
          <w:b/>
          <w:bCs/>
          <w:noProof/>
          <w:sz w:val="24"/>
          <w:szCs w:val="24"/>
          <w:lang w:val="sq-AL"/>
        </w:rPr>
        <w:t>Rezultati 2:</w:t>
      </w:r>
      <w:r w:rsidRPr="00641640">
        <w:rPr>
          <w:rFonts w:ascii="Times New Roman" w:eastAsia="Times New Roman" w:hAnsi="Times New Roman" w:cs="Times New Roman"/>
          <w:noProof/>
          <w:sz w:val="24"/>
          <w:szCs w:val="24"/>
          <w:lang w:val="sq-AL"/>
        </w:rPr>
        <w:t xml:space="preserve"> </w:t>
      </w:r>
      <w:r w:rsidR="00B84147" w:rsidRPr="00641640">
        <w:rPr>
          <w:rFonts w:ascii="Times New Roman" w:eastAsiaTheme="minorHAnsi" w:hAnsi="Times New Roman" w:cs="Times New Roman"/>
          <w:bCs/>
          <w:noProof/>
          <w:sz w:val="24"/>
          <w:szCs w:val="24"/>
          <w:lang w:val="sq-AL"/>
        </w:rPr>
        <w:t>Trajtimi brenda afateve ligjore t</w:t>
      </w:r>
      <w:r w:rsidR="00F119EF" w:rsidRPr="00641640">
        <w:rPr>
          <w:rFonts w:ascii="Times New Roman" w:eastAsiaTheme="minorHAnsi" w:hAnsi="Times New Roman" w:cs="Times New Roman"/>
          <w:bCs/>
          <w:noProof/>
          <w:sz w:val="24"/>
          <w:szCs w:val="24"/>
          <w:lang w:val="sq-AL"/>
        </w:rPr>
        <w:t>ë</w:t>
      </w:r>
      <w:r w:rsidR="00B84147" w:rsidRPr="00641640">
        <w:rPr>
          <w:rFonts w:ascii="Times New Roman" w:eastAsiaTheme="minorHAnsi" w:hAnsi="Times New Roman" w:cs="Times New Roman"/>
          <w:bCs/>
          <w:noProof/>
          <w:sz w:val="24"/>
          <w:szCs w:val="24"/>
          <w:lang w:val="sq-AL"/>
        </w:rPr>
        <w:t xml:space="preserve"> ankesave dhe kërkesave të lidhura me veprimtarinë e administratës shtetërore dhe raportime mujore për performancën e institucioneve</w:t>
      </w:r>
      <w:r w:rsidR="00335E0C" w:rsidRPr="00641640">
        <w:rPr>
          <w:rFonts w:ascii="Times New Roman" w:eastAsiaTheme="minorHAnsi" w:hAnsi="Times New Roman" w:cs="Times New Roman"/>
          <w:bCs/>
          <w:noProof/>
          <w:sz w:val="24"/>
          <w:szCs w:val="24"/>
          <w:lang w:val="sq-AL"/>
        </w:rPr>
        <w:t xml:space="preserve"> n</w:t>
      </w:r>
      <w:r w:rsidR="00F119EF" w:rsidRPr="00641640">
        <w:rPr>
          <w:rFonts w:ascii="Times New Roman" w:eastAsiaTheme="minorHAnsi" w:hAnsi="Times New Roman" w:cs="Times New Roman"/>
          <w:bCs/>
          <w:noProof/>
          <w:sz w:val="24"/>
          <w:szCs w:val="24"/>
          <w:lang w:val="sq-AL"/>
        </w:rPr>
        <w:t>ë</w:t>
      </w:r>
      <w:r w:rsidR="00335E0C" w:rsidRPr="00641640">
        <w:rPr>
          <w:rFonts w:ascii="Times New Roman" w:eastAsiaTheme="minorHAnsi" w:hAnsi="Times New Roman" w:cs="Times New Roman"/>
          <w:bCs/>
          <w:noProof/>
          <w:sz w:val="24"/>
          <w:szCs w:val="24"/>
          <w:lang w:val="sq-AL"/>
        </w:rPr>
        <w:t xml:space="preserve"> nivel q</w:t>
      </w:r>
      <w:r w:rsidR="00F119EF" w:rsidRPr="00641640">
        <w:rPr>
          <w:rFonts w:ascii="Times New Roman" w:eastAsiaTheme="minorHAnsi" w:hAnsi="Times New Roman" w:cs="Times New Roman"/>
          <w:bCs/>
          <w:noProof/>
          <w:sz w:val="24"/>
          <w:szCs w:val="24"/>
          <w:lang w:val="sq-AL"/>
        </w:rPr>
        <w:t>ë</w:t>
      </w:r>
      <w:r w:rsidR="00335E0C" w:rsidRPr="00641640">
        <w:rPr>
          <w:rFonts w:ascii="Times New Roman" w:eastAsiaTheme="minorHAnsi" w:hAnsi="Times New Roman" w:cs="Times New Roman"/>
          <w:bCs/>
          <w:noProof/>
          <w:sz w:val="24"/>
          <w:szCs w:val="24"/>
          <w:lang w:val="sq-AL"/>
        </w:rPr>
        <w:t>ndror dhe vendor.</w:t>
      </w:r>
    </w:p>
    <w:p w14:paraId="50F38668" w14:textId="17062C1D" w:rsidR="00003663" w:rsidRPr="00641640" w:rsidRDefault="00003663" w:rsidP="00F863ED">
      <w:pPr>
        <w:spacing w:line="276" w:lineRule="auto"/>
        <w:jc w:val="both"/>
        <w:rPr>
          <w:rFonts w:ascii="Times New Roman" w:eastAsiaTheme="minorHAnsi"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3:</w:t>
      </w:r>
      <w:r w:rsidRPr="00641640">
        <w:rPr>
          <w:rFonts w:ascii="Times New Roman" w:eastAsia="Times New Roman" w:hAnsi="Times New Roman" w:cs="Times New Roman"/>
          <w:noProof/>
          <w:sz w:val="24"/>
          <w:szCs w:val="24"/>
          <w:lang w:val="sq-AL"/>
        </w:rPr>
        <w:t xml:space="preserve"> </w:t>
      </w:r>
      <w:r w:rsidR="00C07414" w:rsidRPr="00641640">
        <w:rPr>
          <w:rFonts w:ascii="Times New Roman" w:eastAsiaTheme="minorHAnsi" w:hAnsi="Times New Roman" w:cs="Times New Roman"/>
          <w:noProof/>
          <w:sz w:val="24"/>
          <w:szCs w:val="24"/>
          <w:lang w:val="sq-AL"/>
        </w:rPr>
        <w:t>Ofrim të standardeve më të mira për publikun</w:t>
      </w:r>
      <w:r w:rsidRPr="00641640">
        <w:rPr>
          <w:rFonts w:ascii="Times New Roman" w:eastAsiaTheme="minorHAnsi" w:hAnsi="Times New Roman" w:cs="Times New Roman"/>
          <w:noProof/>
          <w:sz w:val="24"/>
          <w:szCs w:val="24"/>
          <w:lang w:val="sq-AL"/>
        </w:rPr>
        <w:t xml:space="preserve"> </w:t>
      </w:r>
      <w:r w:rsidR="006A7F76" w:rsidRPr="00641640">
        <w:rPr>
          <w:rFonts w:ascii="Times New Roman" w:eastAsiaTheme="minorHAnsi" w:hAnsi="Times New Roman" w:cs="Times New Roman"/>
          <w:noProof/>
          <w:sz w:val="24"/>
          <w:szCs w:val="24"/>
          <w:lang w:val="sq-AL"/>
        </w:rPr>
        <w:t>p</w:t>
      </w:r>
      <w:r w:rsidR="00F119EF" w:rsidRPr="00641640">
        <w:rPr>
          <w:rFonts w:ascii="Times New Roman" w:eastAsiaTheme="minorHAnsi" w:hAnsi="Times New Roman" w:cs="Times New Roman"/>
          <w:noProof/>
          <w:sz w:val="24"/>
          <w:szCs w:val="24"/>
          <w:lang w:val="sq-AL"/>
        </w:rPr>
        <w:t>ë</w:t>
      </w:r>
      <w:r w:rsidR="006A7F76" w:rsidRPr="00641640">
        <w:rPr>
          <w:rFonts w:ascii="Times New Roman" w:eastAsiaTheme="minorHAnsi" w:hAnsi="Times New Roman" w:cs="Times New Roman"/>
          <w:noProof/>
          <w:sz w:val="24"/>
          <w:szCs w:val="24"/>
          <w:lang w:val="sq-AL"/>
        </w:rPr>
        <w:t>rmes harmonizimimit t</w:t>
      </w:r>
      <w:r w:rsidR="00F119EF" w:rsidRPr="00641640">
        <w:rPr>
          <w:rFonts w:ascii="Times New Roman" w:eastAsiaTheme="minorHAnsi" w:hAnsi="Times New Roman" w:cs="Times New Roman"/>
          <w:noProof/>
          <w:sz w:val="24"/>
          <w:szCs w:val="24"/>
          <w:lang w:val="sq-AL"/>
        </w:rPr>
        <w:t>ë</w:t>
      </w:r>
      <w:r w:rsidR="006A7F76" w:rsidRPr="00641640">
        <w:rPr>
          <w:rFonts w:ascii="Times New Roman" w:eastAsiaTheme="minorHAnsi" w:hAnsi="Times New Roman" w:cs="Times New Roman"/>
          <w:noProof/>
          <w:sz w:val="24"/>
          <w:szCs w:val="24"/>
          <w:lang w:val="sq-AL"/>
        </w:rPr>
        <w:t xml:space="preserve"> legjislacionit sektorial me dispozitat e Kodit të Procedurave Administrative.</w:t>
      </w:r>
    </w:p>
    <w:p w14:paraId="2978129C" w14:textId="7EA90822" w:rsidR="00003663" w:rsidRPr="00641640" w:rsidRDefault="00003663"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kryesore:</w:t>
      </w:r>
      <w:r w:rsidRPr="00641640">
        <w:rPr>
          <w:rFonts w:ascii="Times New Roman" w:eastAsia="Times New Roman" w:hAnsi="Times New Roman" w:cs="Times New Roman"/>
          <w:noProof/>
          <w:sz w:val="24"/>
          <w:szCs w:val="24"/>
          <w:lang w:val="sq-AL"/>
        </w:rPr>
        <w:t xml:space="preserve"> </w:t>
      </w:r>
      <w:r w:rsidR="00183C8B" w:rsidRPr="00641640">
        <w:rPr>
          <w:rFonts w:ascii="Times New Roman" w:eastAsia="Times New Roman" w:hAnsi="Times New Roman" w:cs="Times New Roman"/>
          <w:noProof/>
          <w:sz w:val="24"/>
          <w:szCs w:val="24"/>
          <w:lang w:val="sq-AL"/>
        </w:rPr>
        <w:t>DAP, ADB</w:t>
      </w:r>
      <w:r w:rsidR="000B1D4A">
        <w:rPr>
          <w:rFonts w:ascii="Times New Roman" w:eastAsia="Times New Roman" w:hAnsi="Times New Roman" w:cs="Times New Roman"/>
          <w:noProof/>
          <w:sz w:val="24"/>
          <w:szCs w:val="24"/>
          <w:lang w:val="sq-AL"/>
        </w:rPr>
        <w:t xml:space="preserve">, </w:t>
      </w:r>
      <w:r w:rsidR="000B1D4A" w:rsidRPr="000B1D4A">
        <w:rPr>
          <w:rFonts w:ascii="Times New Roman" w:eastAsia="Times New Roman" w:hAnsi="Times New Roman" w:cs="Times New Roman"/>
          <w:noProof/>
          <w:sz w:val="24"/>
          <w:szCs w:val="24"/>
          <w:lang w:val="sq-AL"/>
        </w:rPr>
        <w:t>AKSHI, Ministritë e Linjës</w:t>
      </w:r>
      <w:r w:rsidR="000B1D4A">
        <w:rPr>
          <w:rFonts w:ascii="Times New Roman" w:eastAsia="Times New Roman" w:hAnsi="Times New Roman" w:cs="Times New Roman"/>
          <w:noProof/>
          <w:sz w:val="24"/>
          <w:szCs w:val="24"/>
          <w:lang w:val="sq-AL"/>
        </w:rPr>
        <w:t>.</w:t>
      </w:r>
    </w:p>
    <w:p w14:paraId="753463C9" w14:textId="782AD7D4" w:rsidR="00003663" w:rsidRPr="00641640" w:rsidRDefault="00003663"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kontributore:</w:t>
      </w:r>
      <w:r w:rsidRPr="00641640">
        <w:rPr>
          <w:rFonts w:ascii="Times New Roman" w:eastAsia="Times New Roman" w:hAnsi="Times New Roman" w:cs="Times New Roman"/>
          <w:noProof/>
          <w:sz w:val="24"/>
          <w:szCs w:val="24"/>
          <w:lang w:val="sq-AL"/>
        </w:rPr>
        <w:t xml:space="preserve"> </w:t>
      </w:r>
      <w:r w:rsidR="001A5B19" w:rsidRPr="007117AA">
        <w:rPr>
          <w:rFonts w:ascii="Times New Roman" w:eastAsia="Arial" w:hAnsi="Times New Roman" w:cs="Times New Roman"/>
          <w:noProof/>
          <w:sz w:val="24"/>
          <w:szCs w:val="24"/>
          <w:lang w:val="sq-AL"/>
        </w:rPr>
        <w:t>Këshilli i Ministrave,</w:t>
      </w:r>
      <w:r w:rsidR="001A5B19">
        <w:rPr>
          <w:rFonts w:ascii="Times New Roman" w:eastAsia="Arial" w:hAnsi="Times New Roman" w:cs="Times New Roman"/>
          <w:noProof/>
          <w:sz w:val="24"/>
          <w:szCs w:val="24"/>
          <w:lang w:val="sq-AL"/>
        </w:rPr>
        <w:t xml:space="preserve"> </w:t>
      </w:r>
      <w:r w:rsidR="007117AA" w:rsidRPr="007117AA">
        <w:rPr>
          <w:rFonts w:ascii="Times New Roman" w:eastAsia="Arial" w:hAnsi="Times New Roman" w:cs="Times New Roman"/>
          <w:noProof/>
          <w:sz w:val="24"/>
          <w:szCs w:val="24"/>
          <w:lang w:val="sq-AL"/>
        </w:rPr>
        <w:t xml:space="preserve">Ministritë e </w:t>
      </w:r>
      <w:r w:rsidR="001A5B19">
        <w:rPr>
          <w:rFonts w:ascii="Times New Roman" w:eastAsia="Arial" w:hAnsi="Times New Roman" w:cs="Times New Roman"/>
          <w:noProof/>
          <w:sz w:val="24"/>
          <w:szCs w:val="24"/>
          <w:lang w:val="sq-AL"/>
        </w:rPr>
        <w:t>L</w:t>
      </w:r>
      <w:r w:rsidR="007117AA" w:rsidRPr="007117AA">
        <w:rPr>
          <w:rFonts w:ascii="Times New Roman" w:eastAsia="Arial" w:hAnsi="Times New Roman" w:cs="Times New Roman"/>
          <w:noProof/>
          <w:sz w:val="24"/>
          <w:szCs w:val="24"/>
          <w:lang w:val="sq-AL"/>
        </w:rPr>
        <w:t xml:space="preserve">injës, Institucionet e Varësisë, Institucionet e </w:t>
      </w:r>
      <w:r w:rsidR="00E10C95">
        <w:rPr>
          <w:rFonts w:ascii="Times New Roman" w:eastAsia="Arial" w:hAnsi="Times New Roman" w:cs="Times New Roman"/>
          <w:noProof/>
          <w:sz w:val="24"/>
          <w:szCs w:val="24"/>
          <w:lang w:val="sq-AL"/>
        </w:rPr>
        <w:t>A</w:t>
      </w:r>
      <w:r w:rsidR="007117AA" w:rsidRPr="007117AA">
        <w:rPr>
          <w:rFonts w:ascii="Times New Roman" w:eastAsia="Arial" w:hAnsi="Times New Roman" w:cs="Times New Roman"/>
          <w:noProof/>
          <w:sz w:val="24"/>
          <w:szCs w:val="24"/>
          <w:lang w:val="sq-AL"/>
        </w:rPr>
        <w:t xml:space="preserve">dministratës </w:t>
      </w:r>
      <w:r w:rsidR="00E10C95">
        <w:rPr>
          <w:rFonts w:ascii="Times New Roman" w:eastAsia="Arial" w:hAnsi="Times New Roman" w:cs="Times New Roman"/>
          <w:noProof/>
          <w:sz w:val="24"/>
          <w:szCs w:val="24"/>
          <w:lang w:val="sq-AL"/>
        </w:rPr>
        <w:t>S</w:t>
      </w:r>
      <w:r w:rsidR="007117AA" w:rsidRPr="007117AA">
        <w:rPr>
          <w:rFonts w:ascii="Times New Roman" w:eastAsia="Arial" w:hAnsi="Times New Roman" w:cs="Times New Roman"/>
          <w:noProof/>
          <w:sz w:val="24"/>
          <w:szCs w:val="24"/>
          <w:lang w:val="sq-AL"/>
        </w:rPr>
        <w:t>htetërore</w:t>
      </w:r>
      <w:r w:rsidR="001A5B19">
        <w:rPr>
          <w:rFonts w:ascii="Times New Roman" w:eastAsia="Arial" w:hAnsi="Times New Roman" w:cs="Times New Roman"/>
          <w:noProof/>
          <w:sz w:val="24"/>
          <w:szCs w:val="24"/>
          <w:lang w:val="sq-AL"/>
        </w:rPr>
        <w:t xml:space="preserve">, </w:t>
      </w:r>
      <w:r w:rsidR="00E10C95">
        <w:rPr>
          <w:rFonts w:ascii="Times New Roman" w:eastAsia="Arial" w:hAnsi="Times New Roman" w:cs="Times New Roman"/>
          <w:noProof/>
          <w:sz w:val="24"/>
          <w:szCs w:val="24"/>
          <w:lang w:val="sq-AL"/>
        </w:rPr>
        <w:t>N</w:t>
      </w:r>
      <w:r w:rsidR="007117AA" w:rsidRPr="007117AA">
        <w:rPr>
          <w:rFonts w:ascii="Times New Roman" w:eastAsia="Arial" w:hAnsi="Times New Roman" w:cs="Times New Roman"/>
          <w:noProof/>
          <w:sz w:val="24"/>
          <w:szCs w:val="24"/>
          <w:lang w:val="sq-AL"/>
        </w:rPr>
        <w:t xml:space="preserve">jësitë e </w:t>
      </w:r>
      <w:r w:rsidR="00E10C95">
        <w:rPr>
          <w:rFonts w:ascii="Times New Roman" w:eastAsia="Arial" w:hAnsi="Times New Roman" w:cs="Times New Roman"/>
          <w:noProof/>
          <w:sz w:val="24"/>
          <w:szCs w:val="24"/>
          <w:lang w:val="sq-AL"/>
        </w:rPr>
        <w:t>Q</w:t>
      </w:r>
      <w:r w:rsidR="007117AA" w:rsidRPr="007117AA">
        <w:rPr>
          <w:rFonts w:ascii="Times New Roman" w:eastAsia="Arial" w:hAnsi="Times New Roman" w:cs="Times New Roman"/>
          <w:noProof/>
          <w:sz w:val="24"/>
          <w:szCs w:val="24"/>
          <w:lang w:val="sq-AL"/>
        </w:rPr>
        <w:t xml:space="preserve">everisjes </w:t>
      </w:r>
      <w:r w:rsidR="00E10C95">
        <w:rPr>
          <w:rFonts w:ascii="Times New Roman" w:eastAsia="Arial" w:hAnsi="Times New Roman" w:cs="Times New Roman"/>
          <w:noProof/>
          <w:sz w:val="24"/>
          <w:szCs w:val="24"/>
          <w:lang w:val="sq-AL"/>
        </w:rPr>
        <w:t>V</w:t>
      </w:r>
      <w:r w:rsidR="007117AA" w:rsidRPr="007117AA">
        <w:rPr>
          <w:rFonts w:ascii="Times New Roman" w:eastAsia="Arial" w:hAnsi="Times New Roman" w:cs="Times New Roman"/>
          <w:noProof/>
          <w:sz w:val="24"/>
          <w:szCs w:val="24"/>
          <w:lang w:val="sq-AL"/>
        </w:rPr>
        <w:t xml:space="preserve">endore (bashkitë), </w:t>
      </w:r>
      <w:r w:rsidR="00410F6F">
        <w:rPr>
          <w:rFonts w:ascii="Times New Roman" w:eastAsia="Arial" w:hAnsi="Times New Roman" w:cs="Times New Roman"/>
          <w:noProof/>
          <w:sz w:val="24"/>
          <w:szCs w:val="24"/>
          <w:lang w:val="sq-AL"/>
        </w:rPr>
        <w:t>P</w:t>
      </w:r>
      <w:r w:rsidR="007117AA" w:rsidRPr="007117AA">
        <w:rPr>
          <w:rFonts w:ascii="Times New Roman" w:eastAsia="Arial" w:hAnsi="Times New Roman" w:cs="Times New Roman"/>
          <w:noProof/>
          <w:sz w:val="24"/>
          <w:szCs w:val="24"/>
          <w:lang w:val="sq-AL"/>
        </w:rPr>
        <w:t>artnerët</w:t>
      </w:r>
      <w:r w:rsidR="004C1BBF" w:rsidRPr="00641640">
        <w:rPr>
          <w:rFonts w:ascii="Times New Roman" w:eastAsia="Arial" w:hAnsi="Times New Roman" w:cs="Times New Roman"/>
          <w:noProof/>
          <w:sz w:val="24"/>
          <w:szCs w:val="24"/>
          <w:lang w:val="sq-AL"/>
        </w:rPr>
        <w:t>.</w:t>
      </w:r>
    </w:p>
    <w:p w14:paraId="246C2384" w14:textId="77777777" w:rsidR="00F119EF" w:rsidRPr="00641640" w:rsidRDefault="00F119EF" w:rsidP="00F863ED">
      <w:pPr>
        <w:spacing w:after="0" w:line="276" w:lineRule="auto"/>
        <w:jc w:val="both"/>
        <w:rPr>
          <w:rFonts w:ascii="Times New Roman" w:hAnsi="Times New Roman" w:cs="Times New Roman"/>
          <w:b/>
          <w:bCs/>
          <w:noProof/>
          <w:sz w:val="24"/>
          <w:szCs w:val="24"/>
          <w:lang w:val="sq-AL"/>
        </w:rPr>
      </w:pPr>
    </w:p>
    <w:p w14:paraId="19BC6E56" w14:textId="7B41BFE8" w:rsidR="00003663" w:rsidRPr="00641640" w:rsidRDefault="00003663"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Masat dhe aktivitetet</w:t>
      </w:r>
    </w:p>
    <w:p w14:paraId="6018595F" w14:textId="7F926303" w:rsidR="003748C9" w:rsidRPr="00641640" w:rsidRDefault="003748C9" w:rsidP="003A395D">
      <w:pPr>
        <w:shd w:val="clear" w:color="auto" w:fill="FFFFFF" w:themeFill="background1"/>
        <w:spacing w:beforeAutospacing="1" w:after="0" w:line="276" w:lineRule="auto"/>
        <w:jc w:val="both"/>
        <w:textAlignment w:val="baseline"/>
        <w:rPr>
          <w:rFonts w:ascii="Times New Roman" w:hAnsi="Times New Roman" w:cs="Times New Roman"/>
          <w:bCs/>
          <w:noProof/>
          <w:color w:val="000000" w:themeColor="text1"/>
          <w:sz w:val="24"/>
          <w:szCs w:val="24"/>
          <w:lang w:val="sq-AL"/>
        </w:rPr>
      </w:pPr>
      <w:r w:rsidRPr="00641640">
        <w:rPr>
          <w:rFonts w:ascii="Times New Roman" w:hAnsi="Times New Roman" w:cs="Times New Roman"/>
          <w:bCs/>
          <w:noProof/>
          <w:color w:val="000000" w:themeColor="text1"/>
          <w:sz w:val="24"/>
          <w:szCs w:val="24"/>
          <w:lang w:val="sq-AL"/>
        </w:rPr>
        <w:t xml:space="preserve">Ky </w:t>
      </w:r>
      <w:r w:rsidR="009051D8" w:rsidRPr="00641640">
        <w:rPr>
          <w:rFonts w:ascii="Times New Roman" w:hAnsi="Times New Roman" w:cs="Times New Roman"/>
          <w:bCs/>
          <w:noProof/>
          <w:color w:val="000000" w:themeColor="text1"/>
          <w:sz w:val="24"/>
          <w:szCs w:val="24"/>
          <w:lang w:val="sq-AL"/>
        </w:rPr>
        <w:t>o</w:t>
      </w:r>
      <w:r w:rsidRPr="00641640">
        <w:rPr>
          <w:rFonts w:ascii="Times New Roman" w:hAnsi="Times New Roman" w:cs="Times New Roman"/>
          <w:bCs/>
          <w:noProof/>
          <w:color w:val="000000" w:themeColor="text1"/>
          <w:sz w:val="24"/>
          <w:szCs w:val="24"/>
          <w:lang w:val="sq-AL"/>
        </w:rPr>
        <w:t xml:space="preserve">bjektiv </w:t>
      </w:r>
      <w:r w:rsidR="009051D8" w:rsidRPr="00641640">
        <w:rPr>
          <w:rFonts w:ascii="Times New Roman" w:hAnsi="Times New Roman" w:cs="Times New Roman"/>
          <w:bCs/>
          <w:noProof/>
          <w:color w:val="000000" w:themeColor="text1"/>
          <w:sz w:val="24"/>
          <w:szCs w:val="24"/>
          <w:lang w:val="sq-AL"/>
        </w:rPr>
        <w:t>s</w:t>
      </w:r>
      <w:r w:rsidRPr="00641640">
        <w:rPr>
          <w:rFonts w:ascii="Times New Roman" w:hAnsi="Times New Roman" w:cs="Times New Roman"/>
          <w:bCs/>
          <w:noProof/>
          <w:color w:val="000000" w:themeColor="text1"/>
          <w:sz w:val="24"/>
          <w:szCs w:val="24"/>
          <w:lang w:val="sq-AL"/>
        </w:rPr>
        <w:t>pecifik do të zbatohet përmes masave të mëposhtme, teksa aktivitetet konkrete për periudhën e parë të zbatimit të SNRAP 202</w:t>
      </w:r>
      <w:r w:rsidR="00426B05" w:rsidRPr="00641640">
        <w:rPr>
          <w:rFonts w:ascii="Times New Roman" w:hAnsi="Times New Roman" w:cs="Times New Roman"/>
          <w:bCs/>
          <w:noProof/>
          <w:color w:val="000000" w:themeColor="text1"/>
          <w:sz w:val="24"/>
          <w:szCs w:val="24"/>
          <w:lang w:val="sq-AL"/>
        </w:rPr>
        <w:t>5</w:t>
      </w:r>
      <w:r w:rsidRPr="00641640">
        <w:rPr>
          <w:rFonts w:ascii="Times New Roman" w:hAnsi="Times New Roman" w:cs="Times New Roman"/>
          <w:bCs/>
          <w:noProof/>
          <w:color w:val="000000" w:themeColor="text1"/>
          <w:sz w:val="24"/>
          <w:szCs w:val="24"/>
          <w:lang w:val="sq-AL"/>
        </w:rPr>
        <w:t>-2030 mund të gjenden në Planin e Veprimit 202</w:t>
      </w:r>
      <w:r w:rsidR="00426B05" w:rsidRPr="00641640">
        <w:rPr>
          <w:rFonts w:ascii="Times New Roman" w:hAnsi="Times New Roman" w:cs="Times New Roman"/>
          <w:bCs/>
          <w:noProof/>
          <w:color w:val="000000" w:themeColor="text1"/>
          <w:sz w:val="24"/>
          <w:szCs w:val="24"/>
          <w:lang w:val="sq-AL"/>
        </w:rPr>
        <w:t>5</w:t>
      </w:r>
      <w:r w:rsidRPr="00641640">
        <w:rPr>
          <w:rFonts w:ascii="Times New Roman" w:hAnsi="Times New Roman" w:cs="Times New Roman"/>
          <w:bCs/>
          <w:noProof/>
          <w:color w:val="000000" w:themeColor="text1"/>
          <w:sz w:val="24"/>
          <w:szCs w:val="24"/>
          <w:lang w:val="sq-AL"/>
        </w:rPr>
        <w:t>-202</w:t>
      </w:r>
      <w:r w:rsidR="00426B05" w:rsidRPr="00641640">
        <w:rPr>
          <w:rFonts w:ascii="Times New Roman" w:hAnsi="Times New Roman" w:cs="Times New Roman"/>
          <w:bCs/>
          <w:noProof/>
          <w:color w:val="000000" w:themeColor="text1"/>
          <w:sz w:val="24"/>
          <w:szCs w:val="24"/>
          <w:lang w:val="sq-AL"/>
        </w:rPr>
        <w:t>7</w:t>
      </w:r>
      <w:r w:rsidRPr="00641640">
        <w:rPr>
          <w:rFonts w:ascii="Times New Roman" w:hAnsi="Times New Roman" w:cs="Times New Roman"/>
          <w:bCs/>
          <w:noProof/>
          <w:color w:val="000000" w:themeColor="text1"/>
          <w:sz w:val="24"/>
          <w:szCs w:val="24"/>
          <w:lang w:val="sq-AL"/>
        </w:rPr>
        <w:t xml:space="preserve"> (Aneksi nr. 1).</w:t>
      </w:r>
    </w:p>
    <w:p w14:paraId="21298E1F" w14:textId="77777777" w:rsidR="003748C9" w:rsidRPr="00641640" w:rsidRDefault="003748C9" w:rsidP="003A395D">
      <w:pPr>
        <w:spacing w:after="0" w:line="276" w:lineRule="auto"/>
        <w:jc w:val="both"/>
        <w:rPr>
          <w:rFonts w:ascii="Times New Roman" w:hAnsi="Times New Roman" w:cs="Times New Roman"/>
          <w:noProof/>
          <w:lang w:val="sq-AL"/>
        </w:rPr>
      </w:pPr>
    </w:p>
    <w:tbl>
      <w:tblPr>
        <w:tblStyle w:val="TableGridIDEA4"/>
        <w:tblW w:w="0" w:type="auto"/>
        <w:tblLook w:val="04A0" w:firstRow="1" w:lastRow="0" w:firstColumn="1" w:lastColumn="0" w:noHBand="0" w:noVBand="1"/>
      </w:tblPr>
      <w:tblGrid>
        <w:gridCol w:w="1163"/>
        <w:gridCol w:w="8187"/>
      </w:tblGrid>
      <w:tr w:rsidR="003748C9" w:rsidRPr="00641640" w14:paraId="2D6135CF" w14:textId="77777777" w:rsidTr="00050400">
        <w:trPr>
          <w:trHeight w:val="980"/>
        </w:trPr>
        <w:tc>
          <w:tcPr>
            <w:tcW w:w="9350" w:type="dxa"/>
            <w:gridSpan w:val="2"/>
            <w:shd w:val="clear" w:color="auto" w:fill="C5E0B3" w:themeFill="accent6" w:themeFillTint="66"/>
          </w:tcPr>
          <w:p w14:paraId="523DF15C" w14:textId="6F0DC7EB" w:rsidR="003748C9" w:rsidRPr="00641640" w:rsidRDefault="003748C9" w:rsidP="003A395D">
            <w:pPr>
              <w:spacing w:before="240" w:after="160" w:line="276" w:lineRule="auto"/>
              <w:jc w:val="center"/>
              <w:textAlignment w:val="baseline"/>
              <w:rPr>
                <w:rFonts w:ascii="Times New Roman" w:hAnsi="Times New Roman" w:cs="Times New Roman"/>
                <w:b/>
                <w:i/>
                <w:noProof/>
                <w:sz w:val="22"/>
                <w:szCs w:val="22"/>
                <w:lang w:val="sq-AL"/>
              </w:rPr>
            </w:pPr>
            <w:r w:rsidRPr="00641640">
              <w:rPr>
                <w:rFonts w:ascii="Times New Roman" w:hAnsi="Times New Roman" w:cs="Times New Roman"/>
                <w:b/>
                <w:i/>
                <w:noProof/>
                <w:sz w:val="22"/>
                <w:szCs w:val="22"/>
                <w:lang w:val="sq-AL"/>
              </w:rPr>
              <w:t xml:space="preserve">Objektivi Specifik </w:t>
            </w:r>
            <w:r w:rsidR="00426B05" w:rsidRPr="00641640">
              <w:rPr>
                <w:rFonts w:ascii="Times New Roman" w:hAnsi="Times New Roman" w:cs="Times New Roman"/>
                <w:b/>
                <w:i/>
                <w:noProof/>
                <w:sz w:val="22"/>
                <w:szCs w:val="22"/>
                <w:lang w:val="sq-AL"/>
              </w:rPr>
              <w:t>4</w:t>
            </w:r>
            <w:r w:rsidRPr="00641640">
              <w:rPr>
                <w:rFonts w:ascii="Times New Roman" w:hAnsi="Times New Roman" w:cs="Times New Roman"/>
                <w:b/>
                <w:i/>
                <w:noProof/>
                <w:sz w:val="22"/>
                <w:szCs w:val="22"/>
                <w:lang w:val="sq-AL"/>
              </w:rPr>
              <w:t>.2: Krijimi i mekanizmave të qartë të brendshëm që garantojnë llogaridhënien e punonjësve dhe drejtuesve të administratës publike për performancën dhe vendimmarrjen e tyre.</w:t>
            </w:r>
          </w:p>
        </w:tc>
      </w:tr>
      <w:tr w:rsidR="003748C9" w:rsidRPr="00641640" w14:paraId="060FB3EB" w14:textId="77777777" w:rsidTr="00050400">
        <w:tc>
          <w:tcPr>
            <w:tcW w:w="1163" w:type="dxa"/>
            <w:shd w:val="clear" w:color="auto" w:fill="C5E0B3" w:themeFill="accent6" w:themeFillTint="66"/>
          </w:tcPr>
          <w:p w14:paraId="055A0272" w14:textId="5856FF06" w:rsidR="003748C9" w:rsidRPr="00641640" w:rsidRDefault="003748C9" w:rsidP="003A395D">
            <w:pPr>
              <w:spacing w:beforeAutospacing="1" w:after="160"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7F3EF6" w:rsidRPr="00641640">
              <w:rPr>
                <w:rFonts w:ascii="Times New Roman" w:hAnsi="Times New Roman" w:cs="Times New Roman"/>
                <w:b/>
                <w:noProof/>
                <w:sz w:val="22"/>
                <w:szCs w:val="22"/>
                <w:lang w:val="sq-AL"/>
              </w:rPr>
              <w:t>4</w:t>
            </w:r>
            <w:r w:rsidRPr="00641640">
              <w:rPr>
                <w:rFonts w:ascii="Times New Roman" w:hAnsi="Times New Roman" w:cs="Times New Roman"/>
                <w:b/>
                <w:noProof/>
                <w:sz w:val="22"/>
                <w:szCs w:val="22"/>
                <w:lang w:val="sq-AL"/>
              </w:rPr>
              <w:t>.2.1</w:t>
            </w:r>
          </w:p>
        </w:tc>
        <w:tc>
          <w:tcPr>
            <w:tcW w:w="8187" w:type="dxa"/>
            <w:shd w:val="clear" w:color="auto" w:fill="auto"/>
          </w:tcPr>
          <w:p w14:paraId="691C8463" w14:textId="77777777" w:rsidR="003748C9" w:rsidRPr="00641640" w:rsidRDefault="003748C9"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Krijimi dhe zbatimi i një kornize të qartë monitorimi dhe funksionimi të institucioneve të varësisë, përmes rishikimit të ligjit nr. 90/2012 “Për organizimin dhe funksionimin e  administratës shtetërore”.</w:t>
            </w:r>
          </w:p>
        </w:tc>
      </w:tr>
      <w:tr w:rsidR="003748C9" w:rsidRPr="00641640" w14:paraId="1C55BA39" w14:textId="77777777" w:rsidTr="00050400">
        <w:tc>
          <w:tcPr>
            <w:tcW w:w="1163" w:type="dxa"/>
            <w:shd w:val="clear" w:color="auto" w:fill="C5E0B3" w:themeFill="accent6" w:themeFillTint="66"/>
          </w:tcPr>
          <w:p w14:paraId="2375EBB4" w14:textId="5193632F" w:rsidR="003748C9" w:rsidRPr="00641640" w:rsidRDefault="003748C9" w:rsidP="003A395D">
            <w:pPr>
              <w:spacing w:beforeAutospacing="1" w:after="160"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lastRenderedPageBreak/>
              <w:t xml:space="preserve">Masa </w:t>
            </w:r>
            <w:r w:rsidR="007F3EF6" w:rsidRPr="00641640">
              <w:rPr>
                <w:rFonts w:ascii="Times New Roman" w:hAnsi="Times New Roman" w:cs="Times New Roman"/>
                <w:b/>
                <w:noProof/>
                <w:sz w:val="22"/>
                <w:szCs w:val="22"/>
                <w:lang w:val="sq-AL"/>
              </w:rPr>
              <w:t>4</w:t>
            </w:r>
            <w:r w:rsidRPr="00641640">
              <w:rPr>
                <w:rFonts w:ascii="Times New Roman" w:hAnsi="Times New Roman" w:cs="Times New Roman"/>
                <w:b/>
                <w:noProof/>
                <w:sz w:val="22"/>
                <w:szCs w:val="22"/>
                <w:lang w:val="sq-AL"/>
              </w:rPr>
              <w:t>.2.2</w:t>
            </w:r>
          </w:p>
        </w:tc>
        <w:tc>
          <w:tcPr>
            <w:tcW w:w="8187" w:type="dxa"/>
            <w:shd w:val="clear" w:color="auto" w:fill="auto"/>
          </w:tcPr>
          <w:p w14:paraId="7DE02E1B" w14:textId="36BCF136" w:rsidR="003748C9" w:rsidRPr="00641640" w:rsidRDefault="00E40A1A"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Monitorimi i funksionimit të plotë dhe të rregullt të Sistemit të Qarkullimit të Dokumenteve me Nënshkrim Elektronik (SQDNE).</w:t>
            </w:r>
          </w:p>
        </w:tc>
      </w:tr>
      <w:tr w:rsidR="003748C9" w:rsidRPr="00641640" w14:paraId="072B3277" w14:textId="77777777" w:rsidTr="00050400">
        <w:tc>
          <w:tcPr>
            <w:tcW w:w="1163" w:type="dxa"/>
            <w:shd w:val="clear" w:color="auto" w:fill="C5E0B3" w:themeFill="accent6" w:themeFillTint="66"/>
          </w:tcPr>
          <w:p w14:paraId="1FD5CC4A" w14:textId="226CEB03" w:rsidR="003748C9" w:rsidRPr="00641640" w:rsidRDefault="003748C9" w:rsidP="003A395D">
            <w:pPr>
              <w:spacing w:beforeAutospacing="1" w:after="160"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7F3EF6" w:rsidRPr="00641640">
              <w:rPr>
                <w:rFonts w:ascii="Times New Roman" w:hAnsi="Times New Roman" w:cs="Times New Roman"/>
                <w:b/>
                <w:noProof/>
                <w:sz w:val="22"/>
                <w:szCs w:val="22"/>
                <w:lang w:val="sq-AL"/>
              </w:rPr>
              <w:t>4</w:t>
            </w:r>
            <w:r w:rsidRPr="00641640">
              <w:rPr>
                <w:rFonts w:ascii="Times New Roman" w:hAnsi="Times New Roman" w:cs="Times New Roman"/>
                <w:b/>
                <w:noProof/>
                <w:sz w:val="22"/>
                <w:szCs w:val="22"/>
                <w:lang w:val="sq-AL"/>
              </w:rPr>
              <w:t>.2.3</w:t>
            </w:r>
          </w:p>
        </w:tc>
        <w:tc>
          <w:tcPr>
            <w:tcW w:w="8187" w:type="dxa"/>
            <w:shd w:val="clear" w:color="auto" w:fill="auto"/>
          </w:tcPr>
          <w:p w14:paraId="680AF378" w14:textId="097E6B21" w:rsidR="003748C9" w:rsidRPr="00641640" w:rsidRDefault="00E40A1A"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bCs/>
                <w:noProof/>
                <w:sz w:val="22"/>
                <w:szCs w:val="22"/>
                <w:lang w:val="sq-AL"/>
              </w:rPr>
              <w:t>Garantimi i ofrimit të të njëjtave standarde cilësie në ofrimin e shërbimeve edhe në nivel vendor.</w:t>
            </w:r>
          </w:p>
        </w:tc>
      </w:tr>
      <w:tr w:rsidR="003748C9" w:rsidRPr="00641640" w14:paraId="155C9D62" w14:textId="77777777" w:rsidTr="00050400">
        <w:tc>
          <w:tcPr>
            <w:tcW w:w="1163" w:type="dxa"/>
            <w:shd w:val="clear" w:color="auto" w:fill="C5E0B3" w:themeFill="accent6" w:themeFillTint="66"/>
          </w:tcPr>
          <w:p w14:paraId="1F3BB9FA" w14:textId="2D9003CD" w:rsidR="003748C9" w:rsidRPr="00641640" w:rsidRDefault="003748C9" w:rsidP="003A395D">
            <w:pPr>
              <w:spacing w:beforeAutospacing="1" w:after="160"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7F3EF6" w:rsidRPr="00641640">
              <w:rPr>
                <w:rFonts w:ascii="Times New Roman" w:hAnsi="Times New Roman" w:cs="Times New Roman"/>
                <w:b/>
                <w:noProof/>
                <w:sz w:val="22"/>
                <w:szCs w:val="22"/>
                <w:lang w:val="sq-AL"/>
              </w:rPr>
              <w:t>4</w:t>
            </w:r>
            <w:r w:rsidRPr="00641640">
              <w:rPr>
                <w:rFonts w:ascii="Times New Roman" w:hAnsi="Times New Roman" w:cs="Times New Roman"/>
                <w:b/>
                <w:noProof/>
                <w:sz w:val="22"/>
                <w:szCs w:val="22"/>
                <w:lang w:val="sq-AL"/>
              </w:rPr>
              <w:t>.2.4</w:t>
            </w:r>
          </w:p>
        </w:tc>
        <w:tc>
          <w:tcPr>
            <w:tcW w:w="8187" w:type="dxa"/>
            <w:shd w:val="clear" w:color="auto" w:fill="auto"/>
          </w:tcPr>
          <w:p w14:paraId="515A6EE1" w14:textId="77777777" w:rsidR="003748C9" w:rsidRPr="00641640" w:rsidRDefault="003748C9"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Harmonizimi i legjislacionit sektorial me dispozitat e Kodit të Procedurave Administrative, në ofrim të standardeve më të mira për publikun.</w:t>
            </w:r>
          </w:p>
        </w:tc>
      </w:tr>
      <w:tr w:rsidR="003748C9" w:rsidRPr="00641640" w14:paraId="79A2AC7E" w14:textId="77777777" w:rsidTr="00050400">
        <w:tc>
          <w:tcPr>
            <w:tcW w:w="1163" w:type="dxa"/>
            <w:shd w:val="clear" w:color="auto" w:fill="C5E0B3" w:themeFill="accent6" w:themeFillTint="66"/>
          </w:tcPr>
          <w:p w14:paraId="1D0E84CE" w14:textId="423389AA" w:rsidR="003748C9" w:rsidRPr="00641640" w:rsidRDefault="003748C9" w:rsidP="003A395D">
            <w:pPr>
              <w:spacing w:beforeAutospacing="1" w:after="160"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7F3EF6" w:rsidRPr="00641640">
              <w:rPr>
                <w:rFonts w:ascii="Times New Roman" w:hAnsi="Times New Roman" w:cs="Times New Roman"/>
                <w:b/>
                <w:noProof/>
                <w:sz w:val="22"/>
                <w:szCs w:val="22"/>
                <w:lang w:val="sq-AL"/>
              </w:rPr>
              <w:t>4</w:t>
            </w:r>
            <w:r w:rsidRPr="00641640">
              <w:rPr>
                <w:rFonts w:ascii="Times New Roman" w:hAnsi="Times New Roman" w:cs="Times New Roman"/>
                <w:b/>
                <w:noProof/>
                <w:sz w:val="22"/>
                <w:szCs w:val="22"/>
                <w:lang w:val="sq-AL"/>
              </w:rPr>
              <w:t>.2.5</w:t>
            </w:r>
          </w:p>
        </w:tc>
        <w:tc>
          <w:tcPr>
            <w:tcW w:w="8187" w:type="dxa"/>
            <w:shd w:val="clear" w:color="auto" w:fill="auto"/>
          </w:tcPr>
          <w:p w14:paraId="5109A242" w14:textId="6A5E34D3" w:rsidR="003748C9" w:rsidRPr="00641640" w:rsidRDefault="003748C9"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Rritja e efikasitetit në zbatimin e Ligjit nr. 107/2021 “Për bashkëqeveri</w:t>
            </w:r>
            <w:r w:rsidR="00D91D6A" w:rsidRPr="00641640">
              <w:rPr>
                <w:rFonts w:ascii="Times New Roman" w:hAnsi="Times New Roman" w:cs="Times New Roman"/>
                <w:noProof/>
                <w:sz w:val="22"/>
                <w:szCs w:val="22"/>
                <w:lang w:val="sq-AL"/>
              </w:rPr>
              <w:t>sjen”.</w:t>
            </w:r>
          </w:p>
        </w:tc>
      </w:tr>
    </w:tbl>
    <w:p w14:paraId="0D5353C5" w14:textId="77777777" w:rsidR="00716E78" w:rsidRPr="00641640" w:rsidRDefault="00716E78" w:rsidP="003A395D">
      <w:pPr>
        <w:spacing w:line="276" w:lineRule="auto"/>
        <w:jc w:val="both"/>
        <w:rPr>
          <w:rFonts w:ascii="Times New Roman" w:hAnsi="Times New Roman" w:cs="Times New Roman"/>
          <w:bCs/>
          <w:i/>
          <w:noProof/>
          <w:sz w:val="24"/>
          <w:szCs w:val="24"/>
          <w:highlight w:val="red"/>
          <w:lang w:val="sq-AL"/>
        </w:rPr>
      </w:pPr>
    </w:p>
    <w:p w14:paraId="628D90E3" w14:textId="265ABC6D" w:rsidR="00C369F2" w:rsidRPr="00641640" w:rsidRDefault="00C369F2"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 xml:space="preserve">Lidhja e treguesve kryesorë të performancës më Qëllimin e Politikës </w:t>
      </w:r>
      <w:r w:rsidR="00C77D9E" w:rsidRPr="00641640">
        <w:rPr>
          <w:rFonts w:ascii="Times New Roman" w:hAnsi="Times New Roman" w:cs="Times New Roman"/>
          <w:b/>
          <w:bCs/>
          <w:noProof/>
          <w:sz w:val="24"/>
          <w:szCs w:val="24"/>
          <w:lang w:val="sq-AL"/>
        </w:rPr>
        <w:t>IV</w:t>
      </w:r>
      <w:r w:rsidRPr="00641640">
        <w:rPr>
          <w:rFonts w:ascii="Times New Roman" w:hAnsi="Times New Roman" w:cs="Times New Roman"/>
          <w:b/>
          <w:bCs/>
          <w:noProof/>
          <w:sz w:val="24"/>
          <w:szCs w:val="24"/>
          <w:lang w:val="sq-AL"/>
        </w:rPr>
        <w:t xml:space="preserve">, Objektivin Specifik </w:t>
      </w:r>
      <w:r w:rsidR="00C77D9E" w:rsidRPr="00641640">
        <w:rPr>
          <w:rFonts w:ascii="Times New Roman" w:hAnsi="Times New Roman" w:cs="Times New Roman"/>
          <w:b/>
          <w:bCs/>
          <w:noProof/>
          <w:sz w:val="24"/>
          <w:szCs w:val="24"/>
          <w:lang w:val="sq-AL"/>
        </w:rPr>
        <w:t>4</w:t>
      </w:r>
      <w:r w:rsidRPr="00641640">
        <w:rPr>
          <w:rFonts w:ascii="Times New Roman" w:hAnsi="Times New Roman" w:cs="Times New Roman"/>
          <w:b/>
          <w:bCs/>
          <w:noProof/>
          <w:sz w:val="24"/>
          <w:szCs w:val="24"/>
          <w:lang w:val="sq-AL"/>
        </w:rPr>
        <w:t>.2 dhe institucionet përgjegjëse.</w:t>
      </w:r>
    </w:p>
    <w:tbl>
      <w:tblPr>
        <w:tblStyle w:val="TableGrid"/>
        <w:tblW w:w="93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2"/>
        <w:gridCol w:w="1980"/>
        <w:gridCol w:w="2160"/>
        <w:gridCol w:w="2340"/>
        <w:gridCol w:w="1890"/>
      </w:tblGrid>
      <w:tr w:rsidR="00C369F2" w:rsidRPr="00641640" w14:paraId="4864F671" w14:textId="77777777" w:rsidTr="00805812">
        <w:trPr>
          <w:trHeight w:val="15"/>
        </w:trPr>
        <w:tc>
          <w:tcPr>
            <w:tcW w:w="982" w:type="dxa"/>
            <w:shd w:val="clear" w:color="auto" w:fill="C5E0B3" w:themeFill="accent6" w:themeFillTint="66"/>
            <w:tcMar>
              <w:top w:w="15" w:type="dxa"/>
              <w:left w:w="75" w:type="dxa"/>
              <w:bottom w:w="15" w:type="dxa"/>
              <w:right w:w="75" w:type="dxa"/>
            </w:tcMar>
          </w:tcPr>
          <w:p w14:paraId="6BFC4A40"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p>
          <w:p w14:paraId="48B967C5"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Lloji i treguesit</w:t>
            </w:r>
          </w:p>
        </w:tc>
        <w:tc>
          <w:tcPr>
            <w:tcW w:w="1980" w:type="dxa"/>
            <w:shd w:val="clear" w:color="auto" w:fill="C5E0B3" w:themeFill="accent6" w:themeFillTint="66"/>
            <w:tcMar>
              <w:top w:w="15" w:type="dxa"/>
              <w:left w:w="75" w:type="dxa"/>
              <w:bottom w:w="15" w:type="dxa"/>
              <w:right w:w="75" w:type="dxa"/>
            </w:tcMar>
          </w:tcPr>
          <w:p w14:paraId="0BCEC769"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p>
          <w:p w14:paraId="16C4CEA1"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Emërtimi i treguesit të performancës</w:t>
            </w:r>
          </w:p>
          <w:p w14:paraId="1737B4E8" w14:textId="77777777" w:rsidR="00C369F2" w:rsidRPr="00641640" w:rsidRDefault="00C369F2" w:rsidP="003A395D">
            <w:pPr>
              <w:spacing w:line="276" w:lineRule="auto"/>
              <w:jc w:val="center"/>
              <w:rPr>
                <w:rFonts w:ascii="Times New Roman" w:eastAsia="Arial" w:hAnsi="Times New Roman" w:cs="Times New Roman"/>
                <w:noProof/>
                <w:sz w:val="22"/>
                <w:szCs w:val="22"/>
                <w:lang w:val="sq-AL"/>
              </w:rPr>
            </w:pPr>
          </w:p>
        </w:tc>
        <w:tc>
          <w:tcPr>
            <w:tcW w:w="2160" w:type="dxa"/>
            <w:shd w:val="clear" w:color="auto" w:fill="C5E0B3" w:themeFill="accent6" w:themeFillTint="66"/>
          </w:tcPr>
          <w:p w14:paraId="4F23E785"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p>
          <w:p w14:paraId="2F75BED8"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Qëllimin e Politikës</w:t>
            </w:r>
          </w:p>
        </w:tc>
        <w:tc>
          <w:tcPr>
            <w:tcW w:w="2340" w:type="dxa"/>
            <w:shd w:val="clear" w:color="auto" w:fill="C5E0B3" w:themeFill="accent6" w:themeFillTint="66"/>
          </w:tcPr>
          <w:p w14:paraId="53274307"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p>
          <w:p w14:paraId="2443463A"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Objektivin Specifik</w:t>
            </w:r>
          </w:p>
        </w:tc>
        <w:tc>
          <w:tcPr>
            <w:tcW w:w="1890" w:type="dxa"/>
            <w:shd w:val="clear" w:color="auto" w:fill="C5E0B3" w:themeFill="accent6" w:themeFillTint="66"/>
            <w:tcMar>
              <w:top w:w="15" w:type="dxa"/>
              <w:left w:w="75" w:type="dxa"/>
              <w:bottom w:w="15" w:type="dxa"/>
              <w:right w:w="75" w:type="dxa"/>
            </w:tcMar>
          </w:tcPr>
          <w:p w14:paraId="43E9DB03" w14:textId="77777777" w:rsidR="00C369F2" w:rsidRPr="00641640" w:rsidRDefault="00C369F2" w:rsidP="003A395D">
            <w:pPr>
              <w:spacing w:line="276" w:lineRule="auto"/>
              <w:jc w:val="center"/>
              <w:rPr>
                <w:rFonts w:ascii="Times New Roman" w:eastAsia="Arial" w:hAnsi="Times New Roman" w:cs="Times New Roman"/>
                <w:noProof/>
                <w:sz w:val="22"/>
                <w:szCs w:val="22"/>
                <w:lang w:val="sq-AL"/>
              </w:rPr>
            </w:pPr>
          </w:p>
          <w:p w14:paraId="7D83E7EA"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Institucioni përgjegjës</w:t>
            </w:r>
          </w:p>
        </w:tc>
      </w:tr>
      <w:tr w:rsidR="00AB7BB2" w:rsidRPr="00641640" w14:paraId="237140F7" w14:textId="77777777" w:rsidTr="00AB7BB2">
        <w:trPr>
          <w:trHeight w:val="965"/>
        </w:trPr>
        <w:tc>
          <w:tcPr>
            <w:tcW w:w="982" w:type="dxa"/>
            <w:shd w:val="clear" w:color="auto" w:fill="auto"/>
            <w:tcMar>
              <w:top w:w="15" w:type="dxa"/>
              <w:left w:w="75" w:type="dxa"/>
              <w:bottom w:w="15" w:type="dxa"/>
              <w:right w:w="75" w:type="dxa"/>
            </w:tcMar>
          </w:tcPr>
          <w:p w14:paraId="6ADE51FB" w14:textId="77777777" w:rsidR="00FA7E92" w:rsidRPr="00641640" w:rsidRDefault="00FA7E92" w:rsidP="003A395D">
            <w:pPr>
              <w:spacing w:line="276" w:lineRule="auto"/>
              <w:rPr>
                <w:rFonts w:ascii="Times New Roman" w:hAnsi="Times New Roman" w:cs="Times New Roman"/>
                <w:noProof/>
                <w:sz w:val="22"/>
                <w:szCs w:val="22"/>
                <w:lang w:val="sq-AL"/>
              </w:rPr>
            </w:pPr>
          </w:p>
          <w:p w14:paraId="195E16BA" w14:textId="4E59ECCD" w:rsidR="00AB7BB2" w:rsidRPr="00641640" w:rsidRDefault="00E41E3E"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Rezultati</w:t>
            </w:r>
          </w:p>
        </w:tc>
        <w:tc>
          <w:tcPr>
            <w:tcW w:w="1980" w:type="dxa"/>
            <w:shd w:val="clear" w:color="auto" w:fill="auto"/>
            <w:tcMar>
              <w:top w:w="15" w:type="dxa"/>
              <w:left w:w="75" w:type="dxa"/>
              <w:bottom w:w="15" w:type="dxa"/>
              <w:right w:w="75" w:type="dxa"/>
            </w:tcMar>
          </w:tcPr>
          <w:p w14:paraId="7666F0ED" w14:textId="77777777" w:rsidR="00FA7E92" w:rsidRPr="00641640" w:rsidRDefault="00FA7E92" w:rsidP="003A395D">
            <w:pPr>
              <w:spacing w:line="276" w:lineRule="auto"/>
              <w:rPr>
                <w:rFonts w:ascii="Times New Roman" w:hAnsi="Times New Roman" w:cs="Times New Roman"/>
                <w:noProof/>
                <w:sz w:val="22"/>
                <w:szCs w:val="22"/>
                <w:lang w:val="sq-AL"/>
              </w:rPr>
            </w:pPr>
          </w:p>
          <w:p w14:paraId="499A9DEF" w14:textId="7BA8B2EC" w:rsidR="00AB7BB2" w:rsidRPr="00641640" w:rsidRDefault="00E41E3E"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4.2.1 Indeksi i funksionimit të SQNDE</w:t>
            </w:r>
            <w:r w:rsidR="001A5B19">
              <w:rPr>
                <w:rFonts w:ascii="Times New Roman" w:hAnsi="Times New Roman" w:cs="Times New Roman"/>
                <w:noProof/>
                <w:sz w:val="22"/>
                <w:szCs w:val="22"/>
                <w:lang w:val="sq-AL"/>
              </w:rPr>
              <w:t>.</w:t>
            </w:r>
          </w:p>
        </w:tc>
        <w:tc>
          <w:tcPr>
            <w:tcW w:w="2160" w:type="dxa"/>
            <w:shd w:val="clear" w:color="auto" w:fill="auto"/>
          </w:tcPr>
          <w:p w14:paraId="775B5E67" w14:textId="77777777" w:rsidR="00FA7E92" w:rsidRPr="00641640" w:rsidRDefault="00FA7E92" w:rsidP="00FA7E92">
            <w:pPr>
              <w:spacing w:line="276" w:lineRule="auto"/>
              <w:rPr>
                <w:rFonts w:ascii="Times New Roman" w:eastAsia="Arial" w:hAnsi="Times New Roman" w:cs="Times New Roman"/>
                <w:noProof/>
                <w:sz w:val="22"/>
                <w:szCs w:val="22"/>
                <w:lang w:val="sq-AL"/>
              </w:rPr>
            </w:pPr>
          </w:p>
          <w:p w14:paraId="4BA9B4C9" w14:textId="6DFBFE65" w:rsidR="00AB7BB2" w:rsidRPr="00641640" w:rsidRDefault="00310AC4" w:rsidP="00FA7E92">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Organizimi, llogaridhënia dhe mbikëqyrja e administratës</w:t>
            </w:r>
          </w:p>
        </w:tc>
        <w:tc>
          <w:tcPr>
            <w:tcW w:w="2340" w:type="dxa"/>
            <w:shd w:val="clear" w:color="auto" w:fill="auto"/>
          </w:tcPr>
          <w:p w14:paraId="31E6073D" w14:textId="77777777" w:rsidR="00FA7E92" w:rsidRPr="00641640" w:rsidRDefault="00FA7E92" w:rsidP="003A395D">
            <w:pPr>
              <w:spacing w:line="276" w:lineRule="auto"/>
              <w:rPr>
                <w:rFonts w:ascii="Times New Roman" w:eastAsia="Arial" w:hAnsi="Times New Roman" w:cs="Times New Roman"/>
                <w:noProof/>
                <w:sz w:val="22"/>
                <w:szCs w:val="22"/>
                <w:lang w:val="sq-AL"/>
              </w:rPr>
            </w:pPr>
          </w:p>
          <w:p w14:paraId="4889707D" w14:textId="66359D72" w:rsidR="00AB7BB2" w:rsidRPr="00641640" w:rsidRDefault="00B6642C"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4.2 Krijimi i mekanizmave të qartë të brendshëm që garantojnë llogaridhënien e punonjësve dhe drejtuesve të administratës publike për performancën dhe vendimmarrjen e tyre.</w:t>
            </w:r>
          </w:p>
        </w:tc>
        <w:tc>
          <w:tcPr>
            <w:tcW w:w="1890" w:type="dxa"/>
            <w:shd w:val="clear" w:color="auto" w:fill="auto"/>
            <w:tcMar>
              <w:top w:w="15" w:type="dxa"/>
              <w:left w:w="75" w:type="dxa"/>
              <w:bottom w:w="15" w:type="dxa"/>
              <w:right w:w="75" w:type="dxa"/>
            </w:tcMar>
          </w:tcPr>
          <w:p w14:paraId="3F74AAF7" w14:textId="77777777" w:rsidR="00B6642C" w:rsidRPr="00641640" w:rsidRDefault="00B6642C" w:rsidP="003A395D">
            <w:pPr>
              <w:spacing w:line="276" w:lineRule="auto"/>
              <w:jc w:val="center"/>
              <w:rPr>
                <w:rFonts w:ascii="Times New Roman" w:eastAsia="Arial" w:hAnsi="Times New Roman" w:cs="Times New Roman"/>
                <w:noProof/>
                <w:sz w:val="22"/>
                <w:szCs w:val="22"/>
                <w:lang w:val="sq-AL"/>
              </w:rPr>
            </w:pPr>
          </w:p>
          <w:p w14:paraId="5BAD53B5" w14:textId="7E47BBA0" w:rsidR="00AB7BB2" w:rsidRPr="00641640" w:rsidRDefault="00B6642C" w:rsidP="003A395D">
            <w:pPr>
              <w:spacing w:line="276" w:lineRule="auto"/>
              <w:jc w:val="center"/>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Agjencia pë</w:t>
            </w:r>
            <w:r w:rsidR="0016197D" w:rsidRPr="00641640">
              <w:rPr>
                <w:rFonts w:ascii="Times New Roman" w:eastAsia="Arial" w:hAnsi="Times New Roman" w:cs="Times New Roman"/>
                <w:noProof/>
                <w:sz w:val="22"/>
                <w:szCs w:val="22"/>
                <w:lang w:val="sq-AL"/>
              </w:rPr>
              <w:t xml:space="preserve">r </w:t>
            </w:r>
            <w:r w:rsidRPr="00641640">
              <w:rPr>
                <w:rFonts w:ascii="Times New Roman" w:eastAsia="Arial" w:hAnsi="Times New Roman" w:cs="Times New Roman"/>
                <w:noProof/>
                <w:sz w:val="22"/>
                <w:szCs w:val="22"/>
                <w:lang w:val="sq-AL"/>
              </w:rPr>
              <w:t>D</w:t>
            </w:r>
            <w:r w:rsidR="0016197D" w:rsidRPr="00641640">
              <w:rPr>
                <w:rFonts w:ascii="Times New Roman" w:eastAsia="Arial" w:hAnsi="Times New Roman" w:cs="Times New Roman"/>
                <w:noProof/>
                <w:sz w:val="22"/>
                <w:szCs w:val="22"/>
                <w:lang w:val="sq-AL"/>
              </w:rPr>
              <w:t>ialog dhe Bashkëqeverisje</w:t>
            </w:r>
          </w:p>
        </w:tc>
      </w:tr>
      <w:tr w:rsidR="00C369F2" w:rsidRPr="00641640" w14:paraId="5057077A" w14:textId="77777777" w:rsidTr="00942F44">
        <w:trPr>
          <w:trHeight w:val="965"/>
        </w:trPr>
        <w:tc>
          <w:tcPr>
            <w:tcW w:w="982" w:type="dxa"/>
            <w:shd w:val="clear" w:color="auto" w:fill="auto"/>
            <w:tcMar>
              <w:top w:w="15" w:type="dxa"/>
              <w:left w:w="75" w:type="dxa"/>
              <w:bottom w:w="15" w:type="dxa"/>
              <w:right w:w="75" w:type="dxa"/>
            </w:tcMar>
          </w:tcPr>
          <w:p w14:paraId="423A36ED" w14:textId="77777777" w:rsidR="00FA7E92" w:rsidRPr="00641640" w:rsidRDefault="00FA7E92" w:rsidP="00FA7E92">
            <w:pPr>
              <w:spacing w:line="276" w:lineRule="auto"/>
              <w:jc w:val="center"/>
              <w:rPr>
                <w:rFonts w:ascii="Times New Roman" w:hAnsi="Times New Roman" w:cs="Times New Roman"/>
                <w:noProof/>
                <w:sz w:val="22"/>
                <w:szCs w:val="22"/>
                <w:lang w:val="sq-AL"/>
              </w:rPr>
            </w:pPr>
          </w:p>
          <w:p w14:paraId="29D82EAD" w14:textId="53DF8D3D" w:rsidR="00C369F2" w:rsidRPr="00641640" w:rsidRDefault="00FA7E92" w:rsidP="00FA7E92">
            <w:pPr>
              <w:spacing w:line="276" w:lineRule="auto"/>
              <w:jc w:val="center"/>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Rezultati</w:t>
            </w:r>
          </w:p>
          <w:p w14:paraId="65836E39" w14:textId="53EEB633" w:rsidR="00C369F2" w:rsidRPr="00641640" w:rsidRDefault="00C369F2" w:rsidP="003A395D">
            <w:pPr>
              <w:spacing w:line="276" w:lineRule="auto"/>
              <w:rPr>
                <w:rFonts w:ascii="Times New Roman" w:hAnsi="Times New Roman" w:cs="Times New Roman"/>
                <w:noProof/>
                <w:color w:val="ED7D31" w:themeColor="accent2"/>
                <w:sz w:val="22"/>
                <w:szCs w:val="22"/>
                <w:lang w:val="sq-AL"/>
              </w:rPr>
            </w:pPr>
          </w:p>
        </w:tc>
        <w:tc>
          <w:tcPr>
            <w:tcW w:w="1980" w:type="dxa"/>
            <w:shd w:val="clear" w:color="auto" w:fill="auto"/>
            <w:tcMar>
              <w:top w:w="15" w:type="dxa"/>
              <w:left w:w="75" w:type="dxa"/>
              <w:bottom w:w="15" w:type="dxa"/>
              <w:right w:w="75" w:type="dxa"/>
            </w:tcMar>
          </w:tcPr>
          <w:p w14:paraId="5ADC636F" w14:textId="77777777" w:rsidR="00FA7E92" w:rsidRPr="00641640" w:rsidRDefault="00FA7E92" w:rsidP="003A395D">
            <w:pPr>
              <w:spacing w:line="276" w:lineRule="auto"/>
              <w:rPr>
                <w:rFonts w:ascii="Times New Roman" w:hAnsi="Times New Roman" w:cs="Times New Roman"/>
                <w:noProof/>
                <w:sz w:val="22"/>
                <w:szCs w:val="22"/>
                <w:lang w:val="sq-AL"/>
              </w:rPr>
            </w:pPr>
          </w:p>
          <w:p w14:paraId="7E287691" w14:textId="718A1F37" w:rsidR="00C369F2" w:rsidRPr="00641640" w:rsidRDefault="00FA7E92"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4.2.2 Shkalla e zbatimit të kornizës së llogaridhënies në administratën shtetërore.</w:t>
            </w:r>
          </w:p>
          <w:p w14:paraId="71598E29" w14:textId="555FB6A5" w:rsidR="00AB7BB2" w:rsidRPr="00641640" w:rsidRDefault="00AB7BB2" w:rsidP="003A395D">
            <w:pPr>
              <w:spacing w:line="276" w:lineRule="auto"/>
              <w:rPr>
                <w:rFonts w:ascii="Times New Roman" w:eastAsiaTheme="minorHAnsi" w:hAnsi="Times New Roman" w:cs="Times New Roman"/>
                <w:b/>
                <w:noProof/>
                <w:sz w:val="22"/>
                <w:szCs w:val="22"/>
                <w:lang w:val="sq-AL"/>
              </w:rPr>
            </w:pPr>
          </w:p>
          <w:p w14:paraId="13AFB3E8" w14:textId="017278CB" w:rsidR="00C369F2" w:rsidRPr="00641640" w:rsidRDefault="00C369F2" w:rsidP="003A395D">
            <w:pPr>
              <w:pStyle w:val="T-number"/>
              <w:spacing w:line="276" w:lineRule="auto"/>
              <w:ind w:left="0"/>
              <w:jc w:val="both"/>
              <w:rPr>
                <w:rFonts w:ascii="Times New Roman" w:eastAsiaTheme="minorHAnsi" w:hAnsi="Times New Roman" w:cs="Times New Roman"/>
                <w:b/>
                <w:bCs/>
                <w:noProof/>
                <w:sz w:val="22"/>
                <w:szCs w:val="22"/>
                <w:lang w:val="sq-AL"/>
              </w:rPr>
            </w:pPr>
            <w:r w:rsidRPr="00641640">
              <w:rPr>
                <w:rFonts w:ascii="Times New Roman" w:eastAsiaTheme="minorHAnsi" w:hAnsi="Times New Roman" w:cs="Times New Roman"/>
                <w:b/>
                <w:noProof/>
                <w:sz w:val="22"/>
                <w:szCs w:val="22"/>
                <w:lang w:val="sq-AL"/>
              </w:rPr>
              <w:t xml:space="preserve"> </w:t>
            </w:r>
          </w:p>
        </w:tc>
        <w:tc>
          <w:tcPr>
            <w:tcW w:w="2160" w:type="dxa"/>
            <w:shd w:val="clear" w:color="auto" w:fill="auto"/>
          </w:tcPr>
          <w:p w14:paraId="48DA15FB" w14:textId="77777777" w:rsidR="00FA7E92" w:rsidRPr="00641640" w:rsidRDefault="00FA7E92" w:rsidP="003A395D">
            <w:pPr>
              <w:spacing w:line="276" w:lineRule="auto"/>
              <w:rPr>
                <w:rFonts w:ascii="Times New Roman" w:eastAsia="Arial" w:hAnsi="Times New Roman" w:cs="Times New Roman"/>
                <w:noProof/>
                <w:sz w:val="22"/>
                <w:szCs w:val="22"/>
                <w:lang w:val="sq-AL"/>
              </w:rPr>
            </w:pPr>
          </w:p>
          <w:p w14:paraId="56958C3E" w14:textId="328F91D3" w:rsidR="00C369F2" w:rsidRPr="00641640" w:rsidRDefault="00FA7E92"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Organizimi, llogaridhënia dhe mbikëqyrja e administratës</w:t>
            </w:r>
          </w:p>
          <w:p w14:paraId="423212DF" w14:textId="07D0AFB4" w:rsidR="00C369F2" w:rsidRPr="00641640" w:rsidRDefault="00C369F2" w:rsidP="003A395D">
            <w:pPr>
              <w:spacing w:line="276" w:lineRule="auto"/>
              <w:rPr>
                <w:rFonts w:ascii="Times New Roman" w:eastAsia="Arial" w:hAnsi="Times New Roman" w:cs="Times New Roman"/>
                <w:b/>
                <w:bCs/>
                <w:noProof/>
                <w:sz w:val="22"/>
                <w:szCs w:val="22"/>
                <w:lang w:val="sq-AL"/>
              </w:rPr>
            </w:pPr>
          </w:p>
        </w:tc>
        <w:tc>
          <w:tcPr>
            <w:tcW w:w="2340" w:type="dxa"/>
            <w:shd w:val="clear" w:color="auto" w:fill="auto"/>
          </w:tcPr>
          <w:p w14:paraId="4B5C64B0" w14:textId="77777777" w:rsidR="00FA7E92" w:rsidRPr="00641640" w:rsidRDefault="00FA7E92" w:rsidP="003A395D">
            <w:pPr>
              <w:spacing w:line="276" w:lineRule="auto"/>
              <w:rPr>
                <w:rFonts w:ascii="Times New Roman" w:eastAsia="Arial" w:hAnsi="Times New Roman" w:cs="Times New Roman"/>
                <w:noProof/>
                <w:sz w:val="22"/>
                <w:szCs w:val="22"/>
                <w:lang w:val="sq-AL"/>
              </w:rPr>
            </w:pPr>
          </w:p>
          <w:p w14:paraId="160AC184" w14:textId="2E6A9ED7" w:rsidR="00C369F2" w:rsidRPr="00641640" w:rsidRDefault="00FA7E92"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4.2 Krijimi i mekanizmave të qartë të brendshëm që garantojnë llogaridhënien e punonjësve dhe drejtuesve të administratës publike për performancën dhe vendimmarrjen e tyre.</w:t>
            </w:r>
          </w:p>
          <w:p w14:paraId="35AEA9E3" w14:textId="6BF13274" w:rsidR="00C369F2" w:rsidRPr="00641640" w:rsidRDefault="00C369F2" w:rsidP="003A395D">
            <w:pPr>
              <w:spacing w:line="276" w:lineRule="auto"/>
              <w:rPr>
                <w:rFonts w:ascii="Times New Roman" w:eastAsia="Arial" w:hAnsi="Times New Roman" w:cs="Times New Roman"/>
                <w:noProof/>
                <w:sz w:val="22"/>
                <w:szCs w:val="22"/>
                <w:lang w:val="sq-AL"/>
              </w:rPr>
            </w:pPr>
          </w:p>
        </w:tc>
        <w:tc>
          <w:tcPr>
            <w:tcW w:w="1890" w:type="dxa"/>
            <w:shd w:val="clear" w:color="auto" w:fill="auto"/>
            <w:tcMar>
              <w:top w:w="15" w:type="dxa"/>
              <w:left w:w="75" w:type="dxa"/>
              <w:bottom w:w="15" w:type="dxa"/>
              <w:right w:w="75" w:type="dxa"/>
            </w:tcMar>
          </w:tcPr>
          <w:p w14:paraId="08B84781" w14:textId="77777777" w:rsidR="00C369F2" w:rsidRPr="00641640" w:rsidRDefault="00C369F2" w:rsidP="003A395D">
            <w:pPr>
              <w:spacing w:line="276" w:lineRule="auto"/>
              <w:jc w:val="center"/>
              <w:rPr>
                <w:rFonts w:ascii="Times New Roman" w:eastAsia="Arial" w:hAnsi="Times New Roman" w:cs="Times New Roman"/>
                <w:noProof/>
                <w:sz w:val="22"/>
                <w:szCs w:val="22"/>
                <w:lang w:val="sq-AL"/>
              </w:rPr>
            </w:pPr>
          </w:p>
          <w:p w14:paraId="14CB24FF" w14:textId="3AFA4660" w:rsidR="00C369F2" w:rsidRPr="00641640" w:rsidRDefault="00FA7E92" w:rsidP="003A395D">
            <w:pPr>
              <w:spacing w:line="276" w:lineRule="auto"/>
              <w:jc w:val="center"/>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DAP</w:t>
            </w:r>
          </w:p>
        </w:tc>
      </w:tr>
    </w:tbl>
    <w:p w14:paraId="73B1CF6D" w14:textId="77777777" w:rsidR="00716E78" w:rsidRPr="00641640" w:rsidRDefault="00716E78" w:rsidP="003A395D">
      <w:pPr>
        <w:spacing w:line="276" w:lineRule="auto"/>
        <w:jc w:val="both"/>
        <w:rPr>
          <w:rFonts w:ascii="Times New Roman" w:hAnsi="Times New Roman" w:cs="Times New Roman"/>
          <w:b/>
          <w:bCs/>
          <w:noProof/>
          <w:sz w:val="24"/>
          <w:szCs w:val="24"/>
          <w:lang w:val="sq-AL"/>
        </w:rPr>
      </w:pPr>
    </w:p>
    <w:p w14:paraId="060A29BF" w14:textId="1780AC1C" w:rsidR="003748C9" w:rsidRPr="00641640" w:rsidRDefault="003748C9" w:rsidP="003A395D">
      <w:pPr>
        <w:spacing w:line="276" w:lineRule="auto"/>
        <w:jc w:val="both"/>
        <w:rPr>
          <w:rFonts w:ascii="Times New Roman" w:hAnsi="Times New Roman" w:cs="Times New Roman"/>
          <w:b/>
          <w:bCs/>
          <w:i/>
          <w:iCs/>
          <w:noProof/>
          <w:sz w:val="24"/>
          <w:szCs w:val="24"/>
          <w:lang w:val="sq-AL"/>
        </w:rPr>
      </w:pPr>
      <w:r w:rsidRPr="00641640">
        <w:rPr>
          <w:rFonts w:ascii="Times New Roman" w:hAnsi="Times New Roman" w:cs="Times New Roman"/>
          <w:b/>
          <w:bCs/>
          <w:i/>
          <w:iCs/>
          <w:noProof/>
          <w:sz w:val="24"/>
          <w:szCs w:val="24"/>
          <w:lang w:val="sq-AL"/>
        </w:rPr>
        <w:lastRenderedPageBreak/>
        <w:t>Komponenti 4.3</w:t>
      </w:r>
      <w:r w:rsidR="00716E78" w:rsidRPr="00641640">
        <w:rPr>
          <w:rFonts w:ascii="Times New Roman" w:hAnsi="Times New Roman" w:cs="Times New Roman"/>
          <w:b/>
          <w:bCs/>
          <w:i/>
          <w:iCs/>
          <w:noProof/>
          <w:sz w:val="24"/>
          <w:szCs w:val="24"/>
          <w:lang w:val="sq-AL"/>
        </w:rPr>
        <w:t xml:space="preserve">: </w:t>
      </w:r>
      <w:r w:rsidRPr="00641640">
        <w:rPr>
          <w:rFonts w:ascii="Times New Roman" w:hAnsi="Times New Roman" w:cs="Times New Roman"/>
          <w:b/>
          <w:bCs/>
          <w:i/>
          <w:iCs/>
          <w:noProof/>
          <w:sz w:val="24"/>
          <w:szCs w:val="24"/>
          <w:lang w:val="sq-AL"/>
        </w:rPr>
        <w:t>Institucione publike transparente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E4"/>
        <w:tblLook w:val="04A0" w:firstRow="1" w:lastRow="0" w:firstColumn="1" w:lastColumn="0" w:noHBand="0" w:noVBand="1"/>
      </w:tblPr>
      <w:tblGrid>
        <w:gridCol w:w="535"/>
        <w:gridCol w:w="8815"/>
      </w:tblGrid>
      <w:tr w:rsidR="00716E78" w:rsidRPr="00641640" w14:paraId="1DFA3BFC" w14:textId="77777777" w:rsidTr="009051D8">
        <w:tc>
          <w:tcPr>
            <w:tcW w:w="535" w:type="dxa"/>
            <w:shd w:val="clear" w:color="auto" w:fill="EAF4E4"/>
          </w:tcPr>
          <w:p w14:paraId="1A40810E" w14:textId="10041103" w:rsidR="00716E78" w:rsidRPr="00641640" w:rsidRDefault="00716E78" w:rsidP="003A395D">
            <w:pPr>
              <w:spacing w:line="276" w:lineRule="auto"/>
              <w:jc w:val="both"/>
              <w:rPr>
                <w:rFonts w:ascii="Times New Roman" w:hAnsi="Times New Roman" w:cs="Times New Roman"/>
                <w:b/>
                <w:bCs/>
                <w:noProof/>
                <w:color w:val="003300"/>
                <w:sz w:val="24"/>
                <w:szCs w:val="24"/>
                <w:lang w:val="sq-AL"/>
              </w:rPr>
            </w:pPr>
            <w:r w:rsidRPr="00641640">
              <w:rPr>
                <w:rFonts w:ascii="Times New Roman" w:hAnsi="Times New Roman" w:cs="Times New Roman"/>
                <w:b/>
                <w:bCs/>
                <w:noProof/>
                <w:color w:val="003300"/>
                <w:sz w:val="24"/>
                <w:szCs w:val="24"/>
                <w:lang w:val="sq-AL"/>
              </w:rPr>
              <w:t>4.3</w:t>
            </w:r>
          </w:p>
        </w:tc>
        <w:tc>
          <w:tcPr>
            <w:tcW w:w="8815" w:type="dxa"/>
            <w:shd w:val="clear" w:color="auto" w:fill="EAF4E4"/>
          </w:tcPr>
          <w:p w14:paraId="37A3B241" w14:textId="5B99670A" w:rsidR="00716E78" w:rsidRPr="00641640" w:rsidRDefault="00716E78" w:rsidP="003A395D">
            <w:pPr>
              <w:spacing w:line="276" w:lineRule="auto"/>
              <w:jc w:val="both"/>
              <w:rPr>
                <w:rFonts w:ascii="Times New Roman" w:hAnsi="Times New Roman" w:cs="Times New Roman"/>
                <w:b/>
                <w:bCs/>
                <w:noProof/>
                <w:color w:val="003300"/>
                <w:sz w:val="24"/>
                <w:szCs w:val="24"/>
                <w:lang w:val="sq-AL"/>
              </w:rPr>
            </w:pPr>
            <w:r w:rsidRPr="00641640">
              <w:rPr>
                <w:rFonts w:ascii="Times New Roman" w:hAnsi="Times New Roman" w:cs="Times New Roman"/>
                <w:b/>
                <w:bCs/>
                <w:noProof/>
                <w:color w:val="003300"/>
                <w:sz w:val="24"/>
                <w:szCs w:val="24"/>
                <w:lang w:val="sq-AL"/>
              </w:rPr>
              <w:t>Objektivi Specifik 4.3: Promovimi i një administrate të hapur dhe transparente që angazhon qytetarët dhe palët e tjera të interesuara në proceset e vendimmarrjes, duke rritur aksesin në informacion dhe duke përmirësuar dialogun ndërmjet administratës dhe publikut</w:t>
            </w:r>
          </w:p>
        </w:tc>
      </w:tr>
    </w:tbl>
    <w:p w14:paraId="71A17F30" w14:textId="1B3774C5" w:rsidR="003748C9" w:rsidRPr="00641640" w:rsidRDefault="003748C9" w:rsidP="003A395D">
      <w:pPr>
        <w:shd w:val="clear" w:color="auto" w:fill="FFFFFF" w:themeFill="background1"/>
        <w:spacing w:beforeAutospacing="1" w:after="0" w:line="276" w:lineRule="auto"/>
        <w:jc w:val="both"/>
        <w:textAlignment w:val="baseline"/>
        <w:rPr>
          <w:rFonts w:ascii="Times New Roman" w:hAnsi="Times New Roman" w:cs="Times New Roman"/>
          <w:b/>
          <w:bCs/>
          <w:noProof/>
          <w:color w:val="000000" w:themeColor="text1"/>
          <w:sz w:val="24"/>
          <w:szCs w:val="24"/>
          <w:lang w:val="sq-AL"/>
        </w:rPr>
      </w:pPr>
      <w:r w:rsidRPr="00641640">
        <w:rPr>
          <w:rFonts w:ascii="Times New Roman" w:hAnsi="Times New Roman" w:cs="Times New Roman"/>
          <w:b/>
          <w:bCs/>
          <w:noProof/>
          <w:color w:val="000000" w:themeColor="text1"/>
          <w:sz w:val="24"/>
          <w:szCs w:val="24"/>
          <w:lang w:val="sq-AL"/>
        </w:rPr>
        <w:t>Prioritetet</w:t>
      </w:r>
    </w:p>
    <w:p w14:paraId="5B993671" w14:textId="4F78FE11" w:rsidR="003748C9" w:rsidRPr="00641640" w:rsidRDefault="003748C9" w:rsidP="003A395D">
      <w:pPr>
        <w:spacing w:before="100" w:beforeAutospacing="1" w:after="100" w:afterAutospacing="1"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 xml:space="preserve">Për të përmbushur </w:t>
      </w:r>
      <w:r w:rsidRPr="00641640">
        <w:rPr>
          <w:rFonts w:ascii="Times New Roman" w:eastAsia="Times New Roman" w:hAnsi="Times New Roman" w:cs="Times New Roman"/>
          <w:bCs/>
          <w:noProof/>
          <w:sz w:val="24"/>
          <w:szCs w:val="24"/>
          <w:lang w:val="sq-AL"/>
        </w:rPr>
        <w:t xml:space="preserve">Objektivin Specifik </w:t>
      </w:r>
      <w:r w:rsidR="004142E0" w:rsidRPr="00641640">
        <w:rPr>
          <w:rFonts w:ascii="Times New Roman" w:eastAsia="Times New Roman" w:hAnsi="Times New Roman" w:cs="Times New Roman"/>
          <w:bCs/>
          <w:noProof/>
          <w:sz w:val="24"/>
          <w:szCs w:val="24"/>
          <w:lang w:val="sq-AL"/>
        </w:rPr>
        <w:t>4</w:t>
      </w:r>
      <w:r w:rsidRPr="00641640">
        <w:rPr>
          <w:rFonts w:ascii="Times New Roman" w:eastAsia="Times New Roman" w:hAnsi="Times New Roman" w:cs="Times New Roman"/>
          <w:bCs/>
          <w:noProof/>
          <w:sz w:val="24"/>
          <w:szCs w:val="24"/>
          <w:lang w:val="sq-AL"/>
        </w:rPr>
        <w:t>.3,</w:t>
      </w:r>
      <w:r w:rsidRPr="00641640">
        <w:rPr>
          <w:rFonts w:ascii="Times New Roman" w:eastAsia="Times New Roman" w:hAnsi="Times New Roman" w:cs="Times New Roman"/>
          <w:b/>
          <w:bCs/>
          <w:noProof/>
          <w:sz w:val="24"/>
          <w:szCs w:val="24"/>
          <w:lang w:val="sq-AL"/>
        </w:rPr>
        <w:t xml:space="preserve"> </w:t>
      </w:r>
      <w:r w:rsidRPr="00641640">
        <w:rPr>
          <w:rFonts w:ascii="Times New Roman" w:eastAsia="Times New Roman" w:hAnsi="Times New Roman" w:cs="Times New Roman"/>
          <w:bCs/>
          <w:noProof/>
          <w:sz w:val="24"/>
          <w:szCs w:val="24"/>
          <w:lang w:val="sq-AL"/>
        </w:rPr>
        <w:t>autoritetet shqiptare</w:t>
      </w:r>
      <w:r w:rsidRPr="00641640">
        <w:rPr>
          <w:rFonts w:ascii="Times New Roman" w:eastAsia="Times New Roman" w:hAnsi="Times New Roman" w:cs="Times New Roman"/>
          <w:b/>
          <w:bCs/>
          <w:noProof/>
          <w:sz w:val="24"/>
          <w:szCs w:val="24"/>
          <w:lang w:val="sq-AL"/>
        </w:rPr>
        <w:t xml:space="preserve"> </w:t>
      </w:r>
      <w:r w:rsidRPr="00641640">
        <w:rPr>
          <w:rFonts w:ascii="Times New Roman" w:eastAsia="Times New Roman" w:hAnsi="Times New Roman" w:cs="Times New Roman"/>
          <w:noProof/>
          <w:sz w:val="24"/>
          <w:szCs w:val="24"/>
          <w:lang w:val="sq-AL"/>
        </w:rPr>
        <w:t>do të fokusohen në disa prioritete kyçe, të cilat synojnë forcimin e aksesit të publikut në informacion dhe përmirësimin e dialogut midis administratës dhe qytetarëve. Këto prioritete</w:t>
      </w:r>
      <w:r w:rsidRPr="00641640">
        <w:rPr>
          <w:rFonts w:ascii="Times New Roman" w:eastAsia="Times New Roman" w:hAnsi="Times New Roman" w:cs="Times New Roman"/>
          <w:b/>
          <w:noProof/>
          <w:sz w:val="24"/>
          <w:szCs w:val="24"/>
          <w:lang w:val="sq-AL"/>
        </w:rPr>
        <w:t xml:space="preserve"> </w:t>
      </w:r>
      <w:r w:rsidRPr="00641640">
        <w:rPr>
          <w:rFonts w:ascii="Times New Roman" w:eastAsia="Times New Roman" w:hAnsi="Times New Roman" w:cs="Times New Roman"/>
          <w:noProof/>
          <w:sz w:val="24"/>
          <w:szCs w:val="24"/>
          <w:lang w:val="sq-AL"/>
        </w:rPr>
        <w:t xml:space="preserve">janë të rëndësishme për krijimin e një administrate publike të hapur dhe llogaridhënëse, që jo vetëm ofron informacionin në mënyrë të shpejtë dhe transparente, por edhe inkurajon një dialog të vazhdueshëm me qytetarët dhe aktorët e tjerë të interesuar. </w:t>
      </w:r>
    </w:p>
    <w:p w14:paraId="1FCA7D5F" w14:textId="77777777" w:rsidR="003748C9" w:rsidRPr="00641640" w:rsidRDefault="003748C9" w:rsidP="003A395D">
      <w:pPr>
        <w:spacing w:before="100" w:beforeAutospacing="1" w:after="100" w:afterAutospacing="1"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 xml:space="preserve">Në këtë drejtim, përpjekjet nën këtë Objektiv Specifik do të fokusohen veçanërisht në zbatimin efikas të ligjit për të drejtën e informimit nga administrata publike, përmes trajnimeve të dedikuara të nëpunësve mbi këtë ligj me synim respektimin e afateve ligjore dhe përmes konsolidimit të procedurave të qarta për trajtimin e kërkesave për informacion. Gjithashtu, parashikohet zhvillimi i fushatave informuese me qëllim ndërgjegjësimin e qytetarëve rreth të drejtës të tyre për të kërkuar dhe marrë informacion nga institucionet publike. </w:t>
      </w:r>
    </w:p>
    <w:p w14:paraId="363863B4" w14:textId="77777777" w:rsidR="003748C9" w:rsidRPr="00641640" w:rsidRDefault="003748C9" w:rsidP="003A395D">
      <w:pPr>
        <w:spacing w:before="100" w:beforeAutospacing="1" w:after="100" w:afterAutospacing="1"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Në drejtim të garantimit të zbatimit të legjislacionit për të dhënat e hapura, fokusi do të jetë në publikimin e vazhdueshëm nga administrata publike të të dhënave të hapura, lehtësisht të aksesueshme dhe të përditësuara periodikisht. Këto përpjekje synojnë t’u mundësojnë qytetarëve dhe bizneseve të përdorin informacionin publik në mënyrë të lehtë dhe të dobishme përmes platformave digjitale, në përputhje me kuadrin ligjor për të dhënat e hapura.</w:t>
      </w:r>
    </w:p>
    <w:p w14:paraId="2C55C117" w14:textId="77777777" w:rsidR="003748C9" w:rsidRPr="00641640" w:rsidRDefault="003748C9" w:rsidP="003A395D">
      <w:pPr>
        <w:spacing w:after="100" w:afterAutospacing="1"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Gjithashtu, përmes ndërhyrjeve të parashikuara nën këtë Objektiv Specifik, do të promovohet angazhimi i qytetarëve dhe grupeve të interesit në vendimmarrje përmes konsultimeve publike dhe publikimit proaktiv të rezultateve të procesit vendimmarrës, duke mundësuar qasje të gjerë dhe një proces më gjithëpërfshirës për publikun e gjerë. Një tjetër prioritet është edhe krijimi i mekanizmave për mbikëqyrjen dhe llogaridhënien efikase të institucioneve dhe zyrtarëve publikë. Për këtë qëllim, institucionet publike do të fuqizojnë mekanizmat e mbikëqyrjes së brendshme dhe të raportimit, duke përfshirë platforma për ankesat dhe raportime vjetore mbi transparencën. Këto mekanizma do të sigurojnë monitorim të vazhdueshëm dhe llogaridhënie efektive për qytetarët.</w:t>
      </w:r>
      <w:r w:rsidRPr="00641640" w:rsidDel="00AE6901">
        <w:rPr>
          <w:rFonts w:ascii="Times New Roman" w:eastAsia="Times New Roman" w:hAnsi="Times New Roman" w:cs="Times New Roman"/>
          <w:noProof/>
          <w:sz w:val="24"/>
          <w:szCs w:val="24"/>
          <w:lang w:val="sq-AL"/>
        </w:rPr>
        <w:t xml:space="preserve"> </w:t>
      </w:r>
    </w:p>
    <w:p w14:paraId="70DD5AE1" w14:textId="77777777" w:rsidR="003748C9" w:rsidRPr="00641640" w:rsidRDefault="003748C9" w:rsidP="003A395D">
      <w:pPr>
        <w:spacing w:after="100" w:afterAutospacing="1"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 xml:space="preserve">Një aleat i fuqishëm në këtë drejtim do të jetë infrastruktura digjitale dhe teknologjia e informacionit, fuqizimi i të cilave do të mundësojë qeverisjen e hapur digjitale përmes platformave që mundësojnë komunikimin interaktiv mes qytetarëve dhe administratës publike. Njëherësh, fokus të veçantë do të ketë investimi për </w:t>
      </w:r>
      <w:r w:rsidRPr="00641640">
        <w:rPr>
          <w:rFonts w:ascii="Times New Roman" w:eastAsia="Times New Roman" w:hAnsi="Times New Roman" w:cs="Times New Roman"/>
          <w:bCs/>
          <w:noProof/>
          <w:sz w:val="24"/>
          <w:szCs w:val="24"/>
          <w:lang w:val="sq-AL"/>
        </w:rPr>
        <w:t xml:space="preserve">modernizimin e sistemeve të brendshme të menaxhimit </w:t>
      </w:r>
      <w:r w:rsidRPr="00641640">
        <w:rPr>
          <w:rFonts w:ascii="Times New Roman" w:eastAsia="Times New Roman" w:hAnsi="Times New Roman" w:cs="Times New Roman"/>
          <w:bCs/>
          <w:noProof/>
          <w:sz w:val="24"/>
          <w:szCs w:val="24"/>
          <w:lang w:val="sq-AL"/>
        </w:rPr>
        <w:lastRenderedPageBreak/>
        <w:t>të të dhënave</w:t>
      </w:r>
      <w:r w:rsidRPr="00641640">
        <w:rPr>
          <w:rFonts w:ascii="Times New Roman" w:eastAsia="Times New Roman" w:hAnsi="Times New Roman" w:cs="Times New Roman"/>
          <w:noProof/>
          <w:sz w:val="24"/>
          <w:szCs w:val="24"/>
          <w:lang w:val="sq-AL"/>
        </w:rPr>
        <w:t>, me qëllimin për të siguruar menaxhim efikas të të dhënave dhe akses të shpejtë në informacion në përgjigje të kërkesave të qytetarëve.</w:t>
      </w:r>
    </w:p>
    <w:p w14:paraId="6A11A983" w14:textId="38D3AD74" w:rsidR="00C00D39" w:rsidRPr="00641640" w:rsidRDefault="003748C9" w:rsidP="00A31523">
      <w:pPr>
        <w:spacing w:after="100" w:afterAutospacing="1"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Partneriteti i intensifikuar me organizatat e shoqërisë civile mbetet prioritet kyç për realizimin e këtyre synimeve. Institucionet publike do të nxisin në mënyrë proaktive dialog të vazhdueshëm me shoqërinë civile për të identifikuar dhe adresuar sfidat në qasjen dhe përdorimin e informacionit publik, si dhe për rritjen e angazhimit të tyre si monitorues të pavarur të performancës së institucioneve publike konform detyrimeve ligjore në fuqi për transparencën dhe llogaridhënien.</w:t>
      </w:r>
    </w:p>
    <w:p w14:paraId="32559C0C" w14:textId="77777777" w:rsidR="00C00D39" w:rsidRPr="006B4CA9" w:rsidRDefault="00C00D39" w:rsidP="00F863ED">
      <w:pPr>
        <w:spacing w:after="0" w:line="276" w:lineRule="auto"/>
        <w:jc w:val="both"/>
        <w:rPr>
          <w:rFonts w:ascii="Times New Roman" w:eastAsia="Times New Roman" w:hAnsi="Times New Roman" w:cs="Times New Roman"/>
          <w:noProof/>
          <w:sz w:val="20"/>
          <w:szCs w:val="20"/>
          <w:lang w:val="sq-AL"/>
        </w:rPr>
      </w:pPr>
    </w:p>
    <w:p w14:paraId="1EE53D53" w14:textId="77777777" w:rsidR="00003663" w:rsidRPr="00641640" w:rsidRDefault="00003663" w:rsidP="00F863ED">
      <w:p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imes New Roman" w:hAnsi="Times New Roman" w:cs="Times New Roman"/>
          <w:b/>
          <w:bCs/>
          <w:noProof/>
          <w:sz w:val="24"/>
          <w:szCs w:val="24"/>
          <w:lang w:val="sq-AL"/>
        </w:rPr>
        <w:t>Rezultatet e pritshme nga zbatimi i masave që lidhen me Objektivin Specifik</w:t>
      </w:r>
    </w:p>
    <w:p w14:paraId="355E418B" w14:textId="575AC488" w:rsidR="00003663" w:rsidRPr="00641640" w:rsidRDefault="00003663"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 xml:space="preserve">Objektivi Specifik </w:t>
      </w:r>
      <w:r w:rsidR="00C53C75" w:rsidRPr="00641640">
        <w:rPr>
          <w:rFonts w:ascii="Times New Roman" w:eastAsia="Times New Roman" w:hAnsi="Times New Roman" w:cs="Times New Roman"/>
          <w:noProof/>
          <w:sz w:val="24"/>
          <w:szCs w:val="24"/>
          <w:lang w:val="sq-AL"/>
        </w:rPr>
        <w:t>4</w:t>
      </w:r>
      <w:r w:rsidRPr="00641640">
        <w:rPr>
          <w:rFonts w:ascii="Times New Roman" w:eastAsia="Times New Roman" w:hAnsi="Times New Roman" w:cs="Times New Roman"/>
          <w:noProof/>
          <w:sz w:val="24"/>
          <w:szCs w:val="24"/>
          <w:lang w:val="sq-AL"/>
        </w:rPr>
        <w:t>.</w:t>
      </w:r>
      <w:r w:rsidR="00C53C75" w:rsidRPr="00641640">
        <w:rPr>
          <w:rFonts w:ascii="Times New Roman" w:eastAsia="Times New Roman" w:hAnsi="Times New Roman" w:cs="Times New Roman"/>
          <w:noProof/>
          <w:sz w:val="24"/>
          <w:szCs w:val="24"/>
          <w:lang w:val="sq-AL"/>
        </w:rPr>
        <w:t>3</w:t>
      </w:r>
      <w:r w:rsidRPr="00641640">
        <w:rPr>
          <w:rFonts w:ascii="Times New Roman" w:eastAsia="Times New Roman" w:hAnsi="Times New Roman" w:cs="Times New Roman"/>
          <w:noProof/>
          <w:sz w:val="24"/>
          <w:szCs w:val="24"/>
          <w:lang w:val="sq-AL"/>
        </w:rPr>
        <w:t xml:space="preserve">, </w:t>
      </w:r>
      <w:r w:rsidR="00D12C82" w:rsidRPr="00641640">
        <w:rPr>
          <w:rFonts w:ascii="Times New Roman" w:eastAsia="Times New Roman" w:hAnsi="Times New Roman" w:cs="Times New Roman"/>
          <w:noProof/>
          <w:sz w:val="24"/>
          <w:szCs w:val="24"/>
          <w:lang w:val="sq-AL"/>
        </w:rPr>
        <w:t xml:space="preserve">duke </w:t>
      </w:r>
      <w:r w:rsidR="003F5A4D" w:rsidRPr="00641640">
        <w:rPr>
          <w:rFonts w:ascii="Times New Roman" w:eastAsia="Times New Roman" w:hAnsi="Times New Roman" w:cs="Times New Roman"/>
          <w:noProof/>
          <w:sz w:val="24"/>
          <w:szCs w:val="24"/>
          <w:lang w:val="sq-AL"/>
        </w:rPr>
        <w:t>patur si q</w:t>
      </w:r>
      <w:r w:rsidR="00DD0D6F" w:rsidRPr="00641640">
        <w:rPr>
          <w:rFonts w:ascii="Times New Roman" w:eastAsia="Times New Roman" w:hAnsi="Times New Roman" w:cs="Times New Roman"/>
          <w:noProof/>
          <w:sz w:val="24"/>
          <w:szCs w:val="24"/>
          <w:lang w:val="sq-AL"/>
        </w:rPr>
        <w:t>ë</w:t>
      </w:r>
      <w:r w:rsidR="003F5A4D" w:rsidRPr="00641640">
        <w:rPr>
          <w:rFonts w:ascii="Times New Roman" w:eastAsia="Times New Roman" w:hAnsi="Times New Roman" w:cs="Times New Roman"/>
          <w:noProof/>
          <w:sz w:val="24"/>
          <w:szCs w:val="24"/>
          <w:lang w:val="sq-AL"/>
        </w:rPr>
        <w:t>llim final rritjen e transparenc</w:t>
      </w:r>
      <w:r w:rsidR="00DD0D6F" w:rsidRPr="00641640">
        <w:rPr>
          <w:rFonts w:ascii="Times New Roman" w:eastAsia="Times New Roman" w:hAnsi="Times New Roman" w:cs="Times New Roman"/>
          <w:noProof/>
          <w:sz w:val="24"/>
          <w:szCs w:val="24"/>
          <w:lang w:val="sq-AL"/>
        </w:rPr>
        <w:t>ë</w:t>
      </w:r>
      <w:r w:rsidR="003F5A4D" w:rsidRPr="00641640">
        <w:rPr>
          <w:rFonts w:ascii="Times New Roman" w:eastAsia="Times New Roman" w:hAnsi="Times New Roman" w:cs="Times New Roman"/>
          <w:noProof/>
          <w:sz w:val="24"/>
          <w:szCs w:val="24"/>
          <w:lang w:val="sq-AL"/>
        </w:rPr>
        <w:t>s n</w:t>
      </w:r>
      <w:r w:rsidR="00DD0D6F" w:rsidRPr="00641640">
        <w:rPr>
          <w:rFonts w:ascii="Times New Roman" w:eastAsia="Times New Roman" w:hAnsi="Times New Roman" w:cs="Times New Roman"/>
          <w:noProof/>
          <w:sz w:val="24"/>
          <w:szCs w:val="24"/>
          <w:lang w:val="sq-AL"/>
        </w:rPr>
        <w:t>ë</w:t>
      </w:r>
      <w:r w:rsidR="003F5A4D" w:rsidRPr="00641640">
        <w:rPr>
          <w:rFonts w:ascii="Times New Roman" w:eastAsia="Times New Roman" w:hAnsi="Times New Roman" w:cs="Times New Roman"/>
          <w:noProof/>
          <w:sz w:val="24"/>
          <w:szCs w:val="24"/>
          <w:lang w:val="sq-AL"/>
        </w:rPr>
        <w:t xml:space="preserve"> </w:t>
      </w:r>
      <w:r w:rsidR="003F5A4D" w:rsidRPr="00641640">
        <w:rPr>
          <w:rFonts w:ascii="Times New Roman" w:hAnsi="Times New Roman" w:cs="Times New Roman"/>
          <w:noProof/>
          <w:sz w:val="24"/>
          <w:szCs w:val="24"/>
          <w:lang w:val="sq-AL"/>
        </w:rPr>
        <w:t>i</w:t>
      </w:r>
      <w:r w:rsidR="00D12C82" w:rsidRPr="00641640">
        <w:rPr>
          <w:rFonts w:ascii="Times New Roman" w:hAnsi="Times New Roman" w:cs="Times New Roman"/>
          <w:noProof/>
          <w:sz w:val="24"/>
          <w:szCs w:val="24"/>
          <w:lang w:val="sq-AL"/>
        </w:rPr>
        <w:t>nstitucione</w:t>
      </w:r>
      <w:r w:rsidR="003F5A4D" w:rsidRPr="00641640">
        <w:rPr>
          <w:rFonts w:ascii="Times New Roman" w:hAnsi="Times New Roman" w:cs="Times New Roman"/>
          <w:noProof/>
          <w:sz w:val="24"/>
          <w:szCs w:val="24"/>
          <w:lang w:val="sq-AL"/>
        </w:rPr>
        <w:t>ve</w:t>
      </w:r>
      <w:r w:rsidR="00D12C82" w:rsidRPr="00641640">
        <w:rPr>
          <w:rFonts w:ascii="Times New Roman" w:hAnsi="Times New Roman" w:cs="Times New Roman"/>
          <w:noProof/>
          <w:sz w:val="24"/>
          <w:szCs w:val="24"/>
          <w:lang w:val="sq-AL"/>
        </w:rPr>
        <w:t xml:space="preserve"> publike</w:t>
      </w:r>
      <w:r w:rsidR="006C28D3" w:rsidRPr="00641640">
        <w:rPr>
          <w:rFonts w:ascii="Times New Roman" w:hAnsi="Times New Roman" w:cs="Times New Roman"/>
          <w:noProof/>
          <w:sz w:val="24"/>
          <w:szCs w:val="24"/>
          <w:lang w:val="sq-AL"/>
        </w:rPr>
        <w:t>, n</w:t>
      </w:r>
      <w:r w:rsidR="00DD0D6F" w:rsidRPr="00641640">
        <w:rPr>
          <w:rFonts w:ascii="Times New Roman" w:hAnsi="Times New Roman" w:cs="Times New Roman"/>
          <w:noProof/>
          <w:sz w:val="24"/>
          <w:szCs w:val="24"/>
          <w:lang w:val="sq-AL"/>
        </w:rPr>
        <w:t>ë</w:t>
      </w:r>
      <w:r w:rsidR="006C28D3" w:rsidRPr="00641640">
        <w:rPr>
          <w:rFonts w:ascii="Times New Roman" w:hAnsi="Times New Roman" w:cs="Times New Roman"/>
          <w:noProof/>
          <w:sz w:val="24"/>
          <w:szCs w:val="24"/>
          <w:lang w:val="sq-AL"/>
        </w:rPr>
        <w:t>p</w:t>
      </w:r>
      <w:r w:rsidR="00DD0D6F" w:rsidRPr="00641640">
        <w:rPr>
          <w:rFonts w:ascii="Times New Roman" w:hAnsi="Times New Roman" w:cs="Times New Roman"/>
          <w:noProof/>
          <w:sz w:val="24"/>
          <w:szCs w:val="24"/>
          <w:lang w:val="sq-AL"/>
        </w:rPr>
        <w:t>ë</w:t>
      </w:r>
      <w:r w:rsidR="006C28D3" w:rsidRPr="00641640">
        <w:rPr>
          <w:rFonts w:ascii="Times New Roman" w:hAnsi="Times New Roman" w:cs="Times New Roman"/>
          <w:noProof/>
          <w:sz w:val="24"/>
          <w:szCs w:val="24"/>
          <w:lang w:val="sq-AL"/>
        </w:rPr>
        <w:t>rmjet masave dhe aktiviteteve t</w:t>
      </w:r>
      <w:r w:rsidR="00DD0D6F" w:rsidRPr="00641640">
        <w:rPr>
          <w:rFonts w:ascii="Times New Roman" w:hAnsi="Times New Roman" w:cs="Times New Roman"/>
          <w:noProof/>
          <w:sz w:val="24"/>
          <w:szCs w:val="24"/>
          <w:lang w:val="sq-AL"/>
        </w:rPr>
        <w:t>ë</w:t>
      </w:r>
      <w:r w:rsidR="006C28D3" w:rsidRPr="00641640">
        <w:rPr>
          <w:rFonts w:ascii="Times New Roman" w:hAnsi="Times New Roman" w:cs="Times New Roman"/>
          <w:noProof/>
          <w:sz w:val="24"/>
          <w:szCs w:val="24"/>
          <w:lang w:val="sq-AL"/>
        </w:rPr>
        <w:t xml:space="preserve"> parashikuara n</w:t>
      </w:r>
      <w:r w:rsidR="00DD0D6F" w:rsidRPr="00641640">
        <w:rPr>
          <w:rFonts w:ascii="Times New Roman" w:hAnsi="Times New Roman" w:cs="Times New Roman"/>
          <w:noProof/>
          <w:sz w:val="24"/>
          <w:szCs w:val="24"/>
          <w:lang w:val="sq-AL"/>
        </w:rPr>
        <w:t>ë</w:t>
      </w:r>
      <w:r w:rsidR="006C28D3" w:rsidRPr="00641640">
        <w:rPr>
          <w:rFonts w:ascii="Times New Roman" w:hAnsi="Times New Roman" w:cs="Times New Roman"/>
          <w:noProof/>
          <w:sz w:val="24"/>
          <w:szCs w:val="24"/>
          <w:lang w:val="sq-AL"/>
        </w:rPr>
        <w:t xml:space="preserve"> Planin e Veprimit, pritet t</w:t>
      </w:r>
      <w:r w:rsidR="00DD0D6F" w:rsidRPr="00641640">
        <w:rPr>
          <w:rFonts w:ascii="Times New Roman" w:hAnsi="Times New Roman" w:cs="Times New Roman"/>
          <w:noProof/>
          <w:sz w:val="24"/>
          <w:szCs w:val="24"/>
          <w:lang w:val="sq-AL"/>
        </w:rPr>
        <w:t>ë</w:t>
      </w:r>
      <w:r w:rsidR="006C28D3" w:rsidRPr="00641640">
        <w:rPr>
          <w:rFonts w:ascii="Times New Roman" w:hAnsi="Times New Roman" w:cs="Times New Roman"/>
          <w:noProof/>
          <w:sz w:val="24"/>
          <w:szCs w:val="24"/>
          <w:lang w:val="sq-AL"/>
        </w:rPr>
        <w:t xml:space="preserve"> jap</w:t>
      </w:r>
      <w:r w:rsidR="00DD0D6F" w:rsidRPr="00641640">
        <w:rPr>
          <w:rFonts w:ascii="Times New Roman" w:hAnsi="Times New Roman" w:cs="Times New Roman"/>
          <w:noProof/>
          <w:sz w:val="24"/>
          <w:szCs w:val="24"/>
          <w:lang w:val="sq-AL"/>
        </w:rPr>
        <w:t>ë</w:t>
      </w:r>
      <w:r w:rsidR="006C28D3" w:rsidRPr="00641640">
        <w:rPr>
          <w:rFonts w:ascii="Times New Roman" w:hAnsi="Times New Roman" w:cs="Times New Roman"/>
          <w:noProof/>
          <w:sz w:val="24"/>
          <w:szCs w:val="24"/>
          <w:lang w:val="sq-AL"/>
        </w:rPr>
        <w:t xml:space="preserve"> rezultatet e m</w:t>
      </w:r>
      <w:r w:rsidR="00DD0D6F" w:rsidRPr="00641640">
        <w:rPr>
          <w:rFonts w:ascii="Times New Roman" w:hAnsi="Times New Roman" w:cs="Times New Roman"/>
          <w:noProof/>
          <w:sz w:val="24"/>
          <w:szCs w:val="24"/>
          <w:lang w:val="sq-AL"/>
        </w:rPr>
        <w:t>ë</w:t>
      </w:r>
      <w:r w:rsidR="006C28D3" w:rsidRPr="00641640">
        <w:rPr>
          <w:rFonts w:ascii="Times New Roman" w:hAnsi="Times New Roman" w:cs="Times New Roman"/>
          <w:noProof/>
          <w:sz w:val="24"/>
          <w:szCs w:val="24"/>
          <w:lang w:val="sq-AL"/>
        </w:rPr>
        <w:t>poshtme:</w:t>
      </w:r>
    </w:p>
    <w:p w14:paraId="7C05488F" w14:textId="729171B5" w:rsidR="00003663" w:rsidRPr="00641640" w:rsidRDefault="00003663" w:rsidP="00F863ED">
      <w:pPr>
        <w:spacing w:line="276" w:lineRule="auto"/>
        <w:jc w:val="both"/>
        <w:rPr>
          <w:rFonts w:ascii="Times New Roman" w:eastAsiaTheme="minorHAnsi"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1:</w:t>
      </w:r>
      <w:r w:rsidRPr="00641640">
        <w:rPr>
          <w:rFonts w:ascii="Times New Roman" w:eastAsia="Times New Roman" w:hAnsi="Times New Roman" w:cs="Times New Roman"/>
          <w:noProof/>
          <w:sz w:val="24"/>
          <w:szCs w:val="24"/>
          <w:lang w:val="sq-AL"/>
        </w:rPr>
        <w:t xml:space="preserve"> </w:t>
      </w:r>
      <w:r w:rsidR="004734AC" w:rsidRPr="00641640">
        <w:rPr>
          <w:rFonts w:ascii="Times New Roman" w:eastAsiaTheme="minorHAnsi" w:hAnsi="Times New Roman" w:cs="Times New Roman"/>
          <w:noProof/>
          <w:sz w:val="24"/>
          <w:szCs w:val="24"/>
          <w:lang w:val="sq-AL"/>
        </w:rPr>
        <w:t>Rritje e angazhimit proaktiv të institucioneve publike</w:t>
      </w:r>
      <w:r w:rsidR="00DE4B14" w:rsidRPr="00641640">
        <w:rPr>
          <w:rFonts w:ascii="Times New Roman" w:hAnsi="Times New Roman" w:cs="Times New Roman"/>
          <w:noProof/>
          <w:sz w:val="24"/>
          <w:szCs w:val="24"/>
          <w:lang w:val="sq-AL"/>
        </w:rPr>
        <w:t xml:space="preserve"> </w:t>
      </w:r>
      <w:r w:rsidR="00DE4B14" w:rsidRPr="00641640">
        <w:rPr>
          <w:rFonts w:ascii="Times New Roman" w:eastAsiaTheme="minorHAnsi" w:hAnsi="Times New Roman" w:cs="Times New Roman"/>
          <w:noProof/>
          <w:sz w:val="24"/>
          <w:szCs w:val="24"/>
          <w:lang w:val="sq-AL"/>
        </w:rPr>
        <w:t>ndaj kërkesave për akses në informacionin publik.</w:t>
      </w:r>
    </w:p>
    <w:p w14:paraId="4672AD69" w14:textId="472CCB89" w:rsidR="00F1071C" w:rsidRPr="00641640" w:rsidRDefault="006C2B1F" w:rsidP="00F863ED">
      <w:pPr>
        <w:spacing w:line="276" w:lineRule="auto"/>
        <w:jc w:val="both"/>
        <w:rPr>
          <w:rFonts w:ascii="Times New Roman" w:eastAsiaTheme="minorHAnsi"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 xml:space="preserve">Rezultati 2: </w:t>
      </w:r>
      <w:r w:rsidRPr="00641640">
        <w:rPr>
          <w:rFonts w:ascii="Times New Roman" w:eastAsiaTheme="minorHAnsi" w:hAnsi="Times New Roman" w:cs="Times New Roman"/>
          <w:noProof/>
          <w:sz w:val="24"/>
          <w:szCs w:val="24"/>
          <w:lang w:val="sq-AL"/>
        </w:rPr>
        <w:t>F</w:t>
      </w:r>
      <w:r w:rsidR="00F1071C" w:rsidRPr="00641640">
        <w:rPr>
          <w:rFonts w:ascii="Times New Roman" w:eastAsiaTheme="minorHAnsi" w:hAnsi="Times New Roman" w:cs="Times New Roman"/>
          <w:noProof/>
          <w:sz w:val="24"/>
          <w:szCs w:val="24"/>
          <w:lang w:val="sq-AL"/>
        </w:rPr>
        <w:t>orcimi</w:t>
      </w:r>
      <w:r w:rsidRPr="00641640">
        <w:rPr>
          <w:rFonts w:ascii="Times New Roman" w:eastAsiaTheme="minorHAnsi" w:hAnsi="Times New Roman" w:cs="Times New Roman"/>
          <w:noProof/>
          <w:sz w:val="24"/>
          <w:szCs w:val="24"/>
          <w:lang w:val="sq-AL"/>
        </w:rPr>
        <w:t xml:space="preserve"> i</w:t>
      </w:r>
      <w:r w:rsidR="00F1071C" w:rsidRPr="00641640">
        <w:rPr>
          <w:rFonts w:ascii="Times New Roman" w:eastAsiaTheme="minorHAnsi" w:hAnsi="Times New Roman" w:cs="Times New Roman"/>
          <w:noProof/>
          <w:sz w:val="24"/>
          <w:szCs w:val="24"/>
          <w:lang w:val="sq-AL"/>
        </w:rPr>
        <w:t xml:space="preserve"> kapaciteteve në institucionet e administratës publike për zbatimin efikas të kuadrit ligjor për të drejtën e informimit, të dhënat e hapura dhe ripërdorimin e informacionit të sektorit publik</w:t>
      </w:r>
      <w:r w:rsidRPr="00641640">
        <w:rPr>
          <w:rFonts w:ascii="Times New Roman" w:eastAsiaTheme="minorHAnsi" w:hAnsi="Times New Roman" w:cs="Times New Roman"/>
          <w:noProof/>
          <w:sz w:val="24"/>
          <w:szCs w:val="24"/>
          <w:lang w:val="sq-AL"/>
        </w:rPr>
        <w:t>.</w:t>
      </w:r>
    </w:p>
    <w:p w14:paraId="71BD98B2" w14:textId="2FD2D5D3" w:rsidR="00003663" w:rsidRPr="00641640" w:rsidRDefault="00003663" w:rsidP="00F863ED">
      <w:pPr>
        <w:spacing w:line="276" w:lineRule="auto"/>
        <w:jc w:val="both"/>
        <w:rPr>
          <w:rFonts w:ascii="Times New Roman" w:eastAsiaTheme="minorHAnsi" w:hAnsi="Times New Roman" w:cs="Times New Roman"/>
          <w:bCs/>
          <w:noProof/>
          <w:sz w:val="24"/>
          <w:szCs w:val="24"/>
          <w:lang w:val="sq-AL"/>
        </w:rPr>
      </w:pPr>
      <w:r w:rsidRPr="00641640">
        <w:rPr>
          <w:rFonts w:ascii="Times New Roman" w:eastAsia="Times New Roman" w:hAnsi="Times New Roman" w:cs="Times New Roman"/>
          <w:b/>
          <w:bCs/>
          <w:noProof/>
          <w:sz w:val="24"/>
          <w:szCs w:val="24"/>
          <w:lang w:val="sq-AL"/>
        </w:rPr>
        <w:t xml:space="preserve">Rezultati </w:t>
      </w:r>
      <w:r w:rsidR="006C2B1F" w:rsidRPr="00641640">
        <w:rPr>
          <w:rFonts w:ascii="Times New Roman" w:eastAsia="Times New Roman" w:hAnsi="Times New Roman" w:cs="Times New Roman"/>
          <w:b/>
          <w:bCs/>
          <w:noProof/>
          <w:sz w:val="24"/>
          <w:szCs w:val="24"/>
          <w:lang w:val="sq-AL"/>
        </w:rPr>
        <w:t>3</w:t>
      </w:r>
      <w:r w:rsidRPr="00641640">
        <w:rPr>
          <w:rFonts w:ascii="Times New Roman" w:eastAsia="Times New Roman" w:hAnsi="Times New Roman" w:cs="Times New Roman"/>
          <w:b/>
          <w:bCs/>
          <w:noProof/>
          <w:sz w:val="24"/>
          <w:szCs w:val="24"/>
          <w:lang w:val="sq-AL"/>
        </w:rPr>
        <w:t>:</w:t>
      </w:r>
      <w:r w:rsidRPr="00641640">
        <w:rPr>
          <w:rFonts w:ascii="Times New Roman" w:eastAsia="Times New Roman" w:hAnsi="Times New Roman" w:cs="Times New Roman"/>
          <w:noProof/>
          <w:sz w:val="24"/>
          <w:szCs w:val="24"/>
          <w:lang w:val="sq-AL"/>
        </w:rPr>
        <w:t xml:space="preserve"> </w:t>
      </w:r>
      <w:r w:rsidR="00274CFA" w:rsidRPr="00641640">
        <w:rPr>
          <w:rFonts w:ascii="Times New Roman" w:eastAsiaTheme="minorHAnsi" w:hAnsi="Times New Roman" w:cs="Times New Roman"/>
          <w:bCs/>
          <w:noProof/>
          <w:sz w:val="24"/>
          <w:szCs w:val="24"/>
          <w:lang w:val="sq-AL"/>
        </w:rPr>
        <w:t>Rritja e eficencës të kthimit të përgjigjeve të dhëna nga autoritetet publike për sa i përket kërkesave për informacion bazuar në ligjin nr.</w:t>
      </w:r>
      <w:r w:rsidR="00981670">
        <w:rPr>
          <w:rFonts w:ascii="Times New Roman" w:eastAsiaTheme="minorHAnsi" w:hAnsi="Times New Roman" w:cs="Times New Roman"/>
          <w:bCs/>
          <w:noProof/>
          <w:sz w:val="24"/>
          <w:szCs w:val="24"/>
          <w:lang w:val="sq-AL"/>
        </w:rPr>
        <w:t xml:space="preserve"> </w:t>
      </w:r>
      <w:r w:rsidR="00274CFA" w:rsidRPr="00641640">
        <w:rPr>
          <w:rFonts w:ascii="Times New Roman" w:eastAsiaTheme="minorHAnsi" w:hAnsi="Times New Roman" w:cs="Times New Roman"/>
          <w:bCs/>
          <w:noProof/>
          <w:sz w:val="24"/>
          <w:szCs w:val="24"/>
          <w:lang w:val="sq-AL"/>
        </w:rPr>
        <w:t>119/2014 “</w:t>
      </w:r>
      <w:r w:rsidR="00274CFA" w:rsidRPr="00641640">
        <w:rPr>
          <w:rFonts w:ascii="Times New Roman" w:eastAsiaTheme="minorHAnsi" w:hAnsi="Times New Roman" w:cs="Times New Roman"/>
          <w:bCs/>
          <w:i/>
          <w:iCs/>
          <w:noProof/>
          <w:sz w:val="24"/>
          <w:szCs w:val="24"/>
          <w:lang w:val="sq-AL"/>
        </w:rPr>
        <w:t>Për të drejtën e informimit</w:t>
      </w:r>
      <w:r w:rsidR="00274CFA" w:rsidRPr="00641640">
        <w:rPr>
          <w:rFonts w:ascii="Times New Roman" w:eastAsiaTheme="minorHAnsi" w:hAnsi="Times New Roman" w:cs="Times New Roman"/>
          <w:bCs/>
          <w:noProof/>
          <w:sz w:val="24"/>
          <w:szCs w:val="24"/>
          <w:lang w:val="sq-AL"/>
        </w:rPr>
        <w:t>”.</w:t>
      </w:r>
    </w:p>
    <w:p w14:paraId="3166FBD9" w14:textId="128ED759" w:rsidR="00724E50" w:rsidRPr="00641640" w:rsidRDefault="00003663"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w:t>
      </w:r>
      <w:r w:rsidR="006C2B1F" w:rsidRPr="00641640">
        <w:rPr>
          <w:rFonts w:ascii="Times New Roman" w:eastAsia="Times New Roman" w:hAnsi="Times New Roman" w:cs="Times New Roman"/>
          <w:b/>
          <w:bCs/>
          <w:noProof/>
          <w:sz w:val="24"/>
          <w:szCs w:val="24"/>
          <w:lang w:val="sq-AL"/>
        </w:rPr>
        <w:t xml:space="preserve"> 4</w:t>
      </w:r>
      <w:r w:rsidRPr="00641640">
        <w:rPr>
          <w:rFonts w:ascii="Times New Roman" w:eastAsia="Times New Roman" w:hAnsi="Times New Roman" w:cs="Times New Roman"/>
          <w:b/>
          <w:bCs/>
          <w:noProof/>
          <w:sz w:val="24"/>
          <w:szCs w:val="24"/>
          <w:lang w:val="sq-AL"/>
        </w:rPr>
        <w:t>:</w:t>
      </w:r>
      <w:r w:rsidRPr="00641640">
        <w:rPr>
          <w:rFonts w:ascii="Times New Roman" w:eastAsia="Times New Roman" w:hAnsi="Times New Roman" w:cs="Times New Roman"/>
          <w:noProof/>
          <w:sz w:val="24"/>
          <w:szCs w:val="24"/>
          <w:lang w:val="sq-AL"/>
        </w:rPr>
        <w:t xml:space="preserve"> </w:t>
      </w:r>
      <w:r w:rsidR="006431B6" w:rsidRPr="00641640">
        <w:rPr>
          <w:rFonts w:ascii="Times New Roman" w:eastAsiaTheme="minorHAnsi" w:hAnsi="Times New Roman" w:cs="Times New Roman"/>
          <w:noProof/>
          <w:sz w:val="24"/>
          <w:szCs w:val="24"/>
          <w:lang w:val="sq-AL"/>
        </w:rPr>
        <w:t>Forcim i partneritetit të institucioneve publike me OSHC-të në drejtim të llogaridhënies dhe transparencës.</w:t>
      </w:r>
    </w:p>
    <w:p w14:paraId="4E27FCD9" w14:textId="3B6DF45B" w:rsidR="00D90A05" w:rsidRPr="00641640" w:rsidRDefault="00003663"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kryesore:</w:t>
      </w:r>
      <w:r w:rsidRPr="00641640">
        <w:rPr>
          <w:rFonts w:ascii="Times New Roman" w:eastAsia="Times New Roman" w:hAnsi="Times New Roman" w:cs="Times New Roman"/>
          <w:noProof/>
          <w:sz w:val="24"/>
          <w:szCs w:val="24"/>
          <w:lang w:val="sq-AL"/>
        </w:rPr>
        <w:t xml:space="preserve"> </w:t>
      </w:r>
      <w:r w:rsidR="00114BDC" w:rsidRPr="00114BDC">
        <w:rPr>
          <w:rFonts w:ascii="Times New Roman" w:eastAsia="Times New Roman" w:hAnsi="Times New Roman" w:cs="Times New Roman"/>
          <w:noProof/>
          <w:sz w:val="24"/>
          <w:szCs w:val="24"/>
          <w:lang w:val="sq-AL"/>
        </w:rPr>
        <w:t>KDIMDP, Këshilli i Ministrave, MAPA</w:t>
      </w:r>
      <w:r w:rsidR="0006529A" w:rsidRPr="00641640">
        <w:rPr>
          <w:rFonts w:ascii="Times New Roman" w:eastAsia="Arial" w:hAnsi="Times New Roman" w:cs="Times New Roman"/>
          <w:noProof/>
          <w:sz w:val="24"/>
          <w:szCs w:val="24"/>
          <w:lang w:val="sq-AL"/>
        </w:rPr>
        <w:t>.</w:t>
      </w:r>
    </w:p>
    <w:p w14:paraId="16D4EA2E" w14:textId="648A0EA2" w:rsidR="00003663" w:rsidRPr="00641640" w:rsidRDefault="00003663"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kontributore:</w:t>
      </w:r>
      <w:r w:rsidR="00D90A05" w:rsidRPr="00641640">
        <w:rPr>
          <w:rFonts w:ascii="Times New Roman" w:eastAsia="Times New Roman" w:hAnsi="Times New Roman" w:cs="Times New Roman"/>
          <w:noProof/>
          <w:sz w:val="24"/>
          <w:szCs w:val="24"/>
          <w:lang w:val="sq-AL"/>
        </w:rPr>
        <w:t xml:space="preserve"> </w:t>
      </w:r>
      <w:r w:rsidR="00114BDC" w:rsidRPr="00114BDC">
        <w:rPr>
          <w:rFonts w:ascii="Times New Roman" w:eastAsia="Arial" w:hAnsi="Times New Roman" w:cs="Times New Roman"/>
          <w:noProof/>
          <w:sz w:val="24"/>
          <w:szCs w:val="24"/>
          <w:lang w:val="sq-AL"/>
        </w:rPr>
        <w:t>Këshilli i Ministrave, MIE, MEKI, AKSHI, KDIMDP, OSHC</w:t>
      </w:r>
      <w:r w:rsidR="00CA4DD4">
        <w:rPr>
          <w:rFonts w:ascii="Times New Roman" w:eastAsia="Arial" w:hAnsi="Times New Roman" w:cs="Times New Roman"/>
          <w:noProof/>
          <w:sz w:val="24"/>
          <w:szCs w:val="24"/>
          <w:lang w:val="sq-AL"/>
        </w:rPr>
        <w:t xml:space="preserve">, </w:t>
      </w:r>
      <w:r w:rsidR="00CA4DD4" w:rsidRPr="00CA4DD4">
        <w:rPr>
          <w:rFonts w:ascii="Times New Roman" w:eastAsia="Arial" w:hAnsi="Times New Roman" w:cs="Times New Roman"/>
          <w:noProof/>
          <w:sz w:val="24"/>
          <w:szCs w:val="24"/>
          <w:lang w:val="sq-AL"/>
        </w:rPr>
        <w:t>Të gjitha institucionet</w:t>
      </w:r>
      <w:r w:rsidR="0006529A" w:rsidRPr="00641640">
        <w:rPr>
          <w:rFonts w:ascii="Times New Roman" w:eastAsia="Arial" w:hAnsi="Times New Roman" w:cs="Times New Roman"/>
          <w:noProof/>
          <w:sz w:val="24"/>
          <w:szCs w:val="24"/>
          <w:lang w:val="sq-AL"/>
        </w:rPr>
        <w:t>.</w:t>
      </w:r>
    </w:p>
    <w:p w14:paraId="2D2B7B45" w14:textId="77777777" w:rsidR="000708BE" w:rsidRPr="00641640" w:rsidRDefault="000708BE" w:rsidP="00F863ED">
      <w:pPr>
        <w:spacing w:after="0" w:line="276" w:lineRule="auto"/>
        <w:jc w:val="both"/>
        <w:rPr>
          <w:rFonts w:ascii="Times New Roman" w:hAnsi="Times New Roman" w:cs="Times New Roman"/>
          <w:b/>
          <w:bCs/>
          <w:noProof/>
          <w:sz w:val="24"/>
          <w:szCs w:val="24"/>
          <w:lang w:val="sq-AL"/>
        </w:rPr>
      </w:pPr>
    </w:p>
    <w:p w14:paraId="2874AB88" w14:textId="0B7F494B" w:rsidR="00003663" w:rsidRPr="00641640" w:rsidRDefault="00003663" w:rsidP="00F863E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Masat dhe aktivitetet</w:t>
      </w:r>
    </w:p>
    <w:p w14:paraId="1A1B0E18" w14:textId="68C43F0F" w:rsidR="003748C9" w:rsidRPr="00641640" w:rsidRDefault="003748C9" w:rsidP="00F863ED">
      <w:pPr>
        <w:spacing w:beforeAutospacing="1" w:after="0" w:line="276" w:lineRule="auto"/>
        <w:jc w:val="both"/>
        <w:textAlignment w:val="baseline"/>
        <w:rPr>
          <w:rFonts w:ascii="Times New Roman" w:hAnsi="Times New Roman" w:cs="Times New Roman"/>
          <w:bCs/>
          <w:noProof/>
          <w:color w:val="000000" w:themeColor="text1"/>
          <w:sz w:val="24"/>
          <w:szCs w:val="24"/>
          <w:lang w:val="sq-AL"/>
        </w:rPr>
      </w:pPr>
      <w:r w:rsidRPr="00641640">
        <w:rPr>
          <w:rFonts w:ascii="Times New Roman" w:hAnsi="Times New Roman" w:cs="Times New Roman"/>
          <w:bCs/>
          <w:noProof/>
          <w:color w:val="000000" w:themeColor="text1"/>
          <w:sz w:val="24"/>
          <w:szCs w:val="24"/>
          <w:lang w:val="sq-AL"/>
        </w:rPr>
        <w:t xml:space="preserve">Ky </w:t>
      </w:r>
      <w:r w:rsidR="00741F2E" w:rsidRPr="00641640">
        <w:rPr>
          <w:rFonts w:ascii="Times New Roman" w:hAnsi="Times New Roman" w:cs="Times New Roman"/>
          <w:bCs/>
          <w:noProof/>
          <w:color w:val="000000" w:themeColor="text1"/>
          <w:sz w:val="24"/>
          <w:szCs w:val="24"/>
          <w:lang w:val="sq-AL"/>
        </w:rPr>
        <w:t>o</w:t>
      </w:r>
      <w:r w:rsidRPr="00641640">
        <w:rPr>
          <w:rFonts w:ascii="Times New Roman" w:hAnsi="Times New Roman" w:cs="Times New Roman"/>
          <w:bCs/>
          <w:noProof/>
          <w:color w:val="000000" w:themeColor="text1"/>
          <w:sz w:val="24"/>
          <w:szCs w:val="24"/>
          <w:lang w:val="sq-AL"/>
        </w:rPr>
        <w:t xml:space="preserve">bjektiv </w:t>
      </w:r>
      <w:r w:rsidR="00741F2E" w:rsidRPr="00641640">
        <w:rPr>
          <w:rFonts w:ascii="Times New Roman" w:hAnsi="Times New Roman" w:cs="Times New Roman"/>
          <w:bCs/>
          <w:noProof/>
          <w:color w:val="000000" w:themeColor="text1"/>
          <w:sz w:val="24"/>
          <w:szCs w:val="24"/>
          <w:lang w:val="sq-AL"/>
        </w:rPr>
        <w:t>s</w:t>
      </w:r>
      <w:r w:rsidRPr="00641640">
        <w:rPr>
          <w:rFonts w:ascii="Times New Roman" w:hAnsi="Times New Roman" w:cs="Times New Roman"/>
          <w:bCs/>
          <w:noProof/>
          <w:color w:val="000000" w:themeColor="text1"/>
          <w:sz w:val="24"/>
          <w:szCs w:val="24"/>
          <w:lang w:val="sq-AL"/>
        </w:rPr>
        <w:t>pecifik do të zbatohet përmes masave të mëposhtme, teksa aktivitetet konkrete për periudhën e parë të zbatimit të SNRAP 202</w:t>
      </w:r>
      <w:r w:rsidR="006F6F72" w:rsidRPr="00641640">
        <w:rPr>
          <w:rFonts w:ascii="Times New Roman" w:hAnsi="Times New Roman" w:cs="Times New Roman"/>
          <w:bCs/>
          <w:noProof/>
          <w:color w:val="000000" w:themeColor="text1"/>
          <w:sz w:val="24"/>
          <w:szCs w:val="24"/>
          <w:lang w:val="sq-AL"/>
        </w:rPr>
        <w:t>5</w:t>
      </w:r>
      <w:r w:rsidRPr="00641640">
        <w:rPr>
          <w:rFonts w:ascii="Times New Roman" w:hAnsi="Times New Roman" w:cs="Times New Roman"/>
          <w:bCs/>
          <w:noProof/>
          <w:color w:val="000000" w:themeColor="text1"/>
          <w:sz w:val="24"/>
          <w:szCs w:val="24"/>
          <w:lang w:val="sq-AL"/>
        </w:rPr>
        <w:t>-2030 mund të gjenden në Planin e Veprimit 202</w:t>
      </w:r>
      <w:r w:rsidR="006F6F72" w:rsidRPr="00641640">
        <w:rPr>
          <w:rFonts w:ascii="Times New Roman" w:hAnsi="Times New Roman" w:cs="Times New Roman"/>
          <w:bCs/>
          <w:noProof/>
          <w:color w:val="000000" w:themeColor="text1"/>
          <w:sz w:val="24"/>
          <w:szCs w:val="24"/>
          <w:lang w:val="sq-AL"/>
        </w:rPr>
        <w:t>5</w:t>
      </w:r>
      <w:r w:rsidRPr="00641640">
        <w:rPr>
          <w:rFonts w:ascii="Times New Roman" w:hAnsi="Times New Roman" w:cs="Times New Roman"/>
          <w:bCs/>
          <w:noProof/>
          <w:color w:val="000000" w:themeColor="text1"/>
          <w:sz w:val="24"/>
          <w:szCs w:val="24"/>
          <w:lang w:val="sq-AL"/>
        </w:rPr>
        <w:t>-20</w:t>
      </w:r>
      <w:r w:rsidR="006F6F72" w:rsidRPr="00641640">
        <w:rPr>
          <w:rFonts w:ascii="Times New Roman" w:hAnsi="Times New Roman" w:cs="Times New Roman"/>
          <w:bCs/>
          <w:noProof/>
          <w:color w:val="000000" w:themeColor="text1"/>
          <w:sz w:val="24"/>
          <w:szCs w:val="24"/>
          <w:lang w:val="sq-AL"/>
        </w:rPr>
        <w:t>30</w:t>
      </w:r>
      <w:r w:rsidRPr="00641640">
        <w:rPr>
          <w:rFonts w:ascii="Times New Roman" w:hAnsi="Times New Roman" w:cs="Times New Roman"/>
          <w:bCs/>
          <w:noProof/>
          <w:color w:val="000000" w:themeColor="text1"/>
          <w:sz w:val="24"/>
          <w:szCs w:val="24"/>
          <w:lang w:val="sq-AL"/>
        </w:rPr>
        <w:t xml:space="preserve"> (Aneksi nr. 1).</w:t>
      </w:r>
    </w:p>
    <w:p w14:paraId="1AF862CC" w14:textId="77777777" w:rsidR="003748C9" w:rsidRPr="00641640" w:rsidRDefault="003748C9" w:rsidP="003A395D">
      <w:pPr>
        <w:spacing w:after="0" w:line="276" w:lineRule="auto"/>
        <w:jc w:val="both"/>
        <w:rPr>
          <w:rFonts w:ascii="Times New Roman" w:hAnsi="Times New Roman" w:cs="Times New Roman"/>
          <w:noProof/>
          <w:sz w:val="24"/>
          <w:szCs w:val="24"/>
          <w:lang w:val="sq-AL"/>
        </w:rPr>
      </w:pPr>
    </w:p>
    <w:tbl>
      <w:tblPr>
        <w:tblStyle w:val="TableGridIDEA4"/>
        <w:tblW w:w="0" w:type="auto"/>
        <w:tblLook w:val="04A0" w:firstRow="1" w:lastRow="0" w:firstColumn="1" w:lastColumn="0" w:noHBand="0" w:noVBand="1"/>
      </w:tblPr>
      <w:tblGrid>
        <w:gridCol w:w="1207"/>
        <w:gridCol w:w="8143"/>
      </w:tblGrid>
      <w:tr w:rsidR="003748C9" w:rsidRPr="00641640" w14:paraId="12D9DF43" w14:textId="77777777" w:rsidTr="00F36C1E">
        <w:trPr>
          <w:trHeight w:val="980"/>
        </w:trPr>
        <w:tc>
          <w:tcPr>
            <w:tcW w:w="9350" w:type="dxa"/>
            <w:gridSpan w:val="2"/>
            <w:shd w:val="clear" w:color="auto" w:fill="C5E0B3" w:themeFill="accent6" w:themeFillTint="66"/>
          </w:tcPr>
          <w:p w14:paraId="45F2E8CD" w14:textId="63954C86" w:rsidR="003748C9" w:rsidRPr="00641640" w:rsidRDefault="003748C9" w:rsidP="003A395D">
            <w:pPr>
              <w:spacing w:before="240" w:after="160" w:line="276" w:lineRule="auto"/>
              <w:jc w:val="center"/>
              <w:textAlignment w:val="baseline"/>
              <w:rPr>
                <w:rFonts w:ascii="Times New Roman" w:hAnsi="Times New Roman" w:cs="Times New Roman"/>
                <w:b/>
                <w:i/>
                <w:noProof/>
                <w:sz w:val="22"/>
                <w:szCs w:val="22"/>
                <w:lang w:val="sq-AL"/>
              </w:rPr>
            </w:pPr>
            <w:r w:rsidRPr="00641640">
              <w:rPr>
                <w:rFonts w:ascii="Times New Roman" w:hAnsi="Times New Roman" w:cs="Times New Roman"/>
                <w:b/>
                <w:i/>
                <w:noProof/>
                <w:sz w:val="22"/>
                <w:szCs w:val="22"/>
                <w:lang w:val="sq-AL"/>
              </w:rPr>
              <w:lastRenderedPageBreak/>
              <w:t xml:space="preserve">Objektivi Specifik </w:t>
            </w:r>
            <w:r w:rsidR="006F6F72" w:rsidRPr="00641640">
              <w:rPr>
                <w:rFonts w:ascii="Times New Roman" w:hAnsi="Times New Roman" w:cs="Times New Roman"/>
                <w:b/>
                <w:i/>
                <w:noProof/>
                <w:sz w:val="22"/>
                <w:szCs w:val="22"/>
                <w:lang w:val="sq-AL"/>
              </w:rPr>
              <w:t>4</w:t>
            </w:r>
            <w:r w:rsidRPr="00641640">
              <w:rPr>
                <w:rFonts w:ascii="Times New Roman" w:hAnsi="Times New Roman" w:cs="Times New Roman"/>
                <w:b/>
                <w:i/>
                <w:noProof/>
                <w:sz w:val="22"/>
                <w:szCs w:val="22"/>
                <w:lang w:val="sq-AL"/>
              </w:rPr>
              <w:t>.3: Promovimi i një administrate të hapur dhe transparente që angazhon qytetarët dhe palët e tjera të interesuara në proceset e vendimmarrjes, duke rritur aksesin në informacion dhe duke përmirësuar dialogun ndërmjet administratës dhe publikut.</w:t>
            </w:r>
          </w:p>
        </w:tc>
      </w:tr>
      <w:tr w:rsidR="003748C9" w:rsidRPr="00641640" w14:paraId="7099AC8B" w14:textId="77777777" w:rsidTr="00F36C1E">
        <w:tc>
          <w:tcPr>
            <w:tcW w:w="1207" w:type="dxa"/>
            <w:shd w:val="clear" w:color="auto" w:fill="C5E0B3" w:themeFill="accent6" w:themeFillTint="66"/>
          </w:tcPr>
          <w:p w14:paraId="4B56B833" w14:textId="59D27E5F" w:rsidR="003748C9" w:rsidRPr="00641640" w:rsidRDefault="003748C9" w:rsidP="003A395D">
            <w:pPr>
              <w:spacing w:beforeAutospacing="1" w:after="160"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222DE2" w:rsidRPr="00641640">
              <w:rPr>
                <w:rFonts w:ascii="Times New Roman" w:hAnsi="Times New Roman" w:cs="Times New Roman"/>
                <w:b/>
                <w:noProof/>
                <w:sz w:val="22"/>
                <w:szCs w:val="22"/>
                <w:lang w:val="sq-AL"/>
              </w:rPr>
              <w:t>4</w:t>
            </w:r>
            <w:r w:rsidRPr="00641640">
              <w:rPr>
                <w:rFonts w:ascii="Times New Roman" w:hAnsi="Times New Roman" w:cs="Times New Roman"/>
                <w:b/>
                <w:noProof/>
                <w:sz w:val="22"/>
                <w:szCs w:val="22"/>
                <w:lang w:val="sq-AL"/>
              </w:rPr>
              <w:t>.3.1</w:t>
            </w:r>
          </w:p>
        </w:tc>
        <w:tc>
          <w:tcPr>
            <w:tcW w:w="8143" w:type="dxa"/>
          </w:tcPr>
          <w:p w14:paraId="58E55278" w14:textId="77777777" w:rsidR="003748C9" w:rsidRPr="00641640" w:rsidRDefault="003748C9"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Miratimi i legjislacionit dytësor në zbatim të ligjit nr. 119/2014 “Për të drejtën e informimit”, i ndryshuar, dhe ligjit nr. 33/2022 “Për të dhënat e hapura dhe ripërdorimin e informacionit të sektorit publik”.</w:t>
            </w:r>
          </w:p>
        </w:tc>
      </w:tr>
      <w:tr w:rsidR="003748C9" w:rsidRPr="00641640" w14:paraId="6B66C41F" w14:textId="77777777" w:rsidTr="00F36C1E">
        <w:tc>
          <w:tcPr>
            <w:tcW w:w="1207" w:type="dxa"/>
            <w:shd w:val="clear" w:color="auto" w:fill="C5E0B3" w:themeFill="accent6" w:themeFillTint="66"/>
          </w:tcPr>
          <w:p w14:paraId="527D405D" w14:textId="6A7743BC" w:rsidR="003748C9" w:rsidRPr="00641640" w:rsidRDefault="003748C9" w:rsidP="003A395D">
            <w:pPr>
              <w:spacing w:beforeAutospacing="1" w:after="160"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222DE2" w:rsidRPr="00641640">
              <w:rPr>
                <w:rFonts w:ascii="Times New Roman" w:hAnsi="Times New Roman" w:cs="Times New Roman"/>
                <w:b/>
                <w:noProof/>
                <w:sz w:val="22"/>
                <w:szCs w:val="22"/>
                <w:lang w:val="sq-AL"/>
              </w:rPr>
              <w:t>4</w:t>
            </w:r>
            <w:r w:rsidRPr="00641640">
              <w:rPr>
                <w:rFonts w:ascii="Times New Roman" w:hAnsi="Times New Roman" w:cs="Times New Roman"/>
                <w:b/>
                <w:noProof/>
                <w:sz w:val="22"/>
                <w:szCs w:val="22"/>
                <w:lang w:val="sq-AL"/>
              </w:rPr>
              <w:t>.3.2</w:t>
            </w:r>
          </w:p>
        </w:tc>
        <w:tc>
          <w:tcPr>
            <w:tcW w:w="8143" w:type="dxa"/>
          </w:tcPr>
          <w:p w14:paraId="2A1B10F8" w14:textId="4CBBA16F" w:rsidR="003748C9" w:rsidRPr="00641640" w:rsidRDefault="00014D29"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Forcimi i kapaciteteve të Zyrës së Komisionerit për të Drejtën e Informimit dhe Mbrojtjen e të Dhënave Personale, si dhe të institucioneve të administratës publike për zbatimin efikas  të kuadrit ligjor për të drejtën e informimit, të dhënat e hapura dhe ripërdorimin e informacionit të sektorit publik nga institucionet kryesore.</w:t>
            </w:r>
          </w:p>
        </w:tc>
      </w:tr>
      <w:tr w:rsidR="003748C9" w:rsidRPr="00641640" w14:paraId="6EDBDC5A" w14:textId="77777777" w:rsidTr="00F36C1E">
        <w:tc>
          <w:tcPr>
            <w:tcW w:w="1207" w:type="dxa"/>
            <w:shd w:val="clear" w:color="auto" w:fill="C5E0B3" w:themeFill="accent6" w:themeFillTint="66"/>
          </w:tcPr>
          <w:p w14:paraId="607EC4C8" w14:textId="32118CB7" w:rsidR="003748C9" w:rsidRPr="00641640" w:rsidRDefault="003748C9" w:rsidP="003A395D">
            <w:pPr>
              <w:spacing w:beforeAutospacing="1" w:after="160"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222DE2" w:rsidRPr="00641640">
              <w:rPr>
                <w:rFonts w:ascii="Times New Roman" w:hAnsi="Times New Roman" w:cs="Times New Roman"/>
                <w:b/>
                <w:noProof/>
                <w:sz w:val="22"/>
                <w:szCs w:val="22"/>
                <w:lang w:val="sq-AL"/>
              </w:rPr>
              <w:t>4</w:t>
            </w:r>
            <w:r w:rsidRPr="00641640">
              <w:rPr>
                <w:rFonts w:ascii="Times New Roman" w:hAnsi="Times New Roman" w:cs="Times New Roman"/>
                <w:b/>
                <w:noProof/>
                <w:sz w:val="22"/>
                <w:szCs w:val="22"/>
                <w:lang w:val="sq-AL"/>
              </w:rPr>
              <w:t>.3.3</w:t>
            </w:r>
          </w:p>
        </w:tc>
        <w:tc>
          <w:tcPr>
            <w:tcW w:w="8143" w:type="dxa"/>
          </w:tcPr>
          <w:p w14:paraId="7A501FAB" w14:textId="77777777" w:rsidR="003748C9" w:rsidRPr="00641640" w:rsidRDefault="003748C9"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Krijimi i një platforme unike digjitale “Transparent Albania” për ofrimin e informacionit publik dhe që mundëson lidhjen e përdoruesit me faqet e tjera zyrtare.</w:t>
            </w:r>
          </w:p>
        </w:tc>
      </w:tr>
      <w:tr w:rsidR="003748C9" w:rsidRPr="00641640" w14:paraId="35511504" w14:textId="77777777" w:rsidTr="00F36C1E">
        <w:tc>
          <w:tcPr>
            <w:tcW w:w="1207" w:type="dxa"/>
            <w:shd w:val="clear" w:color="auto" w:fill="C5E0B3" w:themeFill="accent6" w:themeFillTint="66"/>
          </w:tcPr>
          <w:p w14:paraId="03A16501" w14:textId="28281928" w:rsidR="003748C9" w:rsidRPr="00641640" w:rsidRDefault="003748C9" w:rsidP="003A395D">
            <w:pPr>
              <w:spacing w:beforeAutospacing="1" w:after="160"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222DE2" w:rsidRPr="00641640">
              <w:rPr>
                <w:rFonts w:ascii="Times New Roman" w:hAnsi="Times New Roman" w:cs="Times New Roman"/>
                <w:b/>
                <w:noProof/>
                <w:sz w:val="22"/>
                <w:szCs w:val="22"/>
                <w:lang w:val="sq-AL"/>
              </w:rPr>
              <w:t>4</w:t>
            </w:r>
            <w:r w:rsidRPr="00641640">
              <w:rPr>
                <w:rFonts w:ascii="Times New Roman" w:hAnsi="Times New Roman" w:cs="Times New Roman"/>
                <w:b/>
                <w:noProof/>
                <w:sz w:val="22"/>
                <w:szCs w:val="22"/>
                <w:lang w:val="sq-AL"/>
              </w:rPr>
              <w:t xml:space="preserve">.3.4 </w:t>
            </w:r>
          </w:p>
        </w:tc>
        <w:tc>
          <w:tcPr>
            <w:tcW w:w="8143" w:type="dxa"/>
          </w:tcPr>
          <w:p w14:paraId="61AC9806" w14:textId="77777777" w:rsidR="003748C9" w:rsidRPr="00641640" w:rsidRDefault="003748C9"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Nxitja e partneritetit dhe dialogut të vazhdueshëm me organizatat e shoqërisë civile si monitorues të pavarur të transparencës dhe llogaridhënies së institucioneve publike.</w:t>
            </w:r>
          </w:p>
        </w:tc>
      </w:tr>
      <w:tr w:rsidR="003748C9" w:rsidRPr="00641640" w14:paraId="47023A2C" w14:textId="77777777" w:rsidTr="00F36C1E">
        <w:tc>
          <w:tcPr>
            <w:tcW w:w="1207" w:type="dxa"/>
            <w:shd w:val="clear" w:color="auto" w:fill="C5E0B3" w:themeFill="accent6" w:themeFillTint="66"/>
          </w:tcPr>
          <w:p w14:paraId="02A01771" w14:textId="03DD7F3E" w:rsidR="003748C9" w:rsidRPr="00641640" w:rsidRDefault="003748C9" w:rsidP="003A395D">
            <w:pPr>
              <w:spacing w:beforeAutospacing="1" w:after="160"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222DE2" w:rsidRPr="00641640">
              <w:rPr>
                <w:rFonts w:ascii="Times New Roman" w:hAnsi="Times New Roman" w:cs="Times New Roman"/>
                <w:b/>
                <w:noProof/>
                <w:sz w:val="22"/>
                <w:szCs w:val="22"/>
                <w:lang w:val="sq-AL"/>
              </w:rPr>
              <w:t>4</w:t>
            </w:r>
            <w:r w:rsidRPr="00641640">
              <w:rPr>
                <w:rFonts w:ascii="Times New Roman" w:hAnsi="Times New Roman" w:cs="Times New Roman"/>
                <w:b/>
                <w:noProof/>
                <w:sz w:val="22"/>
                <w:szCs w:val="22"/>
                <w:lang w:val="sq-AL"/>
              </w:rPr>
              <w:t xml:space="preserve">.3.5 </w:t>
            </w:r>
          </w:p>
        </w:tc>
        <w:tc>
          <w:tcPr>
            <w:tcW w:w="8143" w:type="dxa"/>
          </w:tcPr>
          <w:p w14:paraId="52B00D7C" w14:textId="77777777" w:rsidR="003748C9" w:rsidRPr="00641640" w:rsidRDefault="003748C9"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Zhvillimi i fushatave informuese për edukimin ligjor të qytetarëve mbi të drejtën e tyre për të kërkuar dhe marrë informacion nga institucionet.</w:t>
            </w:r>
          </w:p>
        </w:tc>
      </w:tr>
    </w:tbl>
    <w:p w14:paraId="6A6E6343" w14:textId="77777777" w:rsidR="00A31523" w:rsidRPr="00641640" w:rsidRDefault="00A31523" w:rsidP="003A395D">
      <w:pPr>
        <w:spacing w:line="276" w:lineRule="auto"/>
        <w:jc w:val="both"/>
        <w:rPr>
          <w:rFonts w:ascii="Times New Roman" w:hAnsi="Times New Roman" w:cs="Times New Roman"/>
          <w:b/>
          <w:bCs/>
          <w:noProof/>
          <w:sz w:val="24"/>
          <w:szCs w:val="24"/>
          <w:lang w:val="sq-AL"/>
        </w:rPr>
      </w:pPr>
    </w:p>
    <w:p w14:paraId="4691B347" w14:textId="77777777" w:rsidR="00A31523" w:rsidRPr="00641640" w:rsidRDefault="00A31523" w:rsidP="00A31523">
      <w:pPr>
        <w:spacing w:after="0" w:line="276" w:lineRule="auto"/>
        <w:jc w:val="both"/>
        <w:rPr>
          <w:rFonts w:ascii="Times New Roman" w:hAnsi="Times New Roman" w:cs="Times New Roman"/>
          <w:b/>
          <w:bCs/>
          <w:noProof/>
          <w:sz w:val="24"/>
          <w:szCs w:val="24"/>
          <w:lang w:val="sq-AL"/>
        </w:rPr>
      </w:pPr>
    </w:p>
    <w:p w14:paraId="0413E760" w14:textId="2BB218CE" w:rsidR="00C369F2" w:rsidRPr="00641640" w:rsidRDefault="00C369F2"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Lidhja e treguesve kryesorë të performancës më Qëllimin e Politikës I</w:t>
      </w:r>
      <w:r w:rsidR="00E2372E" w:rsidRPr="00641640">
        <w:rPr>
          <w:rFonts w:ascii="Times New Roman" w:hAnsi="Times New Roman" w:cs="Times New Roman"/>
          <w:b/>
          <w:bCs/>
          <w:noProof/>
          <w:sz w:val="24"/>
          <w:szCs w:val="24"/>
          <w:lang w:val="sq-AL"/>
        </w:rPr>
        <w:t>V</w:t>
      </w:r>
      <w:r w:rsidRPr="00641640">
        <w:rPr>
          <w:rFonts w:ascii="Times New Roman" w:hAnsi="Times New Roman" w:cs="Times New Roman"/>
          <w:b/>
          <w:bCs/>
          <w:noProof/>
          <w:sz w:val="24"/>
          <w:szCs w:val="24"/>
          <w:lang w:val="sq-AL"/>
        </w:rPr>
        <w:t xml:space="preserve">, Objektivin Specifik </w:t>
      </w:r>
      <w:r w:rsidR="00E2372E" w:rsidRPr="00641640">
        <w:rPr>
          <w:rFonts w:ascii="Times New Roman" w:hAnsi="Times New Roman" w:cs="Times New Roman"/>
          <w:b/>
          <w:bCs/>
          <w:noProof/>
          <w:sz w:val="24"/>
          <w:szCs w:val="24"/>
          <w:lang w:val="sq-AL"/>
        </w:rPr>
        <w:t>4.3</w:t>
      </w:r>
      <w:r w:rsidRPr="00641640">
        <w:rPr>
          <w:rFonts w:ascii="Times New Roman" w:hAnsi="Times New Roman" w:cs="Times New Roman"/>
          <w:b/>
          <w:bCs/>
          <w:noProof/>
          <w:sz w:val="24"/>
          <w:szCs w:val="24"/>
          <w:lang w:val="sq-AL"/>
        </w:rPr>
        <w:t xml:space="preserve"> dhe institucionet përgjegjëse.</w:t>
      </w:r>
    </w:p>
    <w:tbl>
      <w:tblPr>
        <w:tblStyle w:val="TableGrid"/>
        <w:tblW w:w="93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2"/>
        <w:gridCol w:w="1980"/>
        <w:gridCol w:w="2160"/>
        <w:gridCol w:w="2340"/>
        <w:gridCol w:w="1890"/>
      </w:tblGrid>
      <w:tr w:rsidR="00C369F2" w:rsidRPr="00641640" w14:paraId="6BBFB494" w14:textId="77777777" w:rsidTr="00A0330D">
        <w:trPr>
          <w:trHeight w:val="15"/>
        </w:trPr>
        <w:tc>
          <w:tcPr>
            <w:tcW w:w="982" w:type="dxa"/>
            <w:shd w:val="clear" w:color="auto" w:fill="C5E0B3" w:themeFill="accent6" w:themeFillTint="66"/>
            <w:tcMar>
              <w:top w:w="15" w:type="dxa"/>
              <w:left w:w="75" w:type="dxa"/>
              <w:bottom w:w="15" w:type="dxa"/>
              <w:right w:w="75" w:type="dxa"/>
            </w:tcMar>
          </w:tcPr>
          <w:p w14:paraId="0A9FEF39"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p>
          <w:p w14:paraId="34A90AAA"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Lloji i treguesit</w:t>
            </w:r>
          </w:p>
        </w:tc>
        <w:tc>
          <w:tcPr>
            <w:tcW w:w="1980" w:type="dxa"/>
            <w:shd w:val="clear" w:color="auto" w:fill="C5E0B3" w:themeFill="accent6" w:themeFillTint="66"/>
            <w:tcMar>
              <w:top w:w="15" w:type="dxa"/>
              <w:left w:w="75" w:type="dxa"/>
              <w:bottom w:w="15" w:type="dxa"/>
              <w:right w:w="75" w:type="dxa"/>
            </w:tcMar>
          </w:tcPr>
          <w:p w14:paraId="540AF4FF"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p>
          <w:p w14:paraId="4365C14A"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Emërtimi i treguesit të performancës</w:t>
            </w:r>
          </w:p>
          <w:p w14:paraId="31B507E1" w14:textId="77777777" w:rsidR="00C369F2" w:rsidRPr="00641640" w:rsidRDefault="00C369F2" w:rsidP="003A395D">
            <w:pPr>
              <w:spacing w:line="276" w:lineRule="auto"/>
              <w:jc w:val="center"/>
              <w:rPr>
                <w:rFonts w:ascii="Times New Roman" w:eastAsia="Arial" w:hAnsi="Times New Roman" w:cs="Times New Roman"/>
                <w:noProof/>
                <w:sz w:val="22"/>
                <w:szCs w:val="22"/>
                <w:lang w:val="sq-AL"/>
              </w:rPr>
            </w:pPr>
          </w:p>
        </w:tc>
        <w:tc>
          <w:tcPr>
            <w:tcW w:w="2160" w:type="dxa"/>
            <w:shd w:val="clear" w:color="auto" w:fill="C5E0B3" w:themeFill="accent6" w:themeFillTint="66"/>
          </w:tcPr>
          <w:p w14:paraId="08FC0DF8"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p>
          <w:p w14:paraId="48B0A4A8"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Qëllimin e Politikës</w:t>
            </w:r>
          </w:p>
        </w:tc>
        <w:tc>
          <w:tcPr>
            <w:tcW w:w="2340" w:type="dxa"/>
            <w:shd w:val="clear" w:color="auto" w:fill="C5E0B3" w:themeFill="accent6" w:themeFillTint="66"/>
          </w:tcPr>
          <w:p w14:paraId="3BA99866"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p>
          <w:p w14:paraId="744852F3"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Objektivin Specifik</w:t>
            </w:r>
          </w:p>
        </w:tc>
        <w:tc>
          <w:tcPr>
            <w:tcW w:w="1890" w:type="dxa"/>
            <w:shd w:val="clear" w:color="auto" w:fill="C5E0B3" w:themeFill="accent6" w:themeFillTint="66"/>
            <w:tcMar>
              <w:top w:w="15" w:type="dxa"/>
              <w:left w:w="75" w:type="dxa"/>
              <w:bottom w:w="15" w:type="dxa"/>
              <w:right w:w="75" w:type="dxa"/>
            </w:tcMar>
          </w:tcPr>
          <w:p w14:paraId="15A32293" w14:textId="77777777" w:rsidR="00C369F2" w:rsidRPr="00641640" w:rsidRDefault="00C369F2" w:rsidP="003A395D">
            <w:pPr>
              <w:spacing w:line="276" w:lineRule="auto"/>
              <w:jc w:val="center"/>
              <w:rPr>
                <w:rFonts w:ascii="Times New Roman" w:eastAsia="Arial" w:hAnsi="Times New Roman" w:cs="Times New Roman"/>
                <w:noProof/>
                <w:sz w:val="22"/>
                <w:szCs w:val="22"/>
                <w:lang w:val="sq-AL"/>
              </w:rPr>
            </w:pPr>
          </w:p>
          <w:p w14:paraId="2E722344"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Institucioni përgjegjës</w:t>
            </w:r>
          </w:p>
        </w:tc>
      </w:tr>
      <w:tr w:rsidR="00222DE2" w:rsidRPr="00641640" w14:paraId="62E217D9" w14:textId="77777777" w:rsidTr="00222DE2">
        <w:trPr>
          <w:trHeight w:val="965"/>
        </w:trPr>
        <w:tc>
          <w:tcPr>
            <w:tcW w:w="982" w:type="dxa"/>
            <w:shd w:val="clear" w:color="auto" w:fill="auto"/>
            <w:tcMar>
              <w:top w:w="15" w:type="dxa"/>
              <w:left w:w="75" w:type="dxa"/>
              <w:bottom w:w="15" w:type="dxa"/>
              <w:right w:w="75" w:type="dxa"/>
            </w:tcMar>
          </w:tcPr>
          <w:p w14:paraId="71CFEA0D" w14:textId="77777777" w:rsidR="00962CE0" w:rsidRPr="00641640" w:rsidRDefault="00962CE0" w:rsidP="003A395D">
            <w:pPr>
              <w:spacing w:line="276" w:lineRule="auto"/>
              <w:rPr>
                <w:rFonts w:ascii="Times New Roman" w:hAnsi="Times New Roman" w:cs="Times New Roman"/>
                <w:noProof/>
                <w:sz w:val="22"/>
                <w:szCs w:val="22"/>
                <w:lang w:val="sq-AL"/>
              </w:rPr>
            </w:pPr>
          </w:p>
          <w:p w14:paraId="4E5E999F" w14:textId="58CDFF81" w:rsidR="00222DE2" w:rsidRPr="00641640" w:rsidRDefault="0021223B"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Rezultati</w:t>
            </w:r>
          </w:p>
        </w:tc>
        <w:tc>
          <w:tcPr>
            <w:tcW w:w="1980" w:type="dxa"/>
            <w:shd w:val="clear" w:color="auto" w:fill="auto"/>
            <w:tcMar>
              <w:top w:w="15" w:type="dxa"/>
              <w:left w:w="75" w:type="dxa"/>
              <w:bottom w:w="15" w:type="dxa"/>
              <w:right w:w="75" w:type="dxa"/>
            </w:tcMar>
          </w:tcPr>
          <w:p w14:paraId="188285BF" w14:textId="77777777" w:rsidR="00962CE0" w:rsidRPr="00641640" w:rsidRDefault="00962CE0" w:rsidP="003A395D">
            <w:pPr>
              <w:spacing w:line="276" w:lineRule="auto"/>
              <w:rPr>
                <w:rFonts w:ascii="Times New Roman" w:hAnsi="Times New Roman" w:cs="Times New Roman"/>
                <w:noProof/>
                <w:sz w:val="22"/>
                <w:szCs w:val="22"/>
                <w:lang w:val="sq-AL"/>
              </w:rPr>
            </w:pPr>
          </w:p>
          <w:p w14:paraId="1E385AE1" w14:textId="5052EE08" w:rsidR="00222DE2" w:rsidRPr="00641640" w:rsidRDefault="006F3E5C"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 xml:space="preserve">4.3.1 Indeksi i forcimit të kapaciteteve në institucionet e administratës publike për zbatimin efikas të kuadrit ligjor për të drejtën e informimit, të dhënat e hapura dhe ripërdorimin e informacionit të </w:t>
            </w:r>
            <w:r w:rsidRPr="00641640">
              <w:rPr>
                <w:rFonts w:ascii="Times New Roman" w:hAnsi="Times New Roman" w:cs="Times New Roman"/>
                <w:noProof/>
                <w:sz w:val="22"/>
                <w:szCs w:val="22"/>
                <w:lang w:val="sq-AL"/>
              </w:rPr>
              <w:lastRenderedPageBreak/>
              <w:t>sektorit publik nga institucionet kryesore.</w:t>
            </w:r>
          </w:p>
        </w:tc>
        <w:tc>
          <w:tcPr>
            <w:tcW w:w="2160" w:type="dxa"/>
            <w:shd w:val="clear" w:color="auto" w:fill="auto"/>
          </w:tcPr>
          <w:p w14:paraId="7155C376" w14:textId="77777777" w:rsidR="00962CE0" w:rsidRPr="00641640" w:rsidRDefault="00962CE0" w:rsidP="003A395D">
            <w:pPr>
              <w:spacing w:line="276" w:lineRule="auto"/>
              <w:rPr>
                <w:rFonts w:ascii="Times New Roman" w:eastAsia="Arial" w:hAnsi="Times New Roman" w:cs="Times New Roman"/>
                <w:noProof/>
                <w:sz w:val="22"/>
                <w:szCs w:val="22"/>
                <w:lang w:val="sq-AL"/>
              </w:rPr>
            </w:pPr>
          </w:p>
          <w:p w14:paraId="730335B6" w14:textId="6251A5E2" w:rsidR="00222DE2" w:rsidRPr="00641640" w:rsidRDefault="0021223B"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Organizimi, llogaridhënia dhe mbikëqyrja e administratës</w:t>
            </w:r>
          </w:p>
        </w:tc>
        <w:tc>
          <w:tcPr>
            <w:tcW w:w="2340" w:type="dxa"/>
            <w:shd w:val="clear" w:color="auto" w:fill="auto"/>
          </w:tcPr>
          <w:p w14:paraId="4DFD8C64" w14:textId="77777777" w:rsidR="00962CE0" w:rsidRPr="00641640" w:rsidRDefault="00962CE0" w:rsidP="003A395D">
            <w:pPr>
              <w:spacing w:line="276" w:lineRule="auto"/>
              <w:rPr>
                <w:rFonts w:ascii="Times New Roman" w:eastAsia="Arial" w:hAnsi="Times New Roman" w:cs="Times New Roman"/>
                <w:noProof/>
                <w:sz w:val="22"/>
                <w:szCs w:val="22"/>
                <w:lang w:val="sq-AL"/>
              </w:rPr>
            </w:pPr>
          </w:p>
          <w:p w14:paraId="5D308E5C" w14:textId="02388972" w:rsidR="00222DE2" w:rsidRPr="00641640" w:rsidRDefault="0021223B"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4.3 Promovimi i një administrate të hapur dhe transparente që angazhon qytetarët dhe palët e tjera të interesuara në proceset e vendimmarrjes, duke rritur aksesin në informacion dhe duke përmirësuar dialogun ndërmjet administratës dhe publikut.</w:t>
            </w:r>
          </w:p>
        </w:tc>
        <w:tc>
          <w:tcPr>
            <w:tcW w:w="1890" w:type="dxa"/>
            <w:shd w:val="clear" w:color="auto" w:fill="auto"/>
            <w:tcMar>
              <w:top w:w="15" w:type="dxa"/>
              <w:left w:w="75" w:type="dxa"/>
              <w:bottom w:w="15" w:type="dxa"/>
              <w:right w:w="75" w:type="dxa"/>
            </w:tcMar>
          </w:tcPr>
          <w:p w14:paraId="77461A13" w14:textId="77777777" w:rsidR="00962CE0" w:rsidRPr="00641640" w:rsidRDefault="00962CE0" w:rsidP="003A395D">
            <w:pPr>
              <w:spacing w:line="276" w:lineRule="auto"/>
              <w:jc w:val="center"/>
              <w:rPr>
                <w:rFonts w:ascii="Times New Roman" w:eastAsia="Arial" w:hAnsi="Times New Roman" w:cs="Times New Roman"/>
                <w:noProof/>
                <w:sz w:val="22"/>
                <w:szCs w:val="22"/>
                <w:lang w:val="sq-AL"/>
              </w:rPr>
            </w:pPr>
          </w:p>
          <w:p w14:paraId="2AD25A61" w14:textId="12FFB818" w:rsidR="00222DE2" w:rsidRPr="00641640" w:rsidRDefault="0021223B" w:rsidP="003A395D">
            <w:pPr>
              <w:spacing w:line="276" w:lineRule="auto"/>
              <w:jc w:val="center"/>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KDIMDP, ASPA</w:t>
            </w:r>
          </w:p>
        </w:tc>
      </w:tr>
      <w:tr w:rsidR="00C369F2" w:rsidRPr="00641640" w14:paraId="6D293DA1" w14:textId="77777777" w:rsidTr="00F02FCD">
        <w:trPr>
          <w:trHeight w:val="965"/>
        </w:trPr>
        <w:tc>
          <w:tcPr>
            <w:tcW w:w="982" w:type="dxa"/>
            <w:shd w:val="clear" w:color="auto" w:fill="auto"/>
            <w:tcMar>
              <w:top w:w="15" w:type="dxa"/>
              <w:left w:w="75" w:type="dxa"/>
              <w:bottom w:w="15" w:type="dxa"/>
              <w:right w:w="75" w:type="dxa"/>
            </w:tcMar>
          </w:tcPr>
          <w:p w14:paraId="26FC68DB" w14:textId="77777777" w:rsidR="00C369F2" w:rsidRPr="00641640" w:rsidRDefault="00C369F2" w:rsidP="003A395D">
            <w:pPr>
              <w:spacing w:line="276" w:lineRule="auto"/>
              <w:rPr>
                <w:rFonts w:ascii="Times New Roman" w:hAnsi="Times New Roman" w:cs="Times New Roman"/>
                <w:noProof/>
                <w:sz w:val="22"/>
                <w:szCs w:val="22"/>
                <w:lang w:val="sq-AL"/>
              </w:rPr>
            </w:pPr>
          </w:p>
          <w:p w14:paraId="3C4F73FF" w14:textId="77777777" w:rsidR="00C369F2" w:rsidRPr="00641640" w:rsidRDefault="00C369F2" w:rsidP="003A395D">
            <w:pPr>
              <w:spacing w:line="276" w:lineRule="auto"/>
              <w:rPr>
                <w:rFonts w:ascii="Times New Roman" w:hAnsi="Times New Roman" w:cs="Times New Roman"/>
                <w:noProof/>
                <w:color w:val="ED7D31" w:themeColor="accent2"/>
                <w:sz w:val="22"/>
                <w:szCs w:val="22"/>
                <w:lang w:val="sq-AL"/>
              </w:rPr>
            </w:pPr>
            <w:r w:rsidRPr="00641640">
              <w:rPr>
                <w:rFonts w:ascii="Times New Roman" w:hAnsi="Times New Roman" w:cs="Times New Roman"/>
                <w:noProof/>
                <w:sz w:val="22"/>
                <w:szCs w:val="22"/>
                <w:lang w:val="sq-AL"/>
              </w:rPr>
              <w:t>Rezultati</w:t>
            </w:r>
          </w:p>
        </w:tc>
        <w:tc>
          <w:tcPr>
            <w:tcW w:w="1980" w:type="dxa"/>
            <w:shd w:val="clear" w:color="auto" w:fill="auto"/>
            <w:tcMar>
              <w:top w:w="15" w:type="dxa"/>
              <w:left w:w="75" w:type="dxa"/>
              <w:bottom w:w="15" w:type="dxa"/>
              <w:right w:w="75" w:type="dxa"/>
            </w:tcMar>
          </w:tcPr>
          <w:p w14:paraId="2A22BBFC" w14:textId="77777777" w:rsidR="00B76FC8" w:rsidRPr="00641640" w:rsidRDefault="00B76FC8" w:rsidP="003A395D">
            <w:pPr>
              <w:pStyle w:val="T-number"/>
              <w:spacing w:line="276" w:lineRule="auto"/>
              <w:ind w:left="0" w:firstLine="0"/>
              <w:jc w:val="both"/>
              <w:rPr>
                <w:rFonts w:ascii="Times New Roman" w:eastAsiaTheme="minorHAnsi" w:hAnsi="Times New Roman" w:cs="Times New Roman"/>
                <w:bCs/>
                <w:noProof/>
                <w:sz w:val="22"/>
                <w:szCs w:val="22"/>
                <w:lang w:val="sq-AL"/>
              </w:rPr>
            </w:pPr>
          </w:p>
          <w:p w14:paraId="1556AE38" w14:textId="7D85225E" w:rsidR="00C369F2" w:rsidRPr="00641640" w:rsidRDefault="00B76FC8" w:rsidP="0021141E">
            <w:pPr>
              <w:pStyle w:val="T-number"/>
              <w:spacing w:line="276" w:lineRule="auto"/>
              <w:ind w:left="0" w:firstLine="0"/>
              <w:rPr>
                <w:rFonts w:ascii="Times New Roman" w:eastAsiaTheme="minorHAnsi" w:hAnsi="Times New Roman" w:cs="Times New Roman"/>
                <w:bCs/>
                <w:noProof/>
                <w:sz w:val="22"/>
                <w:szCs w:val="22"/>
                <w:lang w:val="sq-AL"/>
              </w:rPr>
            </w:pPr>
            <w:r w:rsidRPr="00641640">
              <w:rPr>
                <w:rFonts w:ascii="Times New Roman" w:eastAsiaTheme="minorHAnsi" w:hAnsi="Times New Roman" w:cs="Times New Roman"/>
                <w:bCs/>
                <w:noProof/>
                <w:sz w:val="22"/>
                <w:szCs w:val="22"/>
                <w:lang w:val="sq-AL"/>
              </w:rPr>
              <w:t>4.3.2 Rritja e eficencës të kthimit të përgjigjeve të dhëna nga autoritetet publike për sa i përket kërkesave për informacion bazuar në ligjin nr.</w:t>
            </w:r>
            <w:r w:rsidR="0021141E">
              <w:rPr>
                <w:rFonts w:ascii="Times New Roman" w:eastAsiaTheme="minorHAnsi" w:hAnsi="Times New Roman" w:cs="Times New Roman"/>
                <w:bCs/>
                <w:noProof/>
                <w:sz w:val="22"/>
                <w:szCs w:val="22"/>
                <w:lang w:val="sq-AL"/>
              </w:rPr>
              <w:t xml:space="preserve"> </w:t>
            </w:r>
            <w:r w:rsidRPr="00641640">
              <w:rPr>
                <w:rFonts w:ascii="Times New Roman" w:eastAsiaTheme="minorHAnsi" w:hAnsi="Times New Roman" w:cs="Times New Roman"/>
                <w:bCs/>
                <w:noProof/>
                <w:sz w:val="22"/>
                <w:szCs w:val="22"/>
                <w:lang w:val="sq-AL"/>
              </w:rPr>
              <w:t>119/2014 “</w:t>
            </w:r>
            <w:r w:rsidRPr="00A0330D">
              <w:rPr>
                <w:rFonts w:ascii="Times New Roman" w:eastAsiaTheme="minorHAnsi" w:hAnsi="Times New Roman" w:cs="Times New Roman"/>
                <w:bCs/>
                <w:i/>
                <w:iCs/>
                <w:noProof/>
                <w:sz w:val="22"/>
                <w:szCs w:val="22"/>
                <w:lang w:val="sq-AL"/>
              </w:rPr>
              <w:t>Për të drejtën e informimit</w:t>
            </w:r>
            <w:r w:rsidRPr="00641640">
              <w:rPr>
                <w:rFonts w:ascii="Times New Roman" w:eastAsiaTheme="minorHAnsi" w:hAnsi="Times New Roman" w:cs="Times New Roman"/>
                <w:bCs/>
                <w:noProof/>
                <w:sz w:val="22"/>
                <w:szCs w:val="22"/>
                <w:lang w:val="sq-AL"/>
              </w:rPr>
              <w:t>”</w:t>
            </w:r>
            <w:r w:rsidR="0021141E">
              <w:rPr>
                <w:rFonts w:ascii="Times New Roman" w:eastAsiaTheme="minorHAnsi" w:hAnsi="Times New Roman" w:cs="Times New Roman"/>
                <w:bCs/>
                <w:noProof/>
                <w:sz w:val="22"/>
                <w:szCs w:val="22"/>
                <w:lang w:val="sq-AL"/>
              </w:rPr>
              <w:t>, i ndryshuar</w:t>
            </w:r>
            <w:r w:rsidRPr="00641640">
              <w:rPr>
                <w:rFonts w:ascii="Times New Roman" w:eastAsiaTheme="minorHAnsi" w:hAnsi="Times New Roman" w:cs="Times New Roman"/>
                <w:bCs/>
                <w:noProof/>
                <w:sz w:val="22"/>
                <w:szCs w:val="22"/>
                <w:lang w:val="sq-AL"/>
              </w:rPr>
              <w:t>.</w:t>
            </w:r>
          </w:p>
        </w:tc>
        <w:tc>
          <w:tcPr>
            <w:tcW w:w="2160" w:type="dxa"/>
            <w:shd w:val="clear" w:color="auto" w:fill="auto"/>
          </w:tcPr>
          <w:p w14:paraId="396649ED" w14:textId="77777777" w:rsidR="00C369F2" w:rsidRPr="00641640" w:rsidRDefault="00C369F2" w:rsidP="003A395D">
            <w:pPr>
              <w:spacing w:line="276" w:lineRule="auto"/>
              <w:rPr>
                <w:rFonts w:ascii="Times New Roman" w:eastAsia="Arial" w:hAnsi="Times New Roman" w:cs="Times New Roman"/>
                <w:noProof/>
                <w:sz w:val="22"/>
                <w:szCs w:val="22"/>
                <w:lang w:val="sq-AL"/>
              </w:rPr>
            </w:pPr>
          </w:p>
          <w:p w14:paraId="242EC9B0" w14:textId="6CE58089" w:rsidR="00C369F2" w:rsidRPr="00641640" w:rsidRDefault="00B76FC8" w:rsidP="003A395D">
            <w:pPr>
              <w:spacing w:line="276" w:lineRule="auto"/>
              <w:rPr>
                <w:rFonts w:ascii="Times New Roman" w:eastAsia="Arial" w:hAnsi="Times New Roman" w:cs="Times New Roman"/>
                <w:b/>
                <w:bCs/>
                <w:noProof/>
                <w:sz w:val="22"/>
                <w:szCs w:val="22"/>
                <w:lang w:val="sq-AL"/>
              </w:rPr>
            </w:pPr>
            <w:r w:rsidRPr="00641640">
              <w:rPr>
                <w:rFonts w:ascii="Times New Roman" w:eastAsia="Arial" w:hAnsi="Times New Roman" w:cs="Times New Roman"/>
                <w:noProof/>
                <w:sz w:val="22"/>
                <w:szCs w:val="22"/>
                <w:lang w:val="sq-AL"/>
              </w:rPr>
              <w:t>Organizimi, llogaridhënia dhe mbikëqyrja e administratës</w:t>
            </w:r>
          </w:p>
        </w:tc>
        <w:tc>
          <w:tcPr>
            <w:tcW w:w="2340" w:type="dxa"/>
            <w:shd w:val="clear" w:color="auto" w:fill="auto"/>
          </w:tcPr>
          <w:p w14:paraId="31FC2E71" w14:textId="77777777" w:rsidR="00C369F2" w:rsidRPr="00641640" w:rsidRDefault="00C369F2" w:rsidP="003A395D">
            <w:pPr>
              <w:spacing w:line="276" w:lineRule="auto"/>
              <w:rPr>
                <w:rFonts w:ascii="Times New Roman" w:eastAsia="Arial" w:hAnsi="Times New Roman" w:cs="Times New Roman"/>
                <w:noProof/>
                <w:sz w:val="22"/>
                <w:szCs w:val="22"/>
                <w:lang w:val="sq-AL"/>
              </w:rPr>
            </w:pPr>
          </w:p>
          <w:p w14:paraId="328E8629" w14:textId="07787E04" w:rsidR="00C369F2" w:rsidRPr="00641640" w:rsidRDefault="00B76FC8"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4.3 Promovimi i një administrate të hapur dhe transparente që angazhon qytetarët dhe palët e tjera të interesuara në proceset e vendimmarrjes, duke rritur aksesin në informacion dhe duke përmirësuar dialogun ndërmjet administratës dhe publikut.</w:t>
            </w:r>
          </w:p>
        </w:tc>
        <w:tc>
          <w:tcPr>
            <w:tcW w:w="1890" w:type="dxa"/>
            <w:shd w:val="clear" w:color="auto" w:fill="auto"/>
            <w:tcMar>
              <w:top w:w="15" w:type="dxa"/>
              <w:left w:w="75" w:type="dxa"/>
              <w:bottom w:w="15" w:type="dxa"/>
              <w:right w:w="75" w:type="dxa"/>
            </w:tcMar>
          </w:tcPr>
          <w:p w14:paraId="20BD95F5" w14:textId="77777777" w:rsidR="00C369F2" w:rsidRPr="00641640" w:rsidRDefault="00C369F2" w:rsidP="003A395D">
            <w:pPr>
              <w:spacing w:line="276" w:lineRule="auto"/>
              <w:jc w:val="center"/>
              <w:rPr>
                <w:rFonts w:ascii="Times New Roman" w:eastAsia="Arial" w:hAnsi="Times New Roman" w:cs="Times New Roman"/>
                <w:noProof/>
                <w:sz w:val="22"/>
                <w:szCs w:val="22"/>
                <w:lang w:val="sq-AL"/>
              </w:rPr>
            </w:pPr>
          </w:p>
          <w:p w14:paraId="2BEE39B9" w14:textId="75994723" w:rsidR="00C369F2" w:rsidRPr="00641640" w:rsidRDefault="007560DE" w:rsidP="003A395D">
            <w:pPr>
              <w:spacing w:line="276" w:lineRule="auto"/>
              <w:jc w:val="center"/>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KDIMDP</w:t>
            </w:r>
          </w:p>
        </w:tc>
      </w:tr>
    </w:tbl>
    <w:p w14:paraId="31121806" w14:textId="77777777" w:rsidR="00741F2E" w:rsidRPr="00641640" w:rsidRDefault="00741F2E" w:rsidP="003A395D">
      <w:pPr>
        <w:spacing w:line="276" w:lineRule="auto"/>
        <w:jc w:val="both"/>
        <w:rPr>
          <w:rFonts w:ascii="Times New Roman" w:hAnsi="Times New Roman" w:cs="Times New Roman"/>
          <w:b/>
          <w:bCs/>
          <w:noProof/>
          <w:sz w:val="24"/>
          <w:szCs w:val="24"/>
          <w:lang w:val="sq-AL"/>
        </w:rPr>
      </w:pPr>
    </w:p>
    <w:p w14:paraId="75F575E5" w14:textId="77777777" w:rsidR="0086748E" w:rsidRPr="00641640" w:rsidRDefault="0086748E" w:rsidP="003A395D">
      <w:pPr>
        <w:spacing w:line="276" w:lineRule="auto"/>
        <w:jc w:val="both"/>
        <w:rPr>
          <w:rFonts w:ascii="Times New Roman" w:hAnsi="Times New Roman" w:cs="Times New Roman"/>
          <w:b/>
          <w:bCs/>
          <w:noProof/>
          <w:sz w:val="24"/>
          <w:szCs w:val="24"/>
          <w:lang w:val="sq-AL"/>
        </w:rPr>
      </w:pPr>
    </w:p>
    <w:p w14:paraId="784C23E8" w14:textId="32783FA4" w:rsidR="003748C9" w:rsidRPr="00641640" w:rsidRDefault="003748C9" w:rsidP="003A395D">
      <w:pPr>
        <w:spacing w:line="276" w:lineRule="auto"/>
        <w:jc w:val="both"/>
        <w:rPr>
          <w:rFonts w:ascii="Times New Roman" w:hAnsi="Times New Roman" w:cs="Times New Roman"/>
          <w:b/>
          <w:i/>
          <w:noProof/>
          <w:sz w:val="24"/>
          <w:szCs w:val="24"/>
          <w:lang w:val="sq-AL"/>
        </w:rPr>
      </w:pPr>
      <w:r w:rsidRPr="00641640">
        <w:rPr>
          <w:rFonts w:ascii="Times New Roman" w:hAnsi="Times New Roman" w:cs="Times New Roman"/>
          <w:b/>
          <w:i/>
          <w:noProof/>
          <w:sz w:val="24"/>
          <w:szCs w:val="24"/>
          <w:lang w:val="sq-AL"/>
        </w:rPr>
        <w:t>Komponenti 4.4</w:t>
      </w:r>
      <w:r w:rsidR="00741F2E" w:rsidRPr="00641640">
        <w:rPr>
          <w:rFonts w:ascii="Times New Roman" w:hAnsi="Times New Roman" w:cs="Times New Roman"/>
          <w:b/>
          <w:i/>
          <w:noProof/>
          <w:sz w:val="24"/>
          <w:szCs w:val="24"/>
          <w:lang w:val="sq-AL"/>
        </w:rPr>
        <w:t xml:space="preserve">: </w:t>
      </w:r>
      <w:r w:rsidRPr="00641640">
        <w:rPr>
          <w:rFonts w:ascii="Times New Roman" w:hAnsi="Times New Roman" w:cs="Times New Roman"/>
          <w:b/>
          <w:i/>
          <w:noProof/>
          <w:sz w:val="24"/>
          <w:szCs w:val="24"/>
          <w:lang w:val="sq-AL"/>
        </w:rPr>
        <w:t>Fuqizimi i llogaridhënies së jashtme të administratës publike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E4"/>
        <w:tblLook w:val="04A0" w:firstRow="1" w:lastRow="0" w:firstColumn="1" w:lastColumn="0" w:noHBand="0" w:noVBand="1"/>
      </w:tblPr>
      <w:tblGrid>
        <w:gridCol w:w="535"/>
        <w:gridCol w:w="8815"/>
      </w:tblGrid>
      <w:tr w:rsidR="00741F2E" w:rsidRPr="00641640" w14:paraId="1DB630C0" w14:textId="77777777" w:rsidTr="00741F2E">
        <w:tc>
          <w:tcPr>
            <w:tcW w:w="535" w:type="dxa"/>
            <w:shd w:val="clear" w:color="auto" w:fill="EAF4E4"/>
          </w:tcPr>
          <w:p w14:paraId="6C33136C" w14:textId="0F3408B4" w:rsidR="00741F2E" w:rsidRPr="00641640" w:rsidRDefault="00741F2E" w:rsidP="003A395D">
            <w:pPr>
              <w:spacing w:line="276" w:lineRule="auto"/>
              <w:jc w:val="both"/>
              <w:rPr>
                <w:rFonts w:ascii="Times New Roman" w:hAnsi="Times New Roman" w:cs="Times New Roman"/>
                <w:b/>
                <w:iCs/>
                <w:noProof/>
                <w:color w:val="003300"/>
                <w:sz w:val="24"/>
                <w:szCs w:val="24"/>
                <w:lang w:val="sq-AL"/>
              </w:rPr>
            </w:pPr>
            <w:r w:rsidRPr="00641640">
              <w:rPr>
                <w:rFonts w:ascii="Times New Roman" w:hAnsi="Times New Roman" w:cs="Times New Roman"/>
                <w:b/>
                <w:iCs/>
                <w:noProof/>
                <w:color w:val="003300"/>
                <w:sz w:val="24"/>
                <w:szCs w:val="24"/>
                <w:lang w:val="sq-AL"/>
              </w:rPr>
              <w:t>4.4</w:t>
            </w:r>
          </w:p>
        </w:tc>
        <w:tc>
          <w:tcPr>
            <w:tcW w:w="8815" w:type="dxa"/>
            <w:shd w:val="clear" w:color="auto" w:fill="EAF4E4"/>
          </w:tcPr>
          <w:p w14:paraId="7E7D0859" w14:textId="2FB4B05C" w:rsidR="00741F2E" w:rsidRPr="00641640" w:rsidRDefault="00741F2E" w:rsidP="003A395D">
            <w:pPr>
              <w:spacing w:line="276" w:lineRule="auto"/>
              <w:jc w:val="both"/>
              <w:rPr>
                <w:rFonts w:ascii="Times New Roman" w:hAnsi="Times New Roman" w:cs="Times New Roman"/>
                <w:b/>
                <w:iCs/>
                <w:noProof/>
                <w:color w:val="003300"/>
                <w:sz w:val="24"/>
                <w:szCs w:val="24"/>
                <w:lang w:val="sq-AL"/>
              </w:rPr>
            </w:pPr>
            <w:r w:rsidRPr="00641640">
              <w:rPr>
                <w:rFonts w:ascii="Times New Roman" w:hAnsi="Times New Roman" w:cs="Times New Roman"/>
                <w:b/>
                <w:bCs/>
                <w:noProof/>
                <w:color w:val="003300"/>
                <w:sz w:val="24"/>
                <w:szCs w:val="24"/>
                <w:lang w:val="sq-AL"/>
              </w:rPr>
              <w:t>Objektivi specifik 4.4: Fuqizimi i mbikëqyrjes së jashtme të administratës publike në mënyrë proaktive nga Kuvendi dhe institucionet e pavarura mbi zbatimin e politikave dhe detyrimeve nga ana e qeverisë</w:t>
            </w:r>
          </w:p>
        </w:tc>
      </w:tr>
    </w:tbl>
    <w:p w14:paraId="3AA3A046" w14:textId="696E079F" w:rsidR="003A4D06" w:rsidRPr="00641640" w:rsidRDefault="003A4D06" w:rsidP="003A395D">
      <w:pPr>
        <w:spacing w:before="100" w:beforeAutospacing="1" w:after="100" w:afterAutospacing="1"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Prioritetet</w:t>
      </w:r>
    </w:p>
    <w:p w14:paraId="0DE312D9" w14:textId="4F2A06BF" w:rsidR="00A31523" w:rsidRPr="00641640" w:rsidRDefault="003748C9" w:rsidP="003A395D">
      <w:pPr>
        <w:spacing w:before="100" w:beforeAutospacing="1" w:after="100" w:afterAutospacing="1"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noProof/>
          <w:sz w:val="24"/>
          <w:szCs w:val="24"/>
          <w:lang w:val="sq-AL"/>
        </w:rPr>
        <w:t>Kuvendi ka një rol thelbësor në procesin e politikëbërjes dhe mbikëqyrjes së punës së qeverisë. Për të përmirësuar efektivitetin e tij në mbikëqyrje, është e nevojshme që Kuvendi të përdorë të gjithë mekanizmat që ka në dispozicion, si dhe të zhvillojë bashkëpunimin me qeverinë dhe institucionet e pavarura. Në këtë kuadër, Kuvendi duhet të ketë një rol proaktiv dhe të përmirësuar për të monitoruar zbatimin e rekomandimeve të institucioneve të pavarura dhe për të garantuar llogaridhënie të qeverisë.</w:t>
      </w:r>
      <w:r w:rsidR="007B5120" w:rsidRPr="00641640">
        <w:rPr>
          <w:rFonts w:ascii="Times New Roman" w:eastAsia="Times New Roman" w:hAnsi="Times New Roman" w:cs="Times New Roman"/>
          <w:noProof/>
          <w:sz w:val="24"/>
          <w:szCs w:val="24"/>
          <w:lang w:val="sq-AL"/>
        </w:rPr>
        <w:t xml:space="preserve"> </w:t>
      </w:r>
    </w:p>
    <w:p w14:paraId="20BA9965" w14:textId="77777777" w:rsidR="00417156" w:rsidRPr="00641640" w:rsidRDefault="00417156" w:rsidP="00F863ED">
      <w:pPr>
        <w:spacing w:before="100" w:beforeAutospacing="1" w:after="0" w:line="276" w:lineRule="auto"/>
        <w:jc w:val="both"/>
        <w:rPr>
          <w:rFonts w:ascii="Times New Roman" w:hAnsi="Times New Roman" w:cs="Times New Roman"/>
          <w:b/>
          <w:bCs/>
          <w:noProof/>
          <w:color w:val="FF0000"/>
          <w:sz w:val="24"/>
          <w:szCs w:val="24"/>
          <w:lang w:val="sq-AL"/>
        </w:rPr>
      </w:pPr>
    </w:p>
    <w:p w14:paraId="6743D886" w14:textId="77777777" w:rsidR="007277CE" w:rsidRPr="00641640" w:rsidRDefault="007277CE" w:rsidP="00F863ED">
      <w:pPr>
        <w:spacing w:line="276" w:lineRule="auto"/>
        <w:jc w:val="both"/>
        <w:rPr>
          <w:rFonts w:ascii="Times New Roman" w:eastAsia="Times New Roman" w:hAnsi="Times New Roman" w:cs="Times New Roman"/>
          <w:b/>
          <w:bCs/>
          <w:noProof/>
          <w:sz w:val="24"/>
          <w:szCs w:val="24"/>
          <w:lang w:val="sq-AL"/>
        </w:rPr>
      </w:pPr>
      <w:r w:rsidRPr="00641640">
        <w:rPr>
          <w:rFonts w:ascii="Times New Roman" w:eastAsia="Times New Roman" w:hAnsi="Times New Roman" w:cs="Times New Roman"/>
          <w:b/>
          <w:bCs/>
          <w:noProof/>
          <w:sz w:val="24"/>
          <w:szCs w:val="24"/>
          <w:lang w:val="sq-AL"/>
        </w:rPr>
        <w:t>Rezultatet e pritshme nga zbatimi i masave që lidhen me Objektivin Specifik</w:t>
      </w:r>
    </w:p>
    <w:p w14:paraId="30D6786E" w14:textId="392B452C" w:rsidR="007277CE" w:rsidRPr="00641640" w:rsidRDefault="007277CE" w:rsidP="00F863ED">
      <w:pPr>
        <w:spacing w:line="276" w:lineRule="auto"/>
        <w:jc w:val="both"/>
        <w:rPr>
          <w:rFonts w:ascii="Times New Roman" w:eastAsia="Times New Roman" w:hAnsi="Times New Roman" w:cs="Times New Roman"/>
          <w:bCs/>
          <w:iCs/>
          <w:noProof/>
          <w:sz w:val="24"/>
          <w:szCs w:val="24"/>
          <w:lang w:val="sq-AL"/>
        </w:rPr>
      </w:pPr>
      <w:r w:rsidRPr="00641640">
        <w:rPr>
          <w:rFonts w:ascii="Times New Roman" w:eastAsia="Times New Roman" w:hAnsi="Times New Roman" w:cs="Times New Roman"/>
          <w:noProof/>
          <w:sz w:val="24"/>
          <w:szCs w:val="24"/>
          <w:lang w:val="sq-AL"/>
        </w:rPr>
        <w:t xml:space="preserve">Objektivi Specifik </w:t>
      </w:r>
      <w:r w:rsidR="007805AC" w:rsidRPr="00641640">
        <w:rPr>
          <w:rFonts w:ascii="Times New Roman" w:eastAsia="Times New Roman" w:hAnsi="Times New Roman" w:cs="Times New Roman"/>
          <w:noProof/>
          <w:sz w:val="24"/>
          <w:szCs w:val="24"/>
          <w:lang w:val="sq-AL"/>
        </w:rPr>
        <w:t>4</w:t>
      </w:r>
      <w:r w:rsidRPr="00641640">
        <w:rPr>
          <w:rFonts w:ascii="Times New Roman" w:eastAsia="Times New Roman" w:hAnsi="Times New Roman" w:cs="Times New Roman"/>
          <w:noProof/>
          <w:sz w:val="24"/>
          <w:szCs w:val="24"/>
          <w:lang w:val="sq-AL"/>
        </w:rPr>
        <w:t>.</w:t>
      </w:r>
      <w:r w:rsidR="007805AC" w:rsidRPr="00641640">
        <w:rPr>
          <w:rFonts w:ascii="Times New Roman" w:eastAsia="Times New Roman" w:hAnsi="Times New Roman" w:cs="Times New Roman"/>
          <w:noProof/>
          <w:sz w:val="24"/>
          <w:szCs w:val="24"/>
          <w:lang w:val="sq-AL"/>
        </w:rPr>
        <w:t>4</w:t>
      </w:r>
      <w:r w:rsidRPr="00641640">
        <w:rPr>
          <w:rFonts w:ascii="Times New Roman" w:eastAsia="Times New Roman" w:hAnsi="Times New Roman" w:cs="Times New Roman"/>
          <w:noProof/>
          <w:sz w:val="24"/>
          <w:szCs w:val="24"/>
          <w:lang w:val="sq-AL"/>
        </w:rPr>
        <w:t xml:space="preserve">, </w:t>
      </w:r>
      <w:r w:rsidR="007805AC" w:rsidRPr="00641640">
        <w:rPr>
          <w:rFonts w:ascii="Times New Roman" w:eastAsia="Times New Roman" w:hAnsi="Times New Roman" w:cs="Times New Roman"/>
          <w:noProof/>
          <w:sz w:val="24"/>
          <w:szCs w:val="24"/>
          <w:lang w:val="sq-AL"/>
        </w:rPr>
        <w:t>duke</w:t>
      </w:r>
      <w:r w:rsidR="00481C66" w:rsidRPr="00641640">
        <w:rPr>
          <w:rFonts w:ascii="Times New Roman" w:eastAsia="Times New Roman" w:hAnsi="Times New Roman" w:cs="Times New Roman"/>
          <w:noProof/>
          <w:sz w:val="24"/>
          <w:szCs w:val="24"/>
          <w:lang w:val="sq-AL"/>
        </w:rPr>
        <w:t xml:space="preserve"> patur si</w:t>
      </w:r>
      <w:r w:rsidR="00A67FE6" w:rsidRPr="00641640">
        <w:rPr>
          <w:rFonts w:ascii="Times New Roman" w:eastAsia="Times New Roman" w:hAnsi="Times New Roman" w:cs="Times New Roman"/>
          <w:noProof/>
          <w:sz w:val="24"/>
          <w:szCs w:val="24"/>
          <w:lang w:val="sq-AL"/>
        </w:rPr>
        <w:t xml:space="preserve"> q</w:t>
      </w:r>
      <w:r w:rsidR="007B1DF1" w:rsidRPr="00641640">
        <w:rPr>
          <w:rFonts w:ascii="Times New Roman" w:eastAsia="Times New Roman" w:hAnsi="Times New Roman" w:cs="Times New Roman"/>
          <w:noProof/>
          <w:sz w:val="24"/>
          <w:szCs w:val="24"/>
          <w:lang w:val="sq-AL"/>
        </w:rPr>
        <w:t>ë</w:t>
      </w:r>
      <w:r w:rsidR="00A67FE6" w:rsidRPr="00641640">
        <w:rPr>
          <w:rFonts w:ascii="Times New Roman" w:eastAsia="Times New Roman" w:hAnsi="Times New Roman" w:cs="Times New Roman"/>
          <w:noProof/>
          <w:sz w:val="24"/>
          <w:szCs w:val="24"/>
          <w:lang w:val="sq-AL"/>
        </w:rPr>
        <w:t>llim kryesor</w:t>
      </w:r>
      <w:r w:rsidRPr="00641640">
        <w:rPr>
          <w:rFonts w:ascii="Times New Roman" w:eastAsia="Times New Roman" w:hAnsi="Times New Roman" w:cs="Times New Roman"/>
          <w:noProof/>
          <w:sz w:val="24"/>
          <w:szCs w:val="24"/>
          <w:lang w:val="sq-AL"/>
        </w:rPr>
        <w:t xml:space="preserve"> </w:t>
      </w:r>
      <w:r w:rsidR="00481C66" w:rsidRPr="00641640">
        <w:rPr>
          <w:rFonts w:ascii="Times New Roman" w:hAnsi="Times New Roman" w:cs="Times New Roman"/>
          <w:bCs/>
          <w:iCs/>
          <w:noProof/>
          <w:sz w:val="24"/>
          <w:szCs w:val="24"/>
          <w:lang w:val="sq-AL"/>
        </w:rPr>
        <w:t>f</w:t>
      </w:r>
      <w:r w:rsidR="007805AC" w:rsidRPr="00641640">
        <w:rPr>
          <w:rFonts w:ascii="Times New Roman" w:hAnsi="Times New Roman" w:cs="Times New Roman"/>
          <w:bCs/>
          <w:iCs/>
          <w:noProof/>
          <w:sz w:val="24"/>
          <w:szCs w:val="24"/>
          <w:lang w:val="sq-AL"/>
        </w:rPr>
        <w:t>uqizimi</w:t>
      </w:r>
      <w:r w:rsidR="00481C66" w:rsidRPr="00641640">
        <w:rPr>
          <w:rFonts w:ascii="Times New Roman" w:hAnsi="Times New Roman" w:cs="Times New Roman"/>
          <w:bCs/>
          <w:iCs/>
          <w:noProof/>
          <w:sz w:val="24"/>
          <w:szCs w:val="24"/>
          <w:lang w:val="sq-AL"/>
        </w:rPr>
        <w:t>n</w:t>
      </w:r>
      <w:r w:rsidR="007805AC" w:rsidRPr="00641640">
        <w:rPr>
          <w:rFonts w:ascii="Times New Roman" w:hAnsi="Times New Roman" w:cs="Times New Roman"/>
          <w:bCs/>
          <w:iCs/>
          <w:noProof/>
          <w:sz w:val="24"/>
          <w:szCs w:val="24"/>
          <w:lang w:val="sq-AL"/>
        </w:rPr>
        <w:t xml:space="preserve"> </w:t>
      </w:r>
      <w:r w:rsidR="00481C66" w:rsidRPr="00641640">
        <w:rPr>
          <w:rFonts w:ascii="Times New Roman" w:hAnsi="Times New Roman" w:cs="Times New Roman"/>
          <w:bCs/>
          <w:iCs/>
          <w:noProof/>
          <w:sz w:val="24"/>
          <w:szCs w:val="24"/>
          <w:lang w:val="sq-AL"/>
        </w:rPr>
        <w:t>e</w:t>
      </w:r>
      <w:r w:rsidR="007805AC" w:rsidRPr="00641640">
        <w:rPr>
          <w:rFonts w:ascii="Times New Roman" w:hAnsi="Times New Roman" w:cs="Times New Roman"/>
          <w:bCs/>
          <w:iCs/>
          <w:noProof/>
          <w:sz w:val="24"/>
          <w:szCs w:val="24"/>
          <w:lang w:val="sq-AL"/>
        </w:rPr>
        <w:t xml:space="preserve"> llogaridhënies së jashtme të administratës publike</w:t>
      </w:r>
      <w:r w:rsidR="00F8170F" w:rsidRPr="00641640">
        <w:rPr>
          <w:rFonts w:ascii="Times New Roman" w:hAnsi="Times New Roman" w:cs="Times New Roman"/>
          <w:bCs/>
          <w:iCs/>
          <w:noProof/>
          <w:sz w:val="24"/>
          <w:szCs w:val="24"/>
          <w:lang w:val="sq-AL"/>
        </w:rPr>
        <w:t>, n</w:t>
      </w:r>
      <w:r w:rsidR="007B1DF1" w:rsidRPr="00641640">
        <w:rPr>
          <w:rFonts w:ascii="Times New Roman" w:hAnsi="Times New Roman" w:cs="Times New Roman"/>
          <w:bCs/>
          <w:iCs/>
          <w:noProof/>
          <w:sz w:val="24"/>
          <w:szCs w:val="24"/>
          <w:lang w:val="sq-AL"/>
        </w:rPr>
        <w:t>ë</w:t>
      </w:r>
      <w:r w:rsidR="00F8170F" w:rsidRPr="00641640">
        <w:rPr>
          <w:rFonts w:ascii="Times New Roman" w:hAnsi="Times New Roman" w:cs="Times New Roman"/>
          <w:bCs/>
          <w:iCs/>
          <w:noProof/>
          <w:sz w:val="24"/>
          <w:szCs w:val="24"/>
          <w:lang w:val="sq-AL"/>
        </w:rPr>
        <w:t>p</w:t>
      </w:r>
      <w:r w:rsidR="007B1DF1" w:rsidRPr="00641640">
        <w:rPr>
          <w:rFonts w:ascii="Times New Roman" w:hAnsi="Times New Roman" w:cs="Times New Roman"/>
          <w:bCs/>
          <w:iCs/>
          <w:noProof/>
          <w:sz w:val="24"/>
          <w:szCs w:val="24"/>
          <w:lang w:val="sq-AL"/>
        </w:rPr>
        <w:t>ë</w:t>
      </w:r>
      <w:r w:rsidR="00F8170F" w:rsidRPr="00641640">
        <w:rPr>
          <w:rFonts w:ascii="Times New Roman" w:hAnsi="Times New Roman" w:cs="Times New Roman"/>
          <w:bCs/>
          <w:iCs/>
          <w:noProof/>
          <w:sz w:val="24"/>
          <w:szCs w:val="24"/>
          <w:lang w:val="sq-AL"/>
        </w:rPr>
        <w:t>rmjet masave dhe aktiveteteve t</w:t>
      </w:r>
      <w:r w:rsidR="007B1DF1" w:rsidRPr="00641640">
        <w:rPr>
          <w:rFonts w:ascii="Times New Roman" w:hAnsi="Times New Roman" w:cs="Times New Roman"/>
          <w:bCs/>
          <w:iCs/>
          <w:noProof/>
          <w:sz w:val="24"/>
          <w:szCs w:val="24"/>
          <w:lang w:val="sq-AL"/>
        </w:rPr>
        <w:t>ë</w:t>
      </w:r>
      <w:r w:rsidR="00F8170F" w:rsidRPr="00641640">
        <w:rPr>
          <w:rFonts w:ascii="Times New Roman" w:hAnsi="Times New Roman" w:cs="Times New Roman"/>
          <w:bCs/>
          <w:iCs/>
          <w:noProof/>
          <w:sz w:val="24"/>
          <w:szCs w:val="24"/>
          <w:lang w:val="sq-AL"/>
        </w:rPr>
        <w:t xml:space="preserve"> parashikuara n</w:t>
      </w:r>
      <w:r w:rsidR="007B1DF1" w:rsidRPr="00641640">
        <w:rPr>
          <w:rFonts w:ascii="Times New Roman" w:hAnsi="Times New Roman" w:cs="Times New Roman"/>
          <w:bCs/>
          <w:iCs/>
          <w:noProof/>
          <w:sz w:val="24"/>
          <w:szCs w:val="24"/>
          <w:lang w:val="sq-AL"/>
        </w:rPr>
        <w:t>ë</w:t>
      </w:r>
      <w:r w:rsidR="00F8170F" w:rsidRPr="00641640">
        <w:rPr>
          <w:rFonts w:ascii="Times New Roman" w:hAnsi="Times New Roman" w:cs="Times New Roman"/>
          <w:bCs/>
          <w:iCs/>
          <w:noProof/>
          <w:sz w:val="24"/>
          <w:szCs w:val="24"/>
          <w:lang w:val="sq-AL"/>
        </w:rPr>
        <w:t xml:space="preserve"> k</w:t>
      </w:r>
      <w:r w:rsidR="007B1DF1" w:rsidRPr="00641640">
        <w:rPr>
          <w:rFonts w:ascii="Times New Roman" w:hAnsi="Times New Roman" w:cs="Times New Roman"/>
          <w:bCs/>
          <w:iCs/>
          <w:noProof/>
          <w:sz w:val="24"/>
          <w:szCs w:val="24"/>
          <w:lang w:val="sq-AL"/>
        </w:rPr>
        <w:t>ë</w:t>
      </w:r>
      <w:r w:rsidR="00F8170F" w:rsidRPr="00641640">
        <w:rPr>
          <w:rFonts w:ascii="Times New Roman" w:hAnsi="Times New Roman" w:cs="Times New Roman"/>
          <w:bCs/>
          <w:iCs/>
          <w:noProof/>
          <w:sz w:val="24"/>
          <w:szCs w:val="24"/>
          <w:lang w:val="sq-AL"/>
        </w:rPr>
        <w:t>t</w:t>
      </w:r>
      <w:r w:rsidR="007B1DF1" w:rsidRPr="00641640">
        <w:rPr>
          <w:rFonts w:ascii="Times New Roman" w:hAnsi="Times New Roman" w:cs="Times New Roman"/>
          <w:bCs/>
          <w:iCs/>
          <w:noProof/>
          <w:sz w:val="24"/>
          <w:szCs w:val="24"/>
          <w:lang w:val="sq-AL"/>
        </w:rPr>
        <w:t>ë</w:t>
      </w:r>
      <w:r w:rsidR="00F8170F" w:rsidRPr="00641640">
        <w:rPr>
          <w:rFonts w:ascii="Times New Roman" w:hAnsi="Times New Roman" w:cs="Times New Roman"/>
          <w:bCs/>
          <w:iCs/>
          <w:noProof/>
          <w:sz w:val="24"/>
          <w:szCs w:val="24"/>
          <w:lang w:val="sq-AL"/>
        </w:rPr>
        <w:t xml:space="preserve"> drejtim priten rezultatet e m</w:t>
      </w:r>
      <w:r w:rsidR="007B1DF1" w:rsidRPr="00641640">
        <w:rPr>
          <w:rFonts w:ascii="Times New Roman" w:hAnsi="Times New Roman" w:cs="Times New Roman"/>
          <w:bCs/>
          <w:iCs/>
          <w:noProof/>
          <w:sz w:val="24"/>
          <w:szCs w:val="24"/>
          <w:lang w:val="sq-AL"/>
        </w:rPr>
        <w:t>ë</w:t>
      </w:r>
      <w:r w:rsidR="00F8170F" w:rsidRPr="00641640">
        <w:rPr>
          <w:rFonts w:ascii="Times New Roman" w:hAnsi="Times New Roman" w:cs="Times New Roman"/>
          <w:bCs/>
          <w:iCs/>
          <w:noProof/>
          <w:sz w:val="24"/>
          <w:szCs w:val="24"/>
          <w:lang w:val="sq-AL"/>
        </w:rPr>
        <w:t>poshtme:</w:t>
      </w:r>
    </w:p>
    <w:p w14:paraId="01D3182C" w14:textId="06EBA520" w:rsidR="007277CE" w:rsidRPr="00641640" w:rsidRDefault="007277CE" w:rsidP="00F863ED">
      <w:pPr>
        <w:spacing w:line="276" w:lineRule="auto"/>
        <w:jc w:val="both"/>
        <w:rPr>
          <w:rFonts w:ascii="Times New Roman" w:eastAsiaTheme="minorHAnsi"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lastRenderedPageBreak/>
        <w:t>Rezultati 1:</w:t>
      </w:r>
      <w:r w:rsidRPr="00641640">
        <w:rPr>
          <w:rFonts w:ascii="Times New Roman" w:eastAsia="Times New Roman" w:hAnsi="Times New Roman" w:cs="Times New Roman"/>
          <w:noProof/>
          <w:sz w:val="24"/>
          <w:szCs w:val="24"/>
          <w:lang w:val="sq-AL"/>
        </w:rPr>
        <w:t xml:space="preserve"> </w:t>
      </w:r>
      <w:r w:rsidR="000D26E7" w:rsidRPr="00641640">
        <w:rPr>
          <w:rFonts w:ascii="Times New Roman" w:eastAsia="Times New Roman" w:hAnsi="Times New Roman" w:cs="Times New Roman"/>
          <w:noProof/>
          <w:sz w:val="24"/>
          <w:szCs w:val="24"/>
          <w:lang w:val="sq-AL"/>
        </w:rPr>
        <w:t>Fuqizimi i rolit të Kuvendit në ushtrimin sistematik të funksionit mbikëqyrës ndaj veprimtarisë së Qeverisë</w:t>
      </w:r>
      <w:r w:rsidR="00B57A07" w:rsidRPr="00641640">
        <w:rPr>
          <w:rFonts w:ascii="Times New Roman" w:eastAsia="Times New Roman" w:hAnsi="Times New Roman" w:cs="Times New Roman"/>
          <w:noProof/>
          <w:sz w:val="24"/>
          <w:szCs w:val="24"/>
          <w:lang w:val="sq-AL"/>
        </w:rPr>
        <w:t>.</w:t>
      </w:r>
    </w:p>
    <w:p w14:paraId="369CF0C8" w14:textId="0688FFED" w:rsidR="008A1119" w:rsidRPr="00641640" w:rsidRDefault="007277CE" w:rsidP="00F863ED">
      <w:pPr>
        <w:spacing w:line="276" w:lineRule="auto"/>
        <w:jc w:val="both"/>
        <w:rPr>
          <w:rFonts w:ascii="Times New Roman" w:eastAsiaTheme="minorHAnsi" w:hAnsi="Times New Roman" w:cs="Times New Roman"/>
          <w:bCs/>
          <w:noProof/>
          <w:sz w:val="24"/>
          <w:szCs w:val="24"/>
          <w:lang w:val="sq-AL"/>
        </w:rPr>
      </w:pPr>
      <w:r w:rsidRPr="00641640">
        <w:rPr>
          <w:rFonts w:ascii="Times New Roman" w:eastAsia="Times New Roman" w:hAnsi="Times New Roman" w:cs="Times New Roman"/>
          <w:b/>
          <w:bCs/>
          <w:noProof/>
          <w:sz w:val="24"/>
          <w:szCs w:val="24"/>
          <w:lang w:val="sq-AL"/>
        </w:rPr>
        <w:t>Rezultati 2:</w:t>
      </w:r>
      <w:r w:rsidRPr="00641640">
        <w:rPr>
          <w:rFonts w:ascii="Times New Roman" w:eastAsia="Times New Roman" w:hAnsi="Times New Roman" w:cs="Times New Roman"/>
          <w:noProof/>
          <w:sz w:val="24"/>
          <w:szCs w:val="24"/>
          <w:lang w:val="sq-AL"/>
        </w:rPr>
        <w:t xml:space="preserve"> </w:t>
      </w:r>
      <w:r w:rsidR="009967D4" w:rsidRPr="00641640">
        <w:rPr>
          <w:rFonts w:ascii="Times New Roman" w:eastAsiaTheme="minorHAnsi" w:hAnsi="Times New Roman" w:cs="Times New Roman"/>
          <w:bCs/>
          <w:noProof/>
          <w:sz w:val="24"/>
          <w:szCs w:val="24"/>
          <w:lang w:val="sq-AL"/>
        </w:rPr>
        <w:t>Rritje e zbatimit të rekomandimeve të institucioneve të pavaruara nga administrata publike</w:t>
      </w:r>
      <w:r w:rsidR="002E2C36" w:rsidRPr="00641640">
        <w:rPr>
          <w:rFonts w:ascii="Times New Roman" w:eastAsiaTheme="minorHAnsi" w:hAnsi="Times New Roman" w:cs="Times New Roman"/>
          <w:bCs/>
          <w:noProof/>
          <w:sz w:val="24"/>
          <w:szCs w:val="24"/>
          <w:lang w:val="sq-AL"/>
        </w:rPr>
        <w:t>.</w:t>
      </w:r>
    </w:p>
    <w:p w14:paraId="585AE3B1" w14:textId="1EF174CD" w:rsidR="00310532" w:rsidRPr="00641640" w:rsidRDefault="007277CE" w:rsidP="00F863ED">
      <w:pPr>
        <w:spacing w:line="276" w:lineRule="auto"/>
        <w:jc w:val="both"/>
        <w:rPr>
          <w:rFonts w:ascii="Times New Roman" w:eastAsiaTheme="minorHAnsi"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Rezultati 3:</w:t>
      </w:r>
      <w:r w:rsidRPr="00641640">
        <w:rPr>
          <w:rFonts w:ascii="Times New Roman" w:eastAsia="Times New Roman" w:hAnsi="Times New Roman" w:cs="Times New Roman"/>
          <w:noProof/>
          <w:sz w:val="24"/>
          <w:szCs w:val="24"/>
          <w:lang w:val="sq-AL"/>
        </w:rPr>
        <w:t xml:space="preserve"> </w:t>
      </w:r>
      <w:r w:rsidR="00310532" w:rsidRPr="00641640">
        <w:rPr>
          <w:rFonts w:ascii="Times New Roman" w:eastAsia="Times New Roman" w:hAnsi="Times New Roman" w:cs="Times New Roman"/>
          <w:noProof/>
          <w:sz w:val="24"/>
          <w:szCs w:val="24"/>
          <w:lang w:val="sq-AL"/>
        </w:rPr>
        <w:t>F</w:t>
      </w:r>
      <w:r w:rsidR="009967D4" w:rsidRPr="00641640">
        <w:rPr>
          <w:rFonts w:ascii="Times New Roman" w:eastAsia="Times New Roman" w:hAnsi="Times New Roman" w:cs="Times New Roman"/>
          <w:noProof/>
          <w:sz w:val="24"/>
          <w:szCs w:val="24"/>
          <w:lang w:val="sq-AL"/>
        </w:rPr>
        <w:t>orcimi</w:t>
      </w:r>
      <w:r w:rsidR="00310532" w:rsidRPr="00641640">
        <w:rPr>
          <w:rFonts w:ascii="Times New Roman" w:eastAsia="Times New Roman" w:hAnsi="Times New Roman" w:cs="Times New Roman"/>
          <w:noProof/>
          <w:sz w:val="24"/>
          <w:szCs w:val="24"/>
          <w:lang w:val="sq-AL"/>
        </w:rPr>
        <w:t xml:space="preserve"> i rolit mbikëqyrës së Avokatit të Popullit</w:t>
      </w:r>
      <w:r w:rsidR="00B57A07" w:rsidRPr="00641640">
        <w:rPr>
          <w:rFonts w:ascii="Times New Roman" w:eastAsia="Times New Roman" w:hAnsi="Times New Roman" w:cs="Times New Roman"/>
          <w:noProof/>
          <w:sz w:val="24"/>
          <w:szCs w:val="24"/>
          <w:lang w:val="sq-AL"/>
        </w:rPr>
        <w:t>.</w:t>
      </w:r>
    </w:p>
    <w:p w14:paraId="120117C7" w14:textId="2A3D2E4C" w:rsidR="007277CE" w:rsidRPr="00641640" w:rsidRDefault="007277CE" w:rsidP="00F863ED">
      <w:pPr>
        <w:spacing w:line="276" w:lineRule="auto"/>
        <w:jc w:val="both"/>
        <w:rPr>
          <w:rFonts w:ascii="Times New Roman" w:eastAsia="Times New Roman" w:hAnsi="Times New Roman" w:cs="Times New Roman"/>
          <w:noProof/>
          <w:sz w:val="24"/>
          <w:szCs w:val="24"/>
          <w:lang w:val="sq-AL"/>
        </w:rPr>
      </w:pPr>
      <w:r w:rsidRPr="00641640">
        <w:rPr>
          <w:rFonts w:ascii="Times New Roman" w:eastAsia="Times New Roman" w:hAnsi="Times New Roman" w:cs="Times New Roman"/>
          <w:b/>
          <w:bCs/>
          <w:noProof/>
          <w:sz w:val="24"/>
          <w:szCs w:val="24"/>
          <w:lang w:val="sq-AL"/>
        </w:rPr>
        <w:t>Institucione kryesore:</w:t>
      </w:r>
      <w:r w:rsidRPr="00641640">
        <w:rPr>
          <w:rFonts w:ascii="Times New Roman" w:eastAsia="Times New Roman" w:hAnsi="Times New Roman" w:cs="Times New Roman"/>
          <w:noProof/>
          <w:sz w:val="24"/>
          <w:szCs w:val="24"/>
          <w:lang w:val="sq-AL"/>
        </w:rPr>
        <w:t xml:space="preserve"> </w:t>
      </w:r>
      <w:r w:rsidR="00D31079" w:rsidRPr="00641640">
        <w:rPr>
          <w:rFonts w:ascii="Times New Roman" w:eastAsiaTheme="minorHAnsi" w:hAnsi="Times New Roman" w:cs="Times New Roman"/>
          <w:noProof/>
          <w:sz w:val="24"/>
          <w:szCs w:val="24"/>
          <w:lang w:val="sq-AL"/>
        </w:rPr>
        <w:t>Kuvendi, Avokati i Popullit</w:t>
      </w:r>
      <w:r w:rsidR="00662027">
        <w:rPr>
          <w:rFonts w:ascii="Times New Roman" w:eastAsiaTheme="minorHAnsi" w:hAnsi="Times New Roman" w:cs="Times New Roman"/>
          <w:noProof/>
          <w:sz w:val="24"/>
          <w:szCs w:val="24"/>
          <w:lang w:val="sq-AL"/>
        </w:rPr>
        <w:t>.</w:t>
      </w:r>
    </w:p>
    <w:p w14:paraId="40438B11" w14:textId="232E697D" w:rsidR="00F6278C" w:rsidRPr="00F6278C" w:rsidRDefault="007277CE" w:rsidP="00F863ED">
      <w:pPr>
        <w:spacing w:line="276" w:lineRule="auto"/>
        <w:jc w:val="both"/>
        <w:rPr>
          <w:rFonts w:ascii="Times New Roman" w:hAnsi="Times New Roman" w:cs="Times New Roman"/>
          <w:bCs/>
          <w:noProof/>
          <w:sz w:val="24"/>
          <w:szCs w:val="24"/>
          <w:lang w:val="sq-AL"/>
        </w:rPr>
      </w:pPr>
      <w:r w:rsidRPr="00641640">
        <w:rPr>
          <w:rFonts w:ascii="Times New Roman" w:eastAsia="Times New Roman" w:hAnsi="Times New Roman" w:cs="Times New Roman"/>
          <w:b/>
          <w:bCs/>
          <w:noProof/>
          <w:sz w:val="24"/>
          <w:szCs w:val="24"/>
          <w:lang w:val="sq-AL"/>
        </w:rPr>
        <w:t>Institucione kontributore:</w:t>
      </w:r>
      <w:r w:rsidRPr="00641640">
        <w:rPr>
          <w:rFonts w:ascii="Times New Roman" w:eastAsia="Times New Roman" w:hAnsi="Times New Roman" w:cs="Times New Roman"/>
          <w:noProof/>
          <w:sz w:val="24"/>
          <w:szCs w:val="24"/>
          <w:lang w:val="sq-AL"/>
        </w:rPr>
        <w:t xml:space="preserve"> </w:t>
      </w:r>
      <w:r w:rsidR="00F6278C" w:rsidRPr="00F6278C">
        <w:rPr>
          <w:rFonts w:ascii="Times New Roman" w:eastAsia="Times New Roman" w:hAnsi="Times New Roman" w:cs="Times New Roman"/>
          <w:noProof/>
          <w:sz w:val="24"/>
          <w:szCs w:val="24"/>
          <w:lang w:val="sq-AL"/>
        </w:rPr>
        <w:t>MSHMP, Kuvendi, Institucionet e pavarura, Ministritë e linjës, Institucionet ekzekutive, Westminster Foundation for Democracy (WFD)</w:t>
      </w:r>
      <w:r w:rsidR="00F6278C">
        <w:rPr>
          <w:rFonts w:ascii="Times New Roman" w:eastAsia="Times New Roman" w:hAnsi="Times New Roman" w:cs="Times New Roman"/>
          <w:noProof/>
          <w:sz w:val="24"/>
          <w:szCs w:val="24"/>
          <w:lang w:val="sq-AL"/>
        </w:rPr>
        <w:t>.</w:t>
      </w:r>
    </w:p>
    <w:p w14:paraId="2F7916CD" w14:textId="77777777" w:rsidR="00417156" w:rsidRPr="00641640" w:rsidRDefault="00417156" w:rsidP="003A395D">
      <w:pPr>
        <w:spacing w:after="0" w:line="276" w:lineRule="auto"/>
        <w:jc w:val="both"/>
        <w:rPr>
          <w:rFonts w:ascii="Times New Roman" w:hAnsi="Times New Roman" w:cs="Times New Roman"/>
          <w:b/>
          <w:bCs/>
          <w:noProof/>
          <w:sz w:val="24"/>
          <w:szCs w:val="24"/>
          <w:lang w:val="sq-AL"/>
        </w:rPr>
      </w:pPr>
    </w:p>
    <w:p w14:paraId="4C515557" w14:textId="1029D265" w:rsidR="007277CE" w:rsidRPr="00641640" w:rsidRDefault="007277CE" w:rsidP="003A395D">
      <w:pPr>
        <w:spacing w:line="276" w:lineRule="auto"/>
        <w:jc w:val="both"/>
        <w:rPr>
          <w:rFonts w:ascii="Times New Roman" w:hAnsi="Times New Roman" w:cs="Times New Roman"/>
          <w:b/>
          <w:bCs/>
          <w:noProof/>
          <w:sz w:val="24"/>
          <w:szCs w:val="24"/>
          <w:lang w:val="sq-AL"/>
        </w:rPr>
      </w:pPr>
      <w:r w:rsidRPr="00641640">
        <w:rPr>
          <w:rFonts w:ascii="Times New Roman" w:hAnsi="Times New Roman" w:cs="Times New Roman"/>
          <w:b/>
          <w:bCs/>
          <w:noProof/>
          <w:sz w:val="24"/>
          <w:szCs w:val="24"/>
          <w:lang w:val="sq-AL"/>
        </w:rPr>
        <w:t>Masat dhe aktivitetet</w:t>
      </w:r>
    </w:p>
    <w:p w14:paraId="0DFAFF10" w14:textId="1383FB14" w:rsidR="003748C9" w:rsidRPr="00641640" w:rsidRDefault="003748C9" w:rsidP="003A395D">
      <w:pPr>
        <w:spacing w:line="276" w:lineRule="auto"/>
        <w:jc w:val="both"/>
        <w:rPr>
          <w:rFonts w:ascii="Times New Roman" w:hAnsi="Times New Roman" w:cs="Times New Roman"/>
          <w:bCs/>
          <w:noProof/>
          <w:sz w:val="24"/>
          <w:szCs w:val="24"/>
          <w:lang w:val="sq-AL"/>
        </w:rPr>
      </w:pPr>
      <w:r w:rsidRPr="00641640">
        <w:rPr>
          <w:rFonts w:ascii="Times New Roman" w:hAnsi="Times New Roman" w:cs="Times New Roman"/>
          <w:bCs/>
          <w:noProof/>
          <w:sz w:val="24"/>
          <w:szCs w:val="24"/>
          <w:lang w:val="sq-AL"/>
        </w:rPr>
        <w:t xml:space="preserve">Ky </w:t>
      </w:r>
      <w:r w:rsidR="00417156" w:rsidRPr="00641640">
        <w:rPr>
          <w:rFonts w:ascii="Times New Roman" w:hAnsi="Times New Roman" w:cs="Times New Roman"/>
          <w:bCs/>
          <w:noProof/>
          <w:sz w:val="24"/>
          <w:szCs w:val="24"/>
          <w:lang w:val="sq-AL"/>
        </w:rPr>
        <w:t>o</w:t>
      </w:r>
      <w:r w:rsidRPr="00641640">
        <w:rPr>
          <w:rFonts w:ascii="Times New Roman" w:hAnsi="Times New Roman" w:cs="Times New Roman"/>
          <w:bCs/>
          <w:noProof/>
          <w:sz w:val="24"/>
          <w:szCs w:val="24"/>
          <w:lang w:val="sq-AL"/>
        </w:rPr>
        <w:t xml:space="preserve">bjektiv </w:t>
      </w:r>
      <w:r w:rsidR="00417156" w:rsidRPr="00641640">
        <w:rPr>
          <w:rFonts w:ascii="Times New Roman" w:hAnsi="Times New Roman" w:cs="Times New Roman"/>
          <w:bCs/>
          <w:noProof/>
          <w:sz w:val="24"/>
          <w:szCs w:val="24"/>
          <w:lang w:val="sq-AL"/>
        </w:rPr>
        <w:t>s</w:t>
      </w:r>
      <w:r w:rsidRPr="00641640">
        <w:rPr>
          <w:rFonts w:ascii="Times New Roman" w:hAnsi="Times New Roman" w:cs="Times New Roman"/>
          <w:bCs/>
          <w:noProof/>
          <w:sz w:val="24"/>
          <w:szCs w:val="24"/>
          <w:lang w:val="sq-AL"/>
        </w:rPr>
        <w:t>pecifik do të zbatohet përmes masave të mëposhtme, teksa aktivitetet konkrete për periudhën e parë të zbatimit të SNRAP 202</w:t>
      </w:r>
      <w:r w:rsidR="0013666D" w:rsidRPr="00641640">
        <w:rPr>
          <w:rFonts w:ascii="Times New Roman" w:hAnsi="Times New Roman" w:cs="Times New Roman"/>
          <w:bCs/>
          <w:noProof/>
          <w:sz w:val="24"/>
          <w:szCs w:val="24"/>
          <w:lang w:val="sq-AL"/>
        </w:rPr>
        <w:t>5</w:t>
      </w:r>
      <w:r w:rsidRPr="00641640">
        <w:rPr>
          <w:rFonts w:ascii="Times New Roman" w:hAnsi="Times New Roman" w:cs="Times New Roman"/>
          <w:bCs/>
          <w:noProof/>
          <w:sz w:val="24"/>
          <w:szCs w:val="24"/>
          <w:lang w:val="sq-AL"/>
        </w:rPr>
        <w:t>-2030 mund të gjenden në Planin e Veprimit 202</w:t>
      </w:r>
      <w:r w:rsidR="0013666D" w:rsidRPr="00641640">
        <w:rPr>
          <w:rFonts w:ascii="Times New Roman" w:hAnsi="Times New Roman" w:cs="Times New Roman"/>
          <w:bCs/>
          <w:noProof/>
          <w:sz w:val="24"/>
          <w:szCs w:val="24"/>
          <w:lang w:val="sq-AL"/>
        </w:rPr>
        <w:t>5</w:t>
      </w:r>
      <w:r w:rsidRPr="00641640">
        <w:rPr>
          <w:rFonts w:ascii="Times New Roman" w:hAnsi="Times New Roman" w:cs="Times New Roman"/>
          <w:bCs/>
          <w:noProof/>
          <w:sz w:val="24"/>
          <w:szCs w:val="24"/>
          <w:lang w:val="sq-AL"/>
        </w:rPr>
        <w:t>-20</w:t>
      </w:r>
      <w:r w:rsidR="0013666D" w:rsidRPr="00641640">
        <w:rPr>
          <w:rFonts w:ascii="Times New Roman" w:hAnsi="Times New Roman" w:cs="Times New Roman"/>
          <w:bCs/>
          <w:noProof/>
          <w:sz w:val="24"/>
          <w:szCs w:val="24"/>
          <w:lang w:val="sq-AL"/>
        </w:rPr>
        <w:t>30</w:t>
      </w:r>
      <w:r w:rsidRPr="00641640">
        <w:rPr>
          <w:rFonts w:ascii="Times New Roman" w:hAnsi="Times New Roman" w:cs="Times New Roman"/>
          <w:bCs/>
          <w:noProof/>
          <w:sz w:val="24"/>
          <w:szCs w:val="24"/>
          <w:lang w:val="sq-AL"/>
        </w:rPr>
        <w:t xml:space="preserve"> (Aneksi nr. 1).</w:t>
      </w:r>
    </w:p>
    <w:tbl>
      <w:tblPr>
        <w:tblStyle w:val="TableGridIDEA4"/>
        <w:tblW w:w="0" w:type="auto"/>
        <w:tblLayout w:type="fixed"/>
        <w:tblLook w:val="04A0" w:firstRow="1" w:lastRow="0" w:firstColumn="1" w:lastColumn="0" w:noHBand="0" w:noVBand="1"/>
      </w:tblPr>
      <w:tblGrid>
        <w:gridCol w:w="988"/>
        <w:gridCol w:w="8362"/>
      </w:tblGrid>
      <w:tr w:rsidR="003748C9" w:rsidRPr="00641640" w14:paraId="3865601F" w14:textId="77777777" w:rsidTr="006B7458">
        <w:trPr>
          <w:trHeight w:val="557"/>
        </w:trPr>
        <w:tc>
          <w:tcPr>
            <w:tcW w:w="9350" w:type="dxa"/>
            <w:gridSpan w:val="2"/>
            <w:shd w:val="clear" w:color="auto" w:fill="C5E0B3" w:themeFill="accent6" w:themeFillTint="66"/>
          </w:tcPr>
          <w:p w14:paraId="7117C820" w14:textId="5247D3A7" w:rsidR="003748C9" w:rsidRPr="00641640" w:rsidRDefault="003748C9" w:rsidP="003A395D">
            <w:pPr>
              <w:spacing w:before="240" w:after="160" w:line="276" w:lineRule="auto"/>
              <w:jc w:val="center"/>
              <w:textAlignment w:val="baseline"/>
              <w:rPr>
                <w:rFonts w:ascii="Times New Roman" w:hAnsi="Times New Roman" w:cs="Times New Roman"/>
                <w:b/>
                <w:i/>
                <w:noProof/>
                <w:sz w:val="22"/>
                <w:szCs w:val="22"/>
                <w:lang w:val="sq-AL"/>
              </w:rPr>
            </w:pPr>
            <w:r w:rsidRPr="00641640">
              <w:rPr>
                <w:rFonts w:ascii="Times New Roman" w:hAnsi="Times New Roman" w:cs="Times New Roman"/>
                <w:b/>
                <w:i/>
                <w:noProof/>
                <w:sz w:val="22"/>
                <w:szCs w:val="22"/>
                <w:lang w:val="sq-AL"/>
              </w:rPr>
              <w:t xml:space="preserve">Objektivi Specifik </w:t>
            </w:r>
            <w:r w:rsidR="0013666D" w:rsidRPr="00641640">
              <w:rPr>
                <w:rFonts w:ascii="Times New Roman" w:hAnsi="Times New Roman" w:cs="Times New Roman"/>
                <w:b/>
                <w:i/>
                <w:noProof/>
                <w:sz w:val="22"/>
                <w:szCs w:val="22"/>
                <w:lang w:val="sq-AL"/>
              </w:rPr>
              <w:t>4</w:t>
            </w:r>
            <w:r w:rsidRPr="00641640">
              <w:rPr>
                <w:rFonts w:ascii="Times New Roman" w:hAnsi="Times New Roman" w:cs="Times New Roman"/>
                <w:b/>
                <w:i/>
                <w:noProof/>
                <w:sz w:val="22"/>
                <w:szCs w:val="22"/>
                <w:lang w:val="sq-AL"/>
              </w:rPr>
              <w:t>.4: Fuqizimi i mbikëqyrjes së jashtme të administratës publike nga Kuvendi dhe institucionet e pavarura mbi zbatimin e politikave dhe detyrimeve nga ana e qeverisë</w:t>
            </w:r>
            <w:r w:rsidR="000D7E94" w:rsidRPr="00641640">
              <w:rPr>
                <w:rFonts w:ascii="Times New Roman" w:hAnsi="Times New Roman" w:cs="Times New Roman"/>
                <w:b/>
                <w:i/>
                <w:noProof/>
                <w:sz w:val="22"/>
                <w:szCs w:val="22"/>
                <w:lang w:val="sq-AL"/>
              </w:rPr>
              <w:t>.</w:t>
            </w:r>
          </w:p>
        </w:tc>
      </w:tr>
      <w:tr w:rsidR="003748C9" w:rsidRPr="00641640" w14:paraId="36FBB96A" w14:textId="77777777" w:rsidTr="006B7458">
        <w:tc>
          <w:tcPr>
            <w:tcW w:w="988" w:type="dxa"/>
            <w:shd w:val="clear" w:color="auto" w:fill="C5E0B3" w:themeFill="accent6" w:themeFillTint="66"/>
          </w:tcPr>
          <w:p w14:paraId="24255FB4" w14:textId="4DFCB729" w:rsidR="003748C9" w:rsidRPr="00641640" w:rsidRDefault="003748C9" w:rsidP="003A395D">
            <w:pPr>
              <w:spacing w:beforeAutospacing="1" w:after="160"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13666D" w:rsidRPr="00641640">
              <w:rPr>
                <w:rFonts w:ascii="Times New Roman" w:hAnsi="Times New Roman" w:cs="Times New Roman"/>
                <w:b/>
                <w:noProof/>
                <w:sz w:val="22"/>
                <w:szCs w:val="22"/>
                <w:lang w:val="sq-AL"/>
              </w:rPr>
              <w:t>4</w:t>
            </w:r>
            <w:r w:rsidRPr="00641640">
              <w:rPr>
                <w:rFonts w:ascii="Times New Roman" w:hAnsi="Times New Roman" w:cs="Times New Roman"/>
                <w:b/>
                <w:noProof/>
                <w:sz w:val="22"/>
                <w:szCs w:val="22"/>
                <w:lang w:val="sq-AL"/>
              </w:rPr>
              <w:t>.4.1</w:t>
            </w:r>
          </w:p>
        </w:tc>
        <w:tc>
          <w:tcPr>
            <w:tcW w:w="8362" w:type="dxa"/>
            <w:shd w:val="clear" w:color="auto" w:fill="auto"/>
          </w:tcPr>
          <w:p w14:paraId="48D53915" w14:textId="27FF7E3E" w:rsidR="003748C9" w:rsidRPr="00641640" w:rsidRDefault="00CA6CEB"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Fuqizimi i rolit proaktiv të Kuvendit në ushtrimin sistematik të funksionit mbikëqyrës ndaj veprimtarisë së Qeverisë.</w:t>
            </w:r>
          </w:p>
        </w:tc>
      </w:tr>
      <w:tr w:rsidR="003748C9" w:rsidRPr="00641640" w14:paraId="46AA2F67" w14:textId="77777777" w:rsidTr="006B7458">
        <w:tc>
          <w:tcPr>
            <w:tcW w:w="988" w:type="dxa"/>
            <w:shd w:val="clear" w:color="auto" w:fill="C5E0B3" w:themeFill="accent6" w:themeFillTint="66"/>
          </w:tcPr>
          <w:p w14:paraId="7204E8BA" w14:textId="18F6C23B" w:rsidR="003748C9" w:rsidRPr="00641640" w:rsidRDefault="003748C9" w:rsidP="003A395D">
            <w:pPr>
              <w:spacing w:beforeAutospacing="1" w:after="160"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13666D" w:rsidRPr="00641640">
              <w:rPr>
                <w:rFonts w:ascii="Times New Roman" w:hAnsi="Times New Roman" w:cs="Times New Roman"/>
                <w:b/>
                <w:noProof/>
                <w:sz w:val="22"/>
                <w:szCs w:val="22"/>
                <w:lang w:val="sq-AL"/>
              </w:rPr>
              <w:t>4</w:t>
            </w:r>
            <w:r w:rsidRPr="00641640">
              <w:rPr>
                <w:rFonts w:ascii="Times New Roman" w:hAnsi="Times New Roman" w:cs="Times New Roman"/>
                <w:b/>
                <w:noProof/>
                <w:sz w:val="22"/>
                <w:szCs w:val="22"/>
                <w:lang w:val="sq-AL"/>
              </w:rPr>
              <w:t>.4.2</w:t>
            </w:r>
          </w:p>
        </w:tc>
        <w:tc>
          <w:tcPr>
            <w:tcW w:w="8362" w:type="dxa"/>
            <w:shd w:val="clear" w:color="auto" w:fill="auto"/>
          </w:tcPr>
          <w:p w14:paraId="416123E0" w14:textId="7EE98119" w:rsidR="003748C9" w:rsidRPr="00641640" w:rsidRDefault="00CA6CEB"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Zbatimi i kontrollit post-legjislativ nga Kuvendi jo vetëm mbi ligjet e përafruara me acquis-në e BE-së, por edhe mbi aktet e tjera.</w:t>
            </w:r>
          </w:p>
        </w:tc>
      </w:tr>
      <w:tr w:rsidR="003748C9" w:rsidRPr="00641640" w14:paraId="2E07025D" w14:textId="77777777" w:rsidTr="006B7458">
        <w:tc>
          <w:tcPr>
            <w:tcW w:w="988" w:type="dxa"/>
            <w:shd w:val="clear" w:color="auto" w:fill="C5E0B3" w:themeFill="accent6" w:themeFillTint="66"/>
          </w:tcPr>
          <w:p w14:paraId="09E952E5" w14:textId="2D488459" w:rsidR="003748C9" w:rsidRPr="00641640" w:rsidRDefault="003748C9" w:rsidP="003A395D">
            <w:pPr>
              <w:spacing w:beforeAutospacing="1" w:after="160"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13666D" w:rsidRPr="00641640">
              <w:rPr>
                <w:rFonts w:ascii="Times New Roman" w:hAnsi="Times New Roman" w:cs="Times New Roman"/>
                <w:b/>
                <w:noProof/>
                <w:sz w:val="22"/>
                <w:szCs w:val="22"/>
                <w:lang w:val="sq-AL"/>
              </w:rPr>
              <w:t>4</w:t>
            </w:r>
            <w:r w:rsidRPr="00641640">
              <w:rPr>
                <w:rFonts w:ascii="Times New Roman" w:hAnsi="Times New Roman" w:cs="Times New Roman"/>
                <w:b/>
                <w:noProof/>
                <w:sz w:val="22"/>
                <w:szCs w:val="22"/>
                <w:lang w:val="sq-AL"/>
              </w:rPr>
              <w:t xml:space="preserve">.4.3 </w:t>
            </w:r>
          </w:p>
        </w:tc>
        <w:tc>
          <w:tcPr>
            <w:tcW w:w="8362" w:type="dxa"/>
            <w:shd w:val="clear" w:color="auto" w:fill="auto"/>
          </w:tcPr>
          <w:p w14:paraId="571DD1D0" w14:textId="22977157" w:rsidR="003748C9" w:rsidRPr="00641640" w:rsidRDefault="00B4359C"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Thellimi proaktiv i mbikëqyrjes së angazhimeve të autoriteteve publike të ndërmarra në kuadër të procesit të anëtarësimit nga Kuvendi i Republikës së Shqipërisë.</w:t>
            </w:r>
          </w:p>
        </w:tc>
      </w:tr>
      <w:tr w:rsidR="003748C9" w:rsidRPr="00641640" w14:paraId="07142ACE" w14:textId="77777777" w:rsidTr="006B7458">
        <w:tc>
          <w:tcPr>
            <w:tcW w:w="988" w:type="dxa"/>
            <w:shd w:val="clear" w:color="auto" w:fill="C5E0B3" w:themeFill="accent6" w:themeFillTint="66"/>
          </w:tcPr>
          <w:p w14:paraId="5DF26F8B" w14:textId="6706E117" w:rsidR="003748C9" w:rsidRPr="00641640" w:rsidRDefault="003748C9" w:rsidP="003A395D">
            <w:pPr>
              <w:spacing w:beforeAutospacing="1" w:after="160" w:line="276" w:lineRule="auto"/>
              <w:jc w:val="center"/>
              <w:textAlignment w:val="baseline"/>
              <w:rPr>
                <w:rFonts w:ascii="Times New Roman" w:hAnsi="Times New Roman" w:cs="Times New Roman"/>
                <w:b/>
                <w:noProof/>
                <w:sz w:val="22"/>
                <w:szCs w:val="22"/>
                <w:lang w:val="sq-AL"/>
              </w:rPr>
            </w:pPr>
            <w:r w:rsidRPr="00641640">
              <w:rPr>
                <w:rFonts w:ascii="Times New Roman" w:hAnsi="Times New Roman" w:cs="Times New Roman"/>
                <w:b/>
                <w:noProof/>
                <w:sz w:val="22"/>
                <w:szCs w:val="22"/>
                <w:lang w:val="sq-AL"/>
              </w:rPr>
              <w:t xml:space="preserve">Masa </w:t>
            </w:r>
            <w:r w:rsidR="0013666D" w:rsidRPr="00641640">
              <w:rPr>
                <w:rFonts w:ascii="Times New Roman" w:hAnsi="Times New Roman" w:cs="Times New Roman"/>
                <w:b/>
                <w:noProof/>
                <w:sz w:val="22"/>
                <w:szCs w:val="22"/>
                <w:lang w:val="sq-AL"/>
              </w:rPr>
              <w:t>4</w:t>
            </w:r>
            <w:r w:rsidRPr="00641640">
              <w:rPr>
                <w:rFonts w:ascii="Times New Roman" w:hAnsi="Times New Roman" w:cs="Times New Roman"/>
                <w:b/>
                <w:noProof/>
                <w:sz w:val="22"/>
                <w:szCs w:val="22"/>
                <w:lang w:val="sq-AL"/>
              </w:rPr>
              <w:t>.4.4</w:t>
            </w:r>
          </w:p>
        </w:tc>
        <w:tc>
          <w:tcPr>
            <w:tcW w:w="8362" w:type="dxa"/>
            <w:shd w:val="clear" w:color="auto" w:fill="auto"/>
          </w:tcPr>
          <w:p w14:paraId="38AE0575" w14:textId="120B89CE" w:rsidR="003748C9" w:rsidRPr="00641640" w:rsidRDefault="00B4359C" w:rsidP="003A395D">
            <w:pPr>
              <w:spacing w:beforeAutospacing="1" w:after="160" w:line="276" w:lineRule="auto"/>
              <w:jc w:val="both"/>
              <w:textAlignment w:val="baseline"/>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Fuqizimi i rolit mbikëqyrës së Avokatit të Popullit.</w:t>
            </w:r>
          </w:p>
        </w:tc>
      </w:tr>
    </w:tbl>
    <w:p w14:paraId="600B4ABB" w14:textId="77777777" w:rsidR="003748C9" w:rsidRPr="00641640" w:rsidRDefault="003748C9" w:rsidP="003A395D">
      <w:pPr>
        <w:keepNext/>
        <w:keepLines/>
        <w:spacing w:before="40" w:after="0" w:line="276" w:lineRule="auto"/>
        <w:jc w:val="both"/>
        <w:outlineLvl w:val="3"/>
        <w:rPr>
          <w:rFonts w:ascii="Times New Roman" w:eastAsiaTheme="majorEastAsia" w:hAnsi="Times New Roman" w:cs="Times New Roman"/>
          <w:i/>
          <w:iCs/>
          <w:noProof/>
          <w:color w:val="2F5496" w:themeColor="accent1" w:themeShade="BF"/>
          <w:kern w:val="2"/>
          <w:sz w:val="22"/>
          <w:szCs w:val="22"/>
          <w:lang w:val="sq-AL"/>
          <w14:ligatures w14:val="standardContextual"/>
        </w:rPr>
      </w:pPr>
    </w:p>
    <w:p w14:paraId="2C3ECD2A" w14:textId="77777777" w:rsidR="003748C9" w:rsidRPr="00F102AD" w:rsidRDefault="003748C9" w:rsidP="003A395D">
      <w:pPr>
        <w:spacing w:after="0" w:line="276" w:lineRule="auto"/>
        <w:contextualSpacing/>
        <w:jc w:val="both"/>
        <w:rPr>
          <w:rFonts w:ascii="Times New Roman" w:hAnsi="Times New Roman" w:cs="Times New Roman"/>
          <w:noProof/>
          <w:color w:val="000000" w:themeColor="text1"/>
          <w:sz w:val="14"/>
          <w:szCs w:val="14"/>
          <w:highlight w:val="yellow"/>
          <w:lang w:val="sq-AL"/>
        </w:rPr>
      </w:pPr>
    </w:p>
    <w:p w14:paraId="2CB667DC" w14:textId="71B208CA" w:rsidR="00A31523" w:rsidRDefault="00A31523" w:rsidP="003A395D">
      <w:pPr>
        <w:spacing w:after="0" w:line="276" w:lineRule="auto"/>
        <w:contextualSpacing/>
        <w:jc w:val="both"/>
        <w:rPr>
          <w:rFonts w:ascii="Times New Roman" w:hAnsi="Times New Roman" w:cs="Times New Roman"/>
          <w:noProof/>
          <w:color w:val="000000" w:themeColor="text1"/>
          <w:sz w:val="22"/>
          <w:szCs w:val="22"/>
          <w:highlight w:val="yellow"/>
          <w:lang w:val="sq-AL"/>
        </w:rPr>
      </w:pPr>
    </w:p>
    <w:p w14:paraId="56082B30" w14:textId="126DA961" w:rsidR="00B222B9" w:rsidRDefault="00B222B9" w:rsidP="003A395D">
      <w:pPr>
        <w:spacing w:after="0" w:line="276" w:lineRule="auto"/>
        <w:contextualSpacing/>
        <w:jc w:val="both"/>
        <w:rPr>
          <w:rFonts w:ascii="Times New Roman" w:hAnsi="Times New Roman" w:cs="Times New Roman"/>
          <w:noProof/>
          <w:color w:val="000000" w:themeColor="text1"/>
          <w:sz w:val="22"/>
          <w:szCs w:val="22"/>
          <w:highlight w:val="yellow"/>
          <w:lang w:val="sq-AL"/>
        </w:rPr>
      </w:pPr>
    </w:p>
    <w:p w14:paraId="1407B905" w14:textId="0751B2F0" w:rsidR="00B222B9" w:rsidRDefault="00B222B9" w:rsidP="003A395D">
      <w:pPr>
        <w:spacing w:after="0" w:line="276" w:lineRule="auto"/>
        <w:contextualSpacing/>
        <w:jc w:val="both"/>
        <w:rPr>
          <w:rFonts w:ascii="Times New Roman" w:hAnsi="Times New Roman" w:cs="Times New Roman"/>
          <w:noProof/>
          <w:color w:val="000000" w:themeColor="text1"/>
          <w:sz w:val="22"/>
          <w:szCs w:val="22"/>
          <w:highlight w:val="yellow"/>
          <w:lang w:val="sq-AL"/>
        </w:rPr>
      </w:pPr>
    </w:p>
    <w:p w14:paraId="644A448D" w14:textId="1034CB3D" w:rsidR="00B222B9" w:rsidRDefault="00B222B9" w:rsidP="003A395D">
      <w:pPr>
        <w:spacing w:after="0" w:line="276" w:lineRule="auto"/>
        <w:contextualSpacing/>
        <w:jc w:val="both"/>
        <w:rPr>
          <w:rFonts w:ascii="Times New Roman" w:hAnsi="Times New Roman" w:cs="Times New Roman"/>
          <w:noProof/>
          <w:color w:val="000000" w:themeColor="text1"/>
          <w:sz w:val="22"/>
          <w:szCs w:val="22"/>
          <w:highlight w:val="yellow"/>
          <w:lang w:val="sq-AL"/>
        </w:rPr>
      </w:pPr>
    </w:p>
    <w:p w14:paraId="546599DB" w14:textId="58CC5753" w:rsidR="00B222B9" w:rsidRDefault="00B222B9" w:rsidP="003A395D">
      <w:pPr>
        <w:spacing w:after="0" w:line="276" w:lineRule="auto"/>
        <w:contextualSpacing/>
        <w:jc w:val="both"/>
        <w:rPr>
          <w:rFonts w:ascii="Times New Roman" w:hAnsi="Times New Roman" w:cs="Times New Roman"/>
          <w:noProof/>
          <w:color w:val="000000" w:themeColor="text1"/>
          <w:sz w:val="22"/>
          <w:szCs w:val="22"/>
          <w:highlight w:val="yellow"/>
          <w:lang w:val="sq-AL"/>
        </w:rPr>
      </w:pPr>
    </w:p>
    <w:p w14:paraId="323EF327" w14:textId="3402FD81" w:rsidR="00B222B9" w:rsidRDefault="00B222B9" w:rsidP="003A395D">
      <w:pPr>
        <w:spacing w:after="0" w:line="276" w:lineRule="auto"/>
        <w:contextualSpacing/>
        <w:jc w:val="both"/>
        <w:rPr>
          <w:rFonts w:ascii="Times New Roman" w:hAnsi="Times New Roman" w:cs="Times New Roman"/>
          <w:noProof/>
          <w:color w:val="000000" w:themeColor="text1"/>
          <w:sz w:val="22"/>
          <w:szCs w:val="22"/>
          <w:highlight w:val="yellow"/>
          <w:lang w:val="sq-AL"/>
        </w:rPr>
      </w:pPr>
    </w:p>
    <w:p w14:paraId="71C40BA3" w14:textId="08FF5AE3" w:rsidR="00B222B9" w:rsidRDefault="00B222B9" w:rsidP="003A395D">
      <w:pPr>
        <w:spacing w:after="0" w:line="276" w:lineRule="auto"/>
        <w:contextualSpacing/>
        <w:jc w:val="both"/>
        <w:rPr>
          <w:rFonts w:ascii="Times New Roman" w:hAnsi="Times New Roman" w:cs="Times New Roman"/>
          <w:noProof/>
          <w:color w:val="000000" w:themeColor="text1"/>
          <w:sz w:val="22"/>
          <w:szCs w:val="22"/>
          <w:highlight w:val="yellow"/>
          <w:lang w:val="sq-AL"/>
        </w:rPr>
      </w:pPr>
    </w:p>
    <w:p w14:paraId="474E74E1" w14:textId="27E6C158" w:rsidR="00B222B9" w:rsidRDefault="00B222B9" w:rsidP="003A395D">
      <w:pPr>
        <w:spacing w:after="0" w:line="276" w:lineRule="auto"/>
        <w:contextualSpacing/>
        <w:jc w:val="both"/>
        <w:rPr>
          <w:rFonts w:ascii="Times New Roman" w:hAnsi="Times New Roman" w:cs="Times New Roman"/>
          <w:noProof/>
          <w:color w:val="000000" w:themeColor="text1"/>
          <w:sz w:val="22"/>
          <w:szCs w:val="22"/>
          <w:highlight w:val="yellow"/>
          <w:lang w:val="sq-AL"/>
        </w:rPr>
      </w:pPr>
    </w:p>
    <w:p w14:paraId="5A940C22" w14:textId="77777777" w:rsidR="00B222B9" w:rsidRPr="00641640" w:rsidRDefault="00B222B9" w:rsidP="003A395D">
      <w:pPr>
        <w:spacing w:after="0" w:line="276" w:lineRule="auto"/>
        <w:contextualSpacing/>
        <w:jc w:val="both"/>
        <w:rPr>
          <w:rFonts w:ascii="Times New Roman" w:hAnsi="Times New Roman" w:cs="Times New Roman"/>
          <w:noProof/>
          <w:color w:val="000000" w:themeColor="text1"/>
          <w:sz w:val="22"/>
          <w:szCs w:val="22"/>
          <w:highlight w:val="yellow"/>
          <w:lang w:val="sq-AL"/>
        </w:rPr>
      </w:pPr>
    </w:p>
    <w:p w14:paraId="473E0924" w14:textId="5A8E6FC6" w:rsidR="00C369F2" w:rsidRPr="00641640" w:rsidRDefault="00C369F2" w:rsidP="003A395D">
      <w:pPr>
        <w:spacing w:line="276" w:lineRule="auto"/>
        <w:jc w:val="both"/>
        <w:rPr>
          <w:rFonts w:ascii="Times New Roman" w:hAnsi="Times New Roman" w:cs="Times New Roman"/>
          <w:b/>
          <w:bCs/>
          <w:noProof/>
          <w:sz w:val="22"/>
          <w:szCs w:val="22"/>
          <w:lang w:val="sq-AL"/>
        </w:rPr>
      </w:pPr>
      <w:r w:rsidRPr="00641640">
        <w:rPr>
          <w:rFonts w:ascii="Times New Roman" w:hAnsi="Times New Roman" w:cs="Times New Roman"/>
          <w:b/>
          <w:bCs/>
          <w:noProof/>
          <w:sz w:val="22"/>
          <w:szCs w:val="22"/>
          <w:lang w:val="sq-AL"/>
        </w:rPr>
        <w:lastRenderedPageBreak/>
        <w:t>Lidhja e treguesve kryesorë të performancës më Qëllimin e Politikës I</w:t>
      </w:r>
      <w:r w:rsidR="0013666D" w:rsidRPr="00641640">
        <w:rPr>
          <w:rFonts w:ascii="Times New Roman" w:hAnsi="Times New Roman" w:cs="Times New Roman"/>
          <w:b/>
          <w:bCs/>
          <w:noProof/>
          <w:sz w:val="22"/>
          <w:szCs w:val="22"/>
          <w:lang w:val="sq-AL"/>
        </w:rPr>
        <w:t>V</w:t>
      </w:r>
      <w:r w:rsidRPr="00641640">
        <w:rPr>
          <w:rFonts w:ascii="Times New Roman" w:hAnsi="Times New Roman" w:cs="Times New Roman"/>
          <w:b/>
          <w:bCs/>
          <w:noProof/>
          <w:sz w:val="22"/>
          <w:szCs w:val="22"/>
          <w:lang w:val="sq-AL"/>
        </w:rPr>
        <w:t xml:space="preserve">, Objektivin Specifik </w:t>
      </w:r>
      <w:r w:rsidR="007E5090" w:rsidRPr="00641640">
        <w:rPr>
          <w:rFonts w:ascii="Times New Roman" w:hAnsi="Times New Roman" w:cs="Times New Roman"/>
          <w:b/>
          <w:bCs/>
          <w:noProof/>
          <w:sz w:val="22"/>
          <w:szCs w:val="22"/>
          <w:lang w:val="sq-AL"/>
        </w:rPr>
        <w:t>4.4</w:t>
      </w:r>
      <w:r w:rsidRPr="00641640">
        <w:rPr>
          <w:rFonts w:ascii="Times New Roman" w:hAnsi="Times New Roman" w:cs="Times New Roman"/>
          <w:b/>
          <w:bCs/>
          <w:noProof/>
          <w:sz w:val="22"/>
          <w:szCs w:val="22"/>
          <w:lang w:val="sq-AL"/>
        </w:rPr>
        <w:t xml:space="preserve"> dhe institucionet përgjegjëse.</w:t>
      </w:r>
    </w:p>
    <w:tbl>
      <w:tblPr>
        <w:tblStyle w:val="TableGrid"/>
        <w:tblW w:w="93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2"/>
        <w:gridCol w:w="1980"/>
        <w:gridCol w:w="2160"/>
        <w:gridCol w:w="2340"/>
        <w:gridCol w:w="1890"/>
      </w:tblGrid>
      <w:tr w:rsidR="00C369F2" w:rsidRPr="00641640" w14:paraId="341431DB" w14:textId="77777777" w:rsidTr="006B7458">
        <w:trPr>
          <w:trHeight w:val="15"/>
        </w:trPr>
        <w:tc>
          <w:tcPr>
            <w:tcW w:w="982" w:type="dxa"/>
            <w:shd w:val="clear" w:color="auto" w:fill="C5E0B3" w:themeFill="accent6" w:themeFillTint="66"/>
            <w:tcMar>
              <w:top w:w="15" w:type="dxa"/>
              <w:left w:w="75" w:type="dxa"/>
              <w:bottom w:w="15" w:type="dxa"/>
              <w:right w:w="75" w:type="dxa"/>
            </w:tcMar>
          </w:tcPr>
          <w:p w14:paraId="31F173E2"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p>
          <w:p w14:paraId="16F77BB9"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Lloji i treguesit</w:t>
            </w:r>
          </w:p>
        </w:tc>
        <w:tc>
          <w:tcPr>
            <w:tcW w:w="1980" w:type="dxa"/>
            <w:shd w:val="clear" w:color="auto" w:fill="C5E0B3" w:themeFill="accent6" w:themeFillTint="66"/>
            <w:tcMar>
              <w:top w:w="15" w:type="dxa"/>
              <w:left w:w="75" w:type="dxa"/>
              <w:bottom w:w="15" w:type="dxa"/>
              <w:right w:w="75" w:type="dxa"/>
            </w:tcMar>
          </w:tcPr>
          <w:p w14:paraId="2F521AC9"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p>
          <w:p w14:paraId="7BDA5BCB"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Emërtimi i treguesit të performancës</w:t>
            </w:r>
          </w:p>
          <w:p w14:paraId="03008598" w14:textId="77777777" w:rsidR="00C369F2" w:rsidRPr="00641640" w:rsidRDefault="00C369F2" w:rsidP="003A395D">
            <w:pPr>
              <w:spacing w:line="276" w:lineRule="auto"/>
              <w:jc w:val="center"/>
              <w:rPr>
                <w:rFonts w:ascii="Times New Roman" w:eastAsia="Arial" w:hAnsi="Times New Roman" w:cs="Times New Roman"/>
                <w:noProof/>
                <w:sz w:val="22"/>
                <w:szCs w:val="22"/>
                <w:lang w:val="sq-AL"/>
              </w:rPr>
            </w:pPr>
          </w:p>
        </w:tc>
        <w:tc>
          <w:tcPr>
            <w:tcW w:w="2160" w:type="dxa"/>
            <w:shd w:val="clear" w:color="auto" w:fill="C5E0B3" w:themeFill="accent6" w:themeFillTint="66"/>
          </w:tcPr>
          <w:p w14:paraId="4611BBA9"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p>
          <w:p w14:paraId="31591904"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Qëllimin e Politikës</w:t>
            </w:r>
          </w:p>
        </w:tc>
        <w:tc>
          <w:tcPr>
            <w:tcW w:w="2340" w:type="dxa"/>
            <w:shd w:val="clear" w:color="auto" w:fill="C5E0B3" w:themeFill="accent6" w:themeFillTint="66"/>
          </w:tcPr>
          <w:p w14:paraId="42217808"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p>
          <w:p w14:paraId="1906B2FC"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Lidhja me Objektivin Specifik</w:t>
            </w:r>
          </w:p>
        </w:tc>
        <w:tc>
          <w:tcPr>
            <w:tcW w:w="1890" w:type="dxa"/>
            <w:shd w:val="clear" w:color="auto" w:fill="C5E0B3" w:themeFill="accent6" w:themeFillTint="66"/>
            <w:tcMar>
              <w:top w:w="15" w:type="dxa"/>
              <w:left w:w="75" w:type="dxa"/>
              <w:bottom w:w="15" w:type="dxa"/>
              <w:right w:w="75" w:type="dxa"/>
            </w:tcMar>
          </w:tcPr>
          <w:p w14:paraId="310D2C7D" w14:textId="77777777" w:rsidR="00C369F2" w:rsidRPr="00641640" w:rsidRDefault="00C369F2" w:rsidP="003A395D">
            <w:pPr>
              <w:spacing w:line="276" w:lineRule="auto"/>
              <w:jc w:val="center"/>
              <w:rPr>
                <w:rFonts w:ascii="Times New Roman" w:eastAsia="Arial" w:hAnsi="Times New Roman" w:cs="Times New Roman"/>
                <w:noProof/>
                <w:sz w:val="22"/>
                <w:szCs w:val="22"/>
                <w:lang w:val="sq-AL"/>
              </w:rPr>
            </w:pPr>
          </w:p>
          <w:p w14:paraId="61708110" w14:textId="77777777" w:rsidR="00C369F2" w:rsidRPr="00641640" w:rsidRDefault="00C369F2"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b/>
                <w:bCs/>
                <w:noProof/>
                <w:sz w:val="22"/>
                <w:szCs w:val="22"/>
                <w:lang w:val="sq-AL"/>
              </w:rPr>
              <w:t>Institucioni përgjegjës</w:t>
            </w:r>
          </w:p>
        </w:tc>
      </w:tr>
      <w:tr w:rsidR="0013666D" w:rsidRPr="00641640" w14:paraId="0C6258C0" w14:textId="77777777" w:rsidTr="0013666D">
        <w:trPr>
          <w:trHeight w:val="965"/>
        </w:trPr>
        <w:tc>
          <w:tcPr>
            <w:tcW w:w="982" w:type="dxa"/>
            <w:shd w:val="clear" w:color="auto" w:fill="auto"/>
            <w:tcMar>
              <w:top w:w="15" w:type="dxa"/>
              <w:left w:w="75" w:type="dxa"/>
              <w:bottom w:w="15" w:type="dxa"/>
              <w:right w:w="75" w:type="dxa"/>
            </w:tcMar>
          </w:tcPr>
          <w:p w14:paraId="0C4DAB9D" w14:textId="77777777" w:rsidR="002F022B" w:rsidRPr="00641640" w:rsidRDefault="002F022B" w:rsidP="003A395D">
            <w:pPr>
              <w:spacing w:line="276" w:lineRule="auto"/>
              <w:rPr>
                <w:rFonts w:ascii="Times New Roman" w:hAnsi="Times New Roman" w:cs="Times New Roman"/>
                <w:noProof/>
                <w:sz w:val="22"/>
                <w:szCs w:val="22"/>
                <w:lang w:val="sq-AL"/>
              </w:rPr>
            </w:pPr>
          </w:p>
          <w:p w14:paraId="2BD98EB9" w14:textId="7E7C942E" w:rsidR="0013666D" w:rsidRPr="00641640" w:rsidRDefault="00E6613C"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Rezultati</w:t>
            </w:r>
          </w:p>
        </w:tc>
        <w:tc>
          <w:tcPr>
            <w:tcW w:w="1980" w:type="dxa"/>
            <w:shd w:val="clear" w:color="auto" w:fill="auto"/>
            <w:tcMar>
              <w:top w:w="15" w:type="dxa"/>
              <w:left w:w="75" w:type="dxa"/>
              <w:bottom w:w="15" w:type="dxa"/>
              <w:right w:w="75" w:type="dxa"/>
            </w:tcMar>
          </w:tcPr>
          <w:p w14:paraId="6F02B288" w14:textId="77777777" w:rsidR="002F022B" w:rsidRPr="00641640" w:rsidRDefault="002F022B" w:rsidP="003A395D">
            <w:pPr>
              <w:spacing w:line="276" w:lineRule="auto"/>
              <w:rPr>
                <w:rFonts w:ascii="Times New Roman" w:hAnsi="Times New Roman" w:cs="Times New Roman"/>
                <w:noProof/>
                <w:sz w:val="22"/>
                <w:szCs w:val="22"/>
                <w:lang w:val="sq-AL"/>
              </w:rPr>
            </w:pPr>
          </w:p>
          <w:p w14:paraId="54452A8B" w14:textId="28B74D13" w:rsidR="0013666D" w:rsidRPr="00641640" w:rsidRDefault="0095639B"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 xml:space="preserve">4.4.1 </w:t>
            </w:r>
            <w:r w:rsidR="004F5BC9">
              <w:rPr>
                <w:rFonts w:ascii="Times New Roman" w:hAnsi="Times New Roman" w:cs="Times New Roman"/>
                <w:noProof/>
                <w:sz w:val="22"/>
                <w:szCs w:val="22"/>
                <w:lang w:val="sq-AL"/>
              </w:rPr>
              <w:t>N</w:t>
            </w:r>
            <w:r w:rsidRPr="00641640">
              <w:rPr>
                <w:rFonts w:ascii="Times New Roman" w:hAnsi="Times New Roman" w:cs="Times New Roman"/>
                <w:noProof/>
                <w:sz w:val="22"/>
                <w:szCs w:val="22"/>
                <w:lang w:val="sq-AL"/>
              </w:rPr>
              <w:t xml:space="preserve">iveli </w:t>
            </w:r>
            <w:r w:rsidR="004F5BC9">
              <w:rPr>
                <w:rFonts w:ascii="Times New Roman" w:hAnsi="Times New Roman" w:cs="Times New Roman"/>
                <w:noProof/>
                <w:sz w:val="22"/>
                <w:szCs w:val="22"/>
                <w:lang w:val="sq-AL"/>
              </w:rPr>
              <w:t>i</w:t>
            </w:r>
            <w:r w:rsidRPr="00641640">
              <w:rPr>
                <w:rFonts w:ascii="Times New Roman" w:hAnsi="Times New Roman" w:cs="Times New Roman"/>
                <w:noProof/>
                <w:sz w:val="22"/>
                <w:szCs w:val="22"/>
                <w:lang w:val="sq-AL"/>
              </w:rPr>
              <w:t xml:space="preserve"> zbatimit të </w:t>
            </w:r>
            <w:r w:rsidR="001E12F1">
              <w:rPr>
                <w:rFonts w:ascii="Times New Roman" w:hAnsi="Times New Roman" w:cs="Times New Roman"/>
                <w:noProof/>
                <w:sz w:val="22"/>
                <w:szCs w:val="22"/>
                <w:lang w:val="sq-AL"/>
              </w:rPr>
              <w:t>nën</w:t>
            </w:r>
            <w:r w:rsidRPr="00641640">
              <w:rPr>
                <w:rFonts w:ascii="Times New Roman" w:hAnsi="Times New Roman" w:cs="Times New Roman"/>
                <w:noProof/>
                <w:sz w:val="22"/>
                <w:szCs w:val="22"/>
                <w:lang w:val="sq-AL"/>
              </w:rPr>
              <w:t>rekomandimeve të Avokatit të Popullit</w:t>
            </w:r>
            <w:r w:rsidR="00F32142">
              <w:rPr>
                <w:rFonts w:ascii="Times New Roman" w:hAnsi="Times New Roman" w:cs="Times New Roman"/>
                <w:noProof/>
                <w:sz w:val="22"/>
                <w:szCs w:val="22"/>
                <w:lang w:val="sq-AL"/>
              </w:rPr>
              <w:t>.</w:t>
            </w:r>
          </w:p>
        </w:tc>
        <w:tc>
          <w:tcPr>
            <w:tcW w:w="2160" w:type="dxa"/>
            <w:shd w:val="clear" w:color="auto" w:fill="auto"/>
          </w:tcPr>
          <w:p w14:paraId="5EDBF54C" w14:textId="77777777" w:rsidR="002F022B" w:rsidRPr="00641640" w:rsidRDefault="002F022B" w:rsidP="003A395D">
            <w:pPr>
              <w:spacing w:line="276" w:lineRule="auto"/>
              <w:rPr>
                <w:rFonts w:ascii="Times New Roman" w:eastAsia="Arial" w:hAnsi="Times New Roman" w:cs="Times New Roman"/>
                <w:noProof/>
                <w:sz w:val="22"/>
                <w:szCs w:val="22"/>
                <w:lang w:val="sq-AL"/>
              </w:rPr>
            </w:pPr>
          </w:p>
          <w:p w14:paraId="7C7E0071" w14:textId="4EB5B35D" w:rsidR="0013666D" w:rsidRPr="00641640" w:rsidRDefault="0095639B"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Organizimi, llogaridhënia dhe mbikëqyrja e administratës</w:t>
            </w:r>
          </w:p>
        </w:tc>
        <w:tc>
          <w:tcPr>
            <w:tcW w:w="2340" w:type="dxa"/>
            <w:shd w:val="clear" w:color="auto" w:fill="auto"/>
          </w:tcPr>
          <w:p w14:paraId="37D05975" w14:textId="77777777" w:rsidR="002F022B" w:rsidRPr="00641640" w:rsidRDefault="002F022B" w:rsidP="003A395D">
            <w:pPr>
              <w:spacing w:line="276" w:lineRule="auto"/>
              <w:rPr>
                <w:rFonts w:ascii="Times New Roman" w:eastAsia="Arial" w:hAnsi="Times New Roman" w:cs="Times New Roman"/>
                <w:noProof/>
                <w:sz w:val="22"/>
                <w:szCs w:val="22"/>
                <w:lang w:val="sq-AL"/>
              </w:rPr>
            </w:pPr>
          </w:p>
          <w:p w14:paraId="08E3E91D" w14:textId="375E4D83" w:rsidR="0013666D" w:rsidRPr="00641640" w:rsidRDefault="00481E06"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4.4 Fuqizimi i mbikëqyrjes së jashtme të administratës publike në mënyrë proaktive nga Kuvendi dhe institucionet e pavarura mbi zbatimin e politikave dhe detyrimeve nga ana e qeverisë.</w:t>
            </w:r>
          </w:p>
        </w:tc>
        <w:tc>
          <w:tcPr>
            <w:tcW w:w="1890" w:type="dxa"/>
            <w:shd w:val="clear" w:color="auto" w:fill="auto"/>
            <w:tcMar>
              <w:top w:w="15" w:type="dxa"/>
              <w:left w:w="75" w:type="dxa"/>
              <w:bottom w:w="15" w:type="dxa"/>
              <w:right w:w="75" w:type="dxa"/>
            </w:tcMar>
          </w:tcPr>
          <w:p w14:paraId="7F824499" w14:textId="77777777" w:rsidR="002F022B" w:rsidRPr="00641640" w:rsidRDefault="002F022B" w:rsidP="003A395D">
            <w:pPr>
              <w:spacing w:line="276" w:lineRule="auto"/>
              <w:jc w:val="center"/>
              <w:rPr>
                <w:rFonts w:ascii="Times New Roman" w:eastAsia="Arial" w:hAnsi="Times New Roman" w:cs="Times New Roman"/>
                <w:noProof/>
                <w:sz w:val="22"/>
                <w:szCs w:val="22"/>
                <w:lang w:val="sq-AL"/>
              </w:rPr>
            </w:pPr>
          </w:p>
          <w:p w14:paraId="2A72ACF7" w14:textId="4F04A031" w:rsidR="0013666D" w:rsidRPr="00641640" w:rsidRDefault="00481E06" w:rsidP="003A395D">
            <w:pPr>
              <w:spacing w:line="276" w:lineRule="auto"/>
              <w:jc w:val="center"/>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Avokati i Popullit</w:t>
            </w:r>
          </w:p>
        </w:tc>
      </w:tr>
      <w:tr w:rsidR="00C369F2" w:rsidRPr="00641640" w14:paraId="68794505" w14:textId="77777777" w:rsidTr="006B7458">
        <w:trPr>
          <w:trHeight w:val="3368"/>
        </w:trPr>
        <w:tc>
          <w:tcPr>
            <w:tcW w:w="982" w:type="dxa"/>
            <w:shd w:val="clear" w:color="auto" w:fill="auto"/>
            <w:tcMar>
              <w:top w:w="15" w:type="dxa"/>
              <w:left w:w="75" w:type="dxa"/>
              <w:bottom w:w="15" w:type="dxa"/>
              <w:right w:w="75" w:type="dxa"/>
            </w:tcMar>
          </w:tcPr>
          <w:p w14:paraId="77C6AD58" w14:textId="77777777" w:rsidR="00C369F2" w:rsidRPr="00641640" w:rsidRDefault="00C369F2" w:rsidP="003A395D">
            <w:pPr>
              <w:spacing w:line="276" w:lineRule="auto"/>
              <w:rPr>
                <w:rFonts w:ascii="Times New Roman" w:hAnsi="Times New Roman" w:cs="Times New Roman"/>
                <w:noProof/>
                <w:sz w:val="22"/>
                <w:szCs w:val="22"/>
                <w:lang w:val="sq-AL"/>
              </w:rPr>
            </w:pPr>
          </w:p>
          <w:p w14:paraId="1BF5110B" w14:textId="77777777" w:rsidR="00C369F2" w:rsidRPr="00641640" w:rsidRDefault="00C369F2" w:rsidP="003A395D">
            <w:pPr>
              <w:spacing w:line="276" w:lineRule="auto"/>
              <w:rPr>
                <w:rFonts w:ascii="Times New Roman" w:hAnsi="Times New Roman" w:cs="Times New Roman"/>
                <w:noProof/>
                <w:color w:val="ED7D31" w:themeColor="accent2"/>
                <w:sz w:val="22"/>
                <w:szCs w:val="22"/>
                <w:lang w:val="sq-AL"/>
              </w:rPr>
            </w:pPr>
            <w:r w:rsidRPr="00641640">
              <w:rPr>
                <w:rFonts w:ascii="Times New Roman" w:hAnsi="Times New Roman" w:cs="Times New Roman"/>
                <w:noProof/>
                <w:sz w:val="22"/>
                <w:szCs w:val="22"/>
                <w:lang w:val="sq-AL"/>
              </w:rPr>
              <w:t>Rezultati</w:t>
            </w:r>
          </w:p>
        </w:tc>
        <w:tc>
          <w:tcPr>
            <w:tcW w:w="1980" w:type="dxa"/>
            <w:shd w:val="clear" w:color="auto" w:fill="auto"/>
            <w:tcMar>
              <w:top w:w="15" w:type="dxa"/>
              <w:left w:w="75" w:type="dxa"/>
              <w:bottom w:w="15" w:type="dxa"/>
              <w:right w:w="75" w:type="dxa"/>
            </w:tcMar>
          </w:tcPr>
          <w:p w14:paraId="57E4C594" w14:textId="77777777" w:rsidR="002F022B" w:rsidRPr="00641640" w:rsidRDefault="002F022B" w:rsidP="003A395D">
            <w:pPr>
              <w:spacing w:line="276" w:lineRule="auto"/>
              <w:rPr>
                <w:rFonts w:ascii="Times New Roman" w:hAnsi="Times New Roman" w:cs="Times New Roman"/>
                <w:noProof/>
                <w:sz w:val="22"/>
                <w:szCs w:val="22"/>
                <w:lang w:val="sq-AL"/>
              </w:rPr>
            </w:pPr>
          </w:p>
          <w:p w14:paraId="239B8114" w14:textId="37A4A903" w:rsidR="00C369F2" w:rsidRPr="00641640" w:rsidRDefault="00E6613C"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 xml:space="preserve">4.4.2 </w:t>
            </w:r>
            <w:r w:rsidR="00520D22">
              <w:rPr>
                <w:rFonts w:ascii="Times New Roman" w:hAnsi="Times New Roman" w:cs="Times New Roman"/>
                <w:noProof/>
                <w:sz w:val="22"/>
                <w:szCs w:val="22"/>
                <w:lang w:val="sq-AL"/>
              </w:rPr>
              <w:t>N</w:t>
            </w:r>
            <w:r w:rsidRPr="00641640">
              <w:rPr>
                <w:rFonts w:ascii="Times New Roman" w:hAnsi="Times New Roman" w:cs="Times New Roman"/>
                <w:noProof/>
                <w:sz w:val="22"/>
                <w:szCs w:val="22"/>
                <w:lang w:val="sq-AL"/>
              </w:rPr>
              <w:t>iveli</w:t>
            </w:r>
            <w:r w:rsidR="00520D22">
              <w:rPr>
                <w:rFonts w:ascii="Times New Roman" w:hAnsi="Times New Roman" w:cs="Times New Roman"/>
                <w:noProof/>
                <w:sz w:val="22"/>
                <w:szCs w:val="22"/>
                <w:lang w:val="sq-AL"/>
              </w:rPr>
              <w:t xml:space="preserve"> i</w:t>
            </w:r>
            <w:r w:rsidRPr="00641640">
              <w:rPr>
                <w:rFonts w:ascii="Times New Roman" w:hAnsi="Times New Roman" w:cs="Times New Roman"/>
                <w:noProof/>
                <w:sz w:val="22"/>
                <w:szCs w:val="22"/>
                <w:lang w:val="sq-AL"/>
              </w:rPr>
              <w:t xml:space="preserve"> rekomandimeve të Avokatit të Popullit të cilat nuk marrin përgjigje.</w:t>
            </w:r>
          </w:p>
          <w:p w14:paraId="4AB1AEC0" w14:textId="1F437226" w:rsidR="00C369F2" w:rsidRPr="00641640" w:rsidRDefault="00C369F2" w:rsidP="003A395D">
            <w:pPr>
              <w:spacing w:line="276" w:lineRule="auto"/>
              <w:rPr>
                <w:rFonts w:ascii="Times New Roman" w:eastAsiaTheme="minorHAnsi" w:hAnsi="Times New Roman" w:cs="Times New Roman"/>
                <w:b/>
                <w:bCs/>
                <w:noProof/>
                <w:sz w:val="22"/>
                <w:szCs w:val="22"/>
                <w:lang w:val="sq-AL"/>
              </w:rPr>
            </w:pPr>
          </w:p>
        </w:tc>
        <w:tc>
          <w:tcPr>
            <w:tcW w:w="2160" w:type="dxa"/>
            <w:shd w:val="clear" w:color="auto" w:fill="auto"/>
          </w:tcPr>
          <w:p w14:paraId="1D89D55E" w14:textId="77777777" w:rsidR="00C369F2" w:rsidRPr="00641640" w:rsidRDefault="00C369F2" w:rsidP="003A395D">
            <w:pPr>
              <w:spacing w:line="276" w:lineRule="auto"/>
              <w:rPr>
                <w:rFonts w:ascii="Times New Roman" w:eastAsia="Arial" w:hAnsi="Times New Roman" w:cs="Times New Roman"/>
                <w:noProof/>
                <w:sz w:val="22"/>
                <w:szCs w:val="22"/>
                <w:lang w:val="sq-AL"/>
              </w:rPr>
            </w:pPr>
          </w:p>
          <w:p w14:paraId="4BCB33EA" w14:textId="36A22467" w:rsidR="00C369F2" w:rsidRPr="00641640" w:rsidRDefault="00770FFC" w:rsidP="003A395D">
            <w:pPr>
              <w:spacing w:line="276" w:lineRule="auto"/>
              <w:rPr>
                <w:rFonts w:ascii="Times New Roman" w:eastAsia="Arial" w:hAnsi="Times New Roman" w:cs="Times New Roman"/>
                <w:b/>
                <w:bCs/>
                <w:noProof/>
                <w:sz w:val="22"/>
                <w:szCs w:val="22"/>
                <w:lang w:val="sq-AL"/>
              </w:rPr>
            </w:pPr>
            <w:r w:rsidRPr="00641640">
              <w:rPr>
                <w:rFonts w:ascii="Times New Roman" w:eastAsia="Arial" w:hAnsi="Times New Roman" w:cs="Times New Roman"/>
                <w:noProof/>
                <w:sz w:val="22"/>
                <w:szCs w:val="22"/>
                <w:lang w:val="sq-AL"/>
              </w:rPr>
              <w:t>Organizimi, llogaridhënia dhe mbikëqyrja e administratës</w:t>
            </w:r>
          </w:p>
        </w:tc>
        <w:tc>
          <w:tcPr>
            <w:tcW w:w="2340" w:type="dxa"/>
            <w:shd w:val="clear" w:color="auto" w:fill="auto"/>
          </w:tcPr>
          <w:p w14:paraId="4D937DC3" w14:textId="77777777" w:rsidR="00C369F2" w:rsidRPr="00641640" w:rsidRDefault="00C369F2" w:rsidP="003A395D">
            <w:pPr>
              <w:spacing w:line="276" w:lineRule="auto"/>
              <w:rPr>
                <w:rFonts w:ascii="Times New Roman" w:eastAsia="Arial" w:hAnsi="Times New Roman" w:cs="Times New Roman"/>
                <w:noProof/>
                <w:sz w:val="22"/>
                <w:szCs w:val="22"/>
                <w:lang w:val="sq-AL"/>
              </w:rPr>
            </w:pPr>
          </w:p>
          <w:p w14:paraId="2E4C6EF1" w14:textId="5F516C4C" w:rsidR="00C369F2" w:rsidRPr="00641640" w:rsidRDefault="00841905" w:rsidP="003A395D">
            <w:pPr>
              <w:spacing w:line="276" w:lineRule="auto"/>
              <w:rPr>
                <w:rFonts w:ascii="Times New Roman" w:eastAsia="Arial" w:hAnsi="Times New Roman" w:cs="Times New Roman"/>
                <w:noProof/>
                <w:sz w:val="22"/>
                <w:szCs w:val="22"/>
                <w:lang w:val="sq-AL"/>
              </w:rPr>
            </w:pPr>
            <w:r>
              <w:rPr>
                <w:rFonts w:ascii="Times New Roman" w:eastAsia="Arial" w:hAnsi="Times New Roman" w:cs="Times New Roman"/>
                <w:noProof/>
                <w:sz w:val="22"/>
                <w:szCs w:val="22"/>
                <w:lang w:val="sq-AL"/>
              </w:rPr>
              <w:t xml:space="preserve">4.4 </w:t>
            </w:r>
            <w:r w:rsidR="0033384C" w:rsidRPr="00641640">
              <w:rPr>
                <w:rFonts w:ascii="Times New Roman" w:eastAsia="Arial" w:hAnsi="Times New Roman" w:cs="Times New Roman"/>
                <w:noProof/>
                <w:sz w:val="22"/>
                <w:szCs w:val="22"/>
                <w:lang w:val="sq-AL"/>
              </w:rPr>
              <w:t>Fuqizimi i mbikëqyrjes së jashtme të administratës publike në mënyrë proaktive nga Kuvendi dhe institucionet e pavarura mbi zbatimin e politikave dhe detyrimeve nga ana e qeverisë.</w:t>
            </w:r>
          </w:p>
        </w:tc>
        <w:tc>
          <w:tcPr>
            <w:tcW w:w="1890" w:type="dxa"/>
            <w:shd w:val="clear" w:color="auto" w:fill="auto"/>
            <w:tcMar>
              <w:top w:w="15" w:type="dxa"/>
              <w:left w:w="75" w:type="dxa"/>
              <w:bottom w:w="15" w:type="dxa"/>
              <w:right w:w="75" w:type="dxa"/>
            </w:tcMar>
          </w:tcPr>
          <w:p w14:paraId="4548E9DE" w14:textId="77777777" w:rsidR="00C369F2" w:rsidRPr="00641640" w:rsidRDefault="00C369F2" w:rsidP="003A395D">
            <w:pPr>
              <w:spacing w:line="276" w:lineRule="auto"/>
              <w:jc w:val="center"/>
              <w:rPr>
                <w:rFonts w:ascii="Times New Roman" w:eastAsia="Arial" w:hAnsi="Times New Roman" w:cs="Times New Roman"/>
                <w:noProof/>
                <w:sz w:val="22"/>
                <w:szCs w:val="22"/>
                <w:lang w:val="sq-AL"/>
              </w:rPr>
            </w:pPr>
          </w:p>
          <w:p w14:paraId="66085387" w14:textId="668EFA38" w:rsidR="00C369F2" w:rsidRPr="00641640" w:rsidRDefault="00833BEC" w:rsidP="003A395D">
            <w:pPr>
              <w:spacing w:line="276" w:lineRule="auto"/>
              <w:jc w:val="center"/>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Avokati i Popullit</w:t>
            </w:r>
          </w:p>
        </w:tc>
      </w:tr>
      <w:tr w:rsidR="00EF08BD" w:rsidRPr="00641640" w14:paraId="18BB6EDE" w14:textId="77777777" w:rsidTr="006B7458">
        <w:trPr>
          <w:trHeight w:val="3368"/>
        </w:trPr>
        <w:tc>
          <w:tcPr>
            <w:tcW w:w="982" w:type="dxa"/>
            <w:shd w:val="clear" w:color="auto" w:fill="auto"/>
            <w:tcMar>
              <w:top w:w="15" w:type="dxa"/>
              <w:left w:w="75" w:type="dxa"/>
              <w:bottom w:w="15" w:type="dxa"/>
              <w:right w:w="75" w:type="dxa"/>
            </w:tcMar>
          </w:tcPr>
          <w:p w14:paraId="2DA5F443" w14:textId="77777777" w:rsidR="00EF08BD" w:rsidRDefault="00EF08BD" w:rsidP="003A395D">
            <w:pPr>
              <w:spacing w:line="276" w:lineRule="auto"/>
              <w:rPr>
                <w:rFonts w:ascii="Times New Roman" w:hAnsi="Times New Roman" w:cs="Times New Roman"/>
                <w:noProof/>
                <w:sz w:val="22"/>
                <w:szCs w:val="22"/>
                <w:lang w:val="sq-AL"/>
              </w:rPr>
            </w:pPr>
          </w:p>
          <w:p w14:paraId="01DD9A44" w14:textId="5988C76F" w:rsidR="00EF08BD" w:rsidRPr="00641640" w:rsidRDefault="00EF08BD" w:rsidP="003A395D">
            <w:pPr>
              <w:spacing w:line="276" w:lineRule="auto"/>
              <w:rPr>
                <w:rFonts w:ascii="Times New Roman" w:hAnsi="Times New Roman" w:cs="Times New Roman"/>
                <w:noProof/>
                <w:sz w:val="22"/>
                <w:szCs w:val="22"/>
                <w:lang w:val="sq-AL"/>
              </w:rPr>
            </w:pPr>
            <w:r>
              <w:rPr>
                <w:rFonts w:ascii="Times New Roman" w:hAnsi="Times New Roman" w:cs="Times New Roman"/>
                <w:noProof/>
                <w:sz w:val="22"/>
                <w:szCs w:val="22"/>
                <w:lang w:val="sq-AL"/>
              </w:rPr>
              <w:t>Rezultati</w:t>
            </w:r>
          </w:p>
        </w:tc>
        <w:tc>
          <w:tcPr>
            <w:tcW w:w="1980" w:type="dxa"/>
            <w:shd w:val="clear" w:color="auto" w:fill="auto"/>
            <w:tcMar>
              <w:top w:w="15" w:type="dxa"/>
              <w:left w:w="75" w:type="dxa"/>
              <w:bottom w:w="15" w:type="dxa"/>
              <w:right w:w="75" w:type="dxa"/>
            </w:tcMar>
          </w:tcPr>
          <w:p w14:paraId="7555C7A2" w14:textId="77777777" w:rsidR="00EF08BD" w:rsidRDefault="00EF08BD" w:rsidP="003A395D">
            <w:pPr>
              <w:spacing w:line="276" w:lineRule="auto"/>
              <w:rPr>
                <w:rFonts w:ascii="Times New Roman" w:hAnsi="Times New Roman" w:cs="Times New Roman"/>
                <w:noProof/>
                <w:sz w:val="22"/>
                <w:szCs w:val="22"/>
                <w:lang w:val="sq-AL"/>
              </w:rPr>
            </w:pPr>
          </w:p>
          <w:p w14:paraId="2D73C459" w14:textId="1DEC2871" w:rsidR="00404280" w:rsidRPr="00641640" w:rsidRDefault="00404280" w:rsidP="003A395D">
            <w:pPr>
              <w:spacing w:line="276" w:lineRule="auto"/>
              <w:rPr>
                <w:rFonts w:ascii="Times New Roman" w:hAnsi="Times New Roman" w:cs="Times New Roman"/>
                <w:noProof/>
                <w:sz w:val="22"/>
                <w:szCs w:val="22"/>
                <w:lang w:val="sq-AL"/>
              </w:rPr>
            </w:pPr>
            <w:r w:rsidRPr="00404280">
              <w:rPr>
                <w:rFonts w:ascii="Times New Roman" w:hAnsi="Times New Roman" w:cs="Times New Roman"/>
                <w:noProof/>
                <w:sz w:val="22"/>
                <w:szCs w:val="22"/>
                <w:lang w:val="sq-AL"/>
              </w:rPr>
              <w:t>4.4.3. Rastet për të cilat hetimi i Avokatit të Popullit ka përfunduar në favor të ankuesit, pa nevojën e ndërhyrjes me rekomandim.</w:t>
            </w:r>
          </w:p>
        </w:tc>
        <w:tc>
          <w:tcPr>
            <w:tcW w:w="2160" w:type="dxa"/>
            <w:shd w:val="clear" w:color="auto" w:fill="auto"/>
          </w:tcPr>
          <w:p w14:paraId="121F65E4" w14:textId="77777777" w:rsidR="00EF08BD" w:rsidRDefault="00EF08BD" w:rsidP="003A395D">
            <w:pPr>
              <w:spacing w:line="276" w:lineRule="auto"/>
              <w:rPr>
                <w:rFonts w:ascii="Times New Roman" w:eastAsia="Arial" w:hAnsi="Times New Roman" w:cs="Times New Roman"/>
                <w:noProof/>
                <w:sz w:val="22"/>
                <w:szCs w:val="22"/>
                <w:lang w:val="sq-AL"/>
              </w:rPr>
            </w:pPr>
          </w:p>
          <w:p w14:paraId="4D40532A" w14:textId="44DCE613" w:rsidR="00404280" w:rsidRPr="00641640" w:rsidRDefault="00404280" w:rsidP="003A395D">
            <w:pPr>
              <w:spacing w:line="276" w:lineRule="auto"/>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Organizimi, llogaridhënia dhe mbikëqyrja e administratës</w:t>
            </w:r>
          </w:p>
        </w:tc>
        <w:tc>
          <w:tcPr>
            <w:tcW w:w="2340" w:type="dxa"/>
            <w:shd w:val="clear" w:color="auto" w:fill="auto"/>
          </w:tcPr>
          <w:p w14:paraId="1C38DC38" w14:textId="77777777" w:rsidR="00EF08BD" w:rsidRDefault="00EF08BD" w:rsidP="003A395D">
            <w:pPr>
              <w:spacing w:line="276" w:lineRule="auto"/>
              <w:rPr>
                <w:rFonts w:ascii="Times New Roman" w:eastAsia="Arial" w:hAnsi="Times New Roman" w:cs="Times New Roman"/>
                <w:noProof/>
                <w:sz w:val="22"/>
                <w:szCs w:val="22"/>
                <w:lang w:val="sq-AL"/>
              </w:rPr>
            </w:pPr>
          </w:p>
          <w:p w14:paraId="37C35204" w14:textId="4C650744" w:rsidR="00404280" w:rsidRPr="00641640" w:rsidRDefault="00404280" w:rsidP="003A395D">
            <w:pPr>
              <w:spacing w:line="276" w:lineRule="auto"/>
              <w:rPr>
                <w:rFonts w:ascii="Times New Roman" w:eastAsia="Arial" w:hAnsi="Times New Roman" w:cs="Times New Roman"/>
                <w:noProof/>
                <w:sz w:val="22"/>
                <w:szCs w:val="22"/>
                <w:lang w:val="sq-AL"/>
              </w:rPr>
            </w:pPr>
            <w:r>
              <w:rPr>
                <w:rFonts w:ascii="Times New Roman" w:eastAsia="Arial" w:hAnsi="Times New Roman" w:cs="Times New Roman"/>
                <w:noProof/>
                <w:sz w:val="22"/>
                <w:szCs w:val="22"/>
                <w:lang w:val="sq-AL"/>
              </w:rPr>
              <w:t xml:space="preserve">4.4 </w:t>
            </w:r>
            <w:r w:rsidRPr="00641640">
              <w:rPr>
                <w:rFonts w:ascii="Times New Roman" w:eastAsia="Arial" w:hAnsi="Times New Roman" w:cs="Times New Roman"/>
                <w:noProof/>
                <w:sz w:val="22"/>
                <w:szCs w:val="22"/>
                <w:lang w:val="sq-AL"/>
              </w:rPr>
              <w:t>Fuqizimi i mbikëqyrjes së jashtme të administratës publike në mënyrë proaktive nga Kuvendi dhe institucionet e pavarura mbi zbatimin e politikave dhe detyrimeve nga ana e qeverisë.</w:t>
            </w:r>
          </w:p>
        </w:tc>
        <w:tc>
          <w:tcPr>
            <w:tcW w:w="1890" w:type="dxa"/>
            <w:shd w:val="clear" w:color="auto" w:fill="auto"/>
            <w:tcMar>
              <w:top w:w="15" w:type="dxa"/>
              <w:left w:w="75" w:type="dxa"/>
              <w:bottom w:w="15" w:type="dxa"/>
              <w:right w:w="75" w:type="dxa"/>
            </w:tcMar>
          </w:tcPr>
          <w:p w14:paraId="32CABC1E" w14:textId="77777777" w:rsidR="00404280" w:rsidRDefault="00404280" w:rsidP="003A395D">
            <w:pPr>
              <w:spacing w:line="276" w:lineRule="auto"/>
              <w:jc w:val="center"/>
              <w:rPr>
                <w:rFonts w:ascii="Times New Roman" w:eastAsia="Arial" w:hAnsi="Times New Roman" w:cs="Times New Roman"/>
                <w:noProof/>
                <w:sz w:val="22"/>
                <w:szCs w:val="22"/>
                <w:lang w:val="sq-AL"/>
              </w:rPr>
            </w:pPr>
          </w:p>
          <w:p w14:paraId="5B2E4289" w14:textId="677C9E1D" w:rsidR="00EF08BD" w:rsidRPr="00641640" w:rsidRDefault="00404280" w:rsidP="003A395D">
            <w:pPr>
              <w:spacing w:line="276" w:lineRule="auto"/>
              <w:jc w:val="center"/>
              <w:rPr>
                <w:rFonts w:ascii="Times New Roman" w:eastAsia="Arial" w:hAnsi="Times New Roman" w:cs="Times New Roman"/>
                <w:noProof/>
                <w:sz w:val="22"/>
                <w:szCs w:val="22"/>
                <w:lang w:val="sq-AL"/>
              </w:rPr>
            </w:pPr>
            <w:r w:rsidRPr="00641640">
              <w:rPr>
                <w:rFonts w:ascii="Times New Roman" w:eastAsia="Arial" w:hAnsi="Times New Roman" w:cs="Times New Roman"/>
                <w:noProof/>
                <w:sz w:val="22"/>
                <w:szCs w:val="22"/>
                <w:lang w:val="sq-AL"/>
              </w:rPr>
              <w:t>Avokati i Popullit</w:t>
            </w:r>
          </w:p>
        </w:tc>
      </w:tr>
      <w:tr w:rsidR="00C369F2" w:rsidRPr="00641640" w14:paraId="4D04C482" w14:textId="77777777" w:rsidTr="006B7458">
        <w:trPr>
          <w:trHeight w:val="3296"/>
        </w:trPr>
        <w:tc>
          <w:tcPr>
            <w:tcW w:w="982" w:type="dxa"/>
            <w:shd w:val="clear" w:color="auto" w:fill="auto"/>
            <w:tcMar>
              <w:top w:w="15" w:type="dxa"/>
              <w:left w:w="75" w:type="dxa"/>
              <w:bottom w:w="15" w:type="dxa"/>
              <w:right w:w="75" w:type="dxa"/>
            </w:tcMar>
          </w:tcPr>
          <w:p w14:paraId="425FDAA0" w14:textId="77777777" w:rsidR="002F022B" w:rsidRPr="00641640" w:rsidRDefault="002F022B" w:rsidP="003A395D">
            <w:pPr>
              <w:spacing w:line="276" w:lineRule="auto"/>
              <w:rPr>
                <w:rFonts w:ascii="Times New Roman" w:hAnsi="Times New Roman" w:cs="Times New Roman"/>
                <w:noProof/>
                <w:sz w:val="22"/>
                <w:szCs w:val="22"/>
                <w:lang w:val="sq-AL"/>
              </w:rPr>
            </w:pPr>
          </w:p>
          <w:p w14:paraId="3DD53D90" w14:textId="5A75FA99" w:rsidR="00C369F2" w:rsidRPr="00641640" w:rsidRDefault="00B05D6D" w:rsidP="003A395D">
            <w:pPr>
              <w:spacing w:line="276" w:lineRule="auto"/>
              <w:rPr>
                <w:rFonts w:ascii="Times New Roman" w:hAnsi="Times New Roman" w:cs="Times New Roman"/>
                <w:b/>
                <w:bCs/>
                <w:noProof/>
                <w:color w:val="ED7D31" w:themeColor="accent2"/>
                <w:sz w:val="22"/>
                <w:szCs w:val="22"/>
                <w:lang w:val="sq-AL"/>
              </w:rPr>
            </w:pPr>
            <w:r w:rsidRPr="00641640">
              <w:rPr>
                <w:rFonts w:ascii="Times New Roman" w:hAnsi="Times New Roman" w:cs="Times New Roman"/>
                <w:noProof/>
                <w:sz w:val="22"/>
                <w:szCs w:val="22"/>
                <w:lang w:val="sq-AL"/>
              </w:rPr>
              <w:t>Produkt</w:t>
            </w:r>
            <w:r w:rsidR="00770FFC" w:rsidRPr="00641640">
              <w:rPr>
                <w:rFonts w:ascii="Times New Roman" w:hAnsi="Times New Roman" w:cs="Times New Roman"/>
                <w:noProof/>
                <w:sz w:val="22"/>
                <w:szCs w:val="22"/>
                <w:lang w:val="sq-AL"/>
              </w:rPr>
              <w:t>i</w:t>
            </w:r>
          </w:p>
        </w:tc>
        <w:tc>
          <w:tcPr>
            <w:tcW w:w="1980" w:type="dxa"/>
            <w:shd w:val="clear" w:color="auto" w:fill="auto"/>
            <w:tcMar>
              <w:top w:w="15" w:type="dxa"/>
              <w:left w:w="75" w:type="dxa"/>
              <w:bottom w:w="15" w:type="dxa"/>
              <w:right w:w="75" w:type="dxa"/>
            </w:tcMar>
          </w:tcPr>
          <w:p w14:paraId="751BB1C8" w14:textId="77777777" w:rsidR="002F022B" w:rsidRPr="00641640" w:rsidRDefault="002F022B" w:rsidP="003A395D">
            <w:pPr>
              <w:spacing w:line="276" w:lineRule="auto"/>
              <w:rPr>
                <w:rFonts w:ascii="Times New Roman" w:hAnsi="Times New Roman" w:cs="Times New Roman"/>
                <w:noProof/>
                <w:sz w:val="22"/>
                <w:szCs w:val="22"/>
                <w:lang w:val="sq-AL"/>
              </w:rPr>
            </w:pPr>
          </w:p>
          <w:p w14:paraId="38A7A0E5" w14:textId="4622838B" w:rsidR="00C369F2" w:rsidRPr="00641640" w:rsidRDefault="00770FFC"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4.4.</w:t>
            </w:r>
            <w:r w:rsidR="00FB07D5">
              <w:rPr>
                <w:rFonts w:ascii="Times New Roman" w:hAnsi="Times New Roman" w:cs="Times New Roman"/>
                <w:noProof/>
                <w:sz w:val="22"/>
                <w:szCs w:val="22"/>
                <w:lang w:val="sq-AL"/>
              </w:rPr>
              <w:t>4</w:t>
            </w:r>
            <w:r w:rsidRPr="00641640">
              <w:rPr>
                <w:rFonts w:ascii="Times New Roman" w:hAnsi="Times New Roman" w:cs="Times New Roman"/>
                <w:noProof/>
                <w:sz w:val="22"/>
                <w:szCs w:val="22"/>
                <w:lang w:val="sq-AL"/>
              </w:rPr>
              <w:t xml:space="preserve"> Numri i vlerësimeve post-legjislative për ligjet më të rëndësishme për procesin e anëtarësimit në Bashkimin Evropian</w:t>
            </w:r>
            <w:r w:rsidR="00F32142">
              <w:rPr>
                <w:rFonts w:ascii="Times New Roman" w:hAnsi="Times New Roman" w:cs="Times New Roman"/>
                <w:noProof/>
                <w:sz w:val="22"/>
                <w:szCs w:val="22"/>
                <w:lang w:val="sq-AL"/>
              </w:rPr>
              <w:t>.</w:t>
            </w:r>
          </w:p>
        </w:tc>
        <w:tc>
          <w:tcPr>
            <w:tcW w:w="2160" w:type="dxa"/>
            <w:shd w:val="clear" w:color="auto" w:fill="auto"/>
          </w:tcPr>
          <w:p w14:paraId="4AD47F66" w14:textId="77777777" w:rsidR="002F022B" w:rsidRPr="00641640" w:rsidRDefault="002F022B" w:rsidP="003A395D">
            <w:pPr>
              <w:spacing w:line="276" w:lineRule="auto"/>
              <w:rPr>
                <w:rFonts w:ascii="Times New Roman" w:eastAsia="Arial" w:hAnsi="Times New Roman" w:cs="Times New Roman"/>
                <w:noProof/>
                <w:sz w:val="22"/>
                <w:szCs w:val="22"/>
                <w:lang w:val="sq-AL"/>
              </w:rPr>
            </w:pPr>
          </w:p>
          <w:p w14:paraId="11D43408" w14:textId="7370C2DF" w:rsidR="00C369F2" w:rsidRPr="00641640" w:rsidRDefault="00FB07D5" w:rsidP="003A395D">
            <w:pPr>
              <w:spacing w:line="276" w:lineRule="auto"/>
              <w:rPr>
                <w:rFonts w:ascii="Times New Roman" w:eastAsia="Arial" w:hAnsi="Times New Roman" w:cs="Times New Roman"/>
                <w:b/>
                <w:bCs/>
                <w:noProof/>
                <w:sz w:val="22"/>
                <w:szCs w:val="22"/>
                <w:lang w:val="sq-AL"/>
              </w:rPr>
            </w:pPr>
            <w:r w:rsidRPr="00641640">
              <w:rPr>
                <w:rFonts w:ascii="Times New Roman" w:eastAsia="Arial" w:hAnsi="Times New Roman" w:cs="Times New Roman"/>
                <w:noProof/>
                <w:sz w:val="22"/>
                <w:szCs w:val="22"/>
                <w:lang w:val="sq-AL"/>
              </w:rPr>
              <w:t>Organizimi, llogaridhënia dhe mbikëqyrja e administratës</w:t>
            </w:r>
          </w:p>
        </w:tc>
        <w:tc>
          <w:tcPr>
            <w:tcW w:w="2340" w:type="dxa"/>
            <w:shd w:val="clear" w:color="auto" w:fill="auto"/>
          </w:tcPr>
          <w:p w14:paraId="0333E935" w14:textId="77777777" w:rsidR="002F022B" w:rsidRPr="00641640" w:rsidRDefault="002F022B" w:rsidP="003A395D">
            <w:pPr>
              <w:spacing w:line="276" w:lineRule="auto"/>
              <w:rPr>
                <w:rFonts w:ascii="Times New Roman" w:eastAsia="Arial" w:hAnsi="Times New Roman" w:cs="Times New Roman"/>
                <w:noProof/>
                <w:sz w:val="22"/>
                <w:szCs w:val="22"/>
                <w:lang w:val="sq-AL"/>
              </w:rPr>
            </w:pPr>
          </w:p>
          <w:p w14:paraId="14DCCB49" w14:textId="0F8C6ABD" w:rsidR="00C369F2" w:rsidRPr="00641640" w:rsidRDefault="00841905" w:rsidP="003A395D">
            <w:pPr>
              <w:spacing w:line="276" w:lineRule="auto"/>
              <w:rPr>
                <w:rFonts w:ascii="Times New Roman" w:eastAsia="Arial" w:hAnsi="Times New Roman" w:cs="Times New Roman"/>
                <w:b/>
                <w:bCs/>
                <w:noProof/>
                <w:sz w:val="22"/>
                <w:szCs w:val="22"/>
                <w:lang w:val="sq-AL"/>
              </w:rPr>
            </w:pPr>
            <w:r>
              <w:rPr>
                <w:rFonts w:ascii="Times New Roman" w:eastAsia="Arial" w:hAnsi="Times New Roman" w:cs="Times New Roman"/>
                <w:noProof/>
                <w:sz w:val="22"/>
                <w:szCs w:val="22"/>
                <w:lang w:val="sq-AL"/>
              </w:rPr>
              <w:t xml:space="preserve">4.4 </w:t>
            </w:r>
            <w:r w:rsidR="0033384C" w:rsidRPr="00641640">
              <w:rPr>
                <w:rFonts w:ascii="Times New Roman" w:eastAsia="Arial" w:hAnsi="Times New Roman" w:cs="Times New Roman"/>
                <w:noProof/>
                <w:sz w:val="22"/>
                <w:szCs w:val="22"/>
                <w:lang w:val="sq-AL"/>
              </w:rPr>
              <w:t>Fuqizimi i mbikëqyrjes së jashtme të administratës publike në mënyrë proaktive nga Kuvendi dhe institucionet e pavarura mbi zbatimin e politikave dhe detyrimeve nga ana e qeverisë.</w:t>
            </w:r>
          </w:p>
        </w:tc>
        <w:tc>
          <w:tcPr>
            <w:tcW w:w="1890" w:type="dxa"/>
            <w:shd w:val="clear" w:color="auto" w:fill="auto"/>
            <w:tcMar>
              <w:top w:w="15" w:type="dxa"/>
              <w:left w:w="75" w:type="dxa"/>
              <w:bottom w:w="15" w:type="dxa"/>
              <w:right w:w="75" w:type="dxa"/>
            </w:tcMar>
          </w:tcPr>
          <w:p w14:paraId="2E20CF9F" w14:textId="77777777" w:rsidR="002F022B" w:rsidRPr="00641640" w:rsidRDefault="002F022B" w:rsidP="003A395D">
            <w:pPr>
              <w:spacing w:line="276" w:lineRule="auto"/>
              <w:jc w:val="center"/>
              <w:rPr>
                <w:rFonts w:ascii="Times New Roman" w:eastAsia="Arial" w:hAnsi="Times New Roman" w:cs="Times New Roman"/>
                <w:noProof/>
                <w:sz w:val="22"/>
                <w:szCs w:val="22"/>
                <w:lang w:val="sq-AL"/>
              </w:rPr>
            </w:pPr>
          </w:p>
          <w:p w14:paraId="756F61B8" w14:textId="79863EB6" w:rsidR="00C369F2" w:rsidRPr="00641640" w:rsidRDefault="0033384C"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noProof/>
                <w:sz w:val="22"/>
                <w:szCs w:val="22"/>
                <w:lang w:val="sq-AL"/>
              </w:rPr>
              <w:t>Kuvendi</w:t>
            </w:r>
          </w:p>
        </w:tc>
      </w:tr>
      <w:tr w:rsidR="00770FFC" w:rsidRPr="00641640" w14:paraId="1C2EF87F" w14:textId="77777777" w:rsidTr="002F022B">
        <w:trPr>
          <w:trHeight w:val="1595"/>
        </w:trPr>
        <w:tc>
          <w:tcPr>
            <w:tcW w:w="982" w:type="dxa"/>
            <w:shd w:val="clear" w:color="auto" w:fill="auto"/>
            <w:tcMar>
              <w:top w:w="15" w:type="dxa"/>
              <w:left w:w="75" w:type="dxa"/>
              <w:bottom w:w="15" w:type="dxa"/>
              <w:right w:w="75" w:type="dxa"/>
            </w:tcMar>
          </w:tcPr>
          <w:p w14:paraId="77CA609D" w14:textId="77777777" w:rsidR="002F022B" w:rsidRPr="00641640" w:rsidRDefault="002F022B" w:rsidP="003A395D">
            <w:pPr>
              <w:spacing w:line="276" w:lineRule="auto"/>
              <w:rPr>
                <w:rFonts w:ascii="Times New Roman" w:hAnsi="Times New Roman" w:cs="Times New Roman"/>
                <w:noProof/>
                <w:sz w:val="22"/>
                <w:szCs w:val="22"/>
                <w:lang w:val="sq-AL"/>
              </w:rPr>
            </w:pPr>
          </w:p>
          <w:p w14:paraId="6E33AFD8" w14:textId="44D69978" w:rsidR="00770FFC" w:rsidRPr="00641640" w:rsidRDefault="00770FFC" w:rsidP="003A395D">
            <w:pPr>
              <w:spacing w:line="276" w:lineRule="auto"/>
              <w:rPr>
                <w:rFonts w:ascii="Times New Roman" w:hAnsi="Times New Roman" w:cs="Times New Roman"/>
                <w:b/>
                <w:bCs/>
                <w:noProof/>
                <w:color w:val="ED7D31" w:themeColor="accent2"/>
                <w:sz w:val="22"/>
                <w:szCs w:val="22"/>
                <w:lang w:val="sq-AL"/>
              </w:rPr>
            </w:pPr>
            <w:r w:rsidRPr="00641640">
              <w:rPr>
                <w:rFonts w:ascii="Times New Roman" w:hAnsi="Times New Roman" w:cs="Times New Roman"/>
                <w:noProof/>
                <w:sz w:val="22"/>
                <w:szCs w:val="22"/>
                <w:lang w:val="sq-AL"/>
              </w:rPr>
              <w:t>Rezultati</w:t>
            </w:r>
          </w:p>
        </w:tc>
        <w:tc>
          <w:tcPr>
            <w:tcW w:w="1980" w:type="dxa"/>
            <w:shd w:val="clear" w:color="auto" w:fill="auto"/>
            <w:tcMar>
              <w:top w:w="15" w:type="dxa"/>
              <w:left w:w="75" w:type="dxa"/>
              <w:bottom w:w="15" w:type="dxa"/>
              <w:right w:w="75" w:type="dxa"/>
            </w:tcMar>
          </w:tcPr>
          <w:p w14:paraId="7A1EE16C" w14:textId="77777777" w:rsidR="002F022B" w:rsidRPr="00641640" w:rsidRDefault="002F022B" w:rsidP="003A395D">
            <w:pPr>
              <w:spacing w:line="276" w:lineRule="auto"/>
              <w:rPr>
                <w:rFonts w:ascii="Times New Roman" w:hAnsi="Times New Roman" w:cs="Times New Roman"/>
                <w:noProof/>
                <w:sz w:val="22"/>
                <w:szCs w:val="22"/>
                <w:lang w:val="sq-AL"/>
              </w:rPr>
            </w:pPr>
          </w:p>
          <w:p w14:paraId="4FEDF292" w14:textId="23445F14" w:rsidR="00770FFC" w:rsidRPr="00641640" w:rsidRDefault="00770FFC" w:rsidP="003A395D">
            <w:pPr>
              <w:spacing w:line="276" w:lineRule="auto"/>
              <w:rPr>
                <w:rFonts w:ascii="Times New Roman" w:hAnsi="Times New Roman" w:cs="Times New Roman"/>
                <w:noProof/>
                <w:sz w:val="22"/>
                <w:szCs w:val="22"/>
                <w:lang w:val="sq-AL"/>
              </w:rPr>
            </w:pPr>
            <w:r w:rsidRPr="00641640">
              <w:rPr>
                <w:rFonts w:ascii="Times New Roman" w:hAnsi="Times New Roman" w:cs="Times New Roman"/>
                <w:noProof/>
                <w:sz w:val="22"/>
                <w:szCs w:val="22"/>
                <w:lang w:val="sq-AL"/>
              </w:rPr>
              <w:t>4.4.</w:t>
            </w:r>
            <w:r w:rsidR="00FB07D5">
              <w:rPr>
                <w:rFonts w:ascii="Times New Roman" w:hAnsi="Times New Roman" w:cs="Times New Roman"/>
                <w:noProof/>
                <w:sz w:val="22"/>
                <w:szCs w:val="22"/>
                <w:lang w:val="sq-AL"/>
              </w:rPr>
              <w:t>5</w:t>
            </w:r>
            <w:r w:rsidRPr="00641640">
              <w:rPr>
                <w:rFonts w:ascii="Times New Roman" w:hAnsi="Times New Roman" w:cs="Times New Roman"/>
                <w:noProof/>
                <w:sz w:val="22"/>
                <w:szCs w:val="22"/>
                <w:lang w:val="sq-AL"/>
              </w:rPr>
              <w:t xml:space="preserve"> Indeksi i mbikëqyrjes së angazhimeve të autoriteteve publike të ndërmarra në kuadër të procesit të anëtarësimit nga Kuvendi i Republikës së Shqipërisë</w:t>
            </w:r>
            <w:r w:rsidR="00F32142">
              <w:rPr>
                <w:rFonts w:ascii="Times New Roman" w:hAnsi="Times New Roman" w:cs="Times New Roman"/>
                <w:noProof/>
                <w:sz w:val="22"/>
                <w:szCs w:val="22"/>
                <w:lang w:val="sq-AL"/>
              </w:rPr>
              <w:t>.</w:t>
            </w:r>
          </w:p>
        </w:tc>
        <w:tc>
          <w:tcPr>
            <w:tcW w:w="2160" w:type="dxa"/>
            <w:shd w:val="clear" w:color="auto" w:fill="auto"/>
          </w:tcPr>
          <w:p w14:paraId="54C01105" w14:textId="77777777" w:rsidR="002F022B" w:rsidRPr="00641640" w:rsidRDefault="002F022B" w:rsidP="003A395D">
            <w:pPr>
              <w:spacing w:line="276" w:lineRule="auto"/>
              <w:rPr>
                <w:rFonts w:ascii="Times New Roman" w:eastAsia="Arial" w:hAnsi="Times New Roman" w:cs="Times New Roman"/>
                <w:noProof/>
                <w:sz w:val="22"/>
                <w:szCs w:val="22"/>
                <w:lang w:val="sq-AL"/>
              </w:rPr>
            </w:pPr>
          </w:p>
          <w:p w14:paraId="767FA3AD" w14:textId="30839170" w:rsidR="00770FFC" w:rsidRPr="00641640" w:rsidRDefault="00D94A5D" w:rsidP="003A395D">
            <w:pPr>
              <w:spacing w:line="276" w:lineRule="auto"/>
              <w:rPr>
                <w:rFonts w:ascii="Times New Roman" w:eastAsia="Arial" w:hAnsi="Times New Roman" w:cs="Times New Roman"/>
                <w:b/>
                <w:bCs/>
                <w:noProof/>
                <w:sz w:val="22"/>
                <w:szCs w:val="22"/>
                <w:lang w:val="sq-AL"/>
              </w:rPr>
            </w:pPr>
            <w:r w:rsidRPr="00641640">
              <w:rPr>
                <w:rFonts w:ascii="Times New Roman" w:eastAsia="Arial" w:hAnsi="Times New Roman" w:cs="Times New Roman"/>
                <w:noProof/>
                <w:sz w:val="22"/>
                <w:szCs w:val="22"/>
                <w:lang w:val="sq-AL"/>
              </w:rPr>
              <w:t>Organizimi, llogaridhënia dhe mbikëqyrja e administratës</w:t>
            </w:r>
          </w:p>
        </w:tc>
        <w:tc>
          <w:tcPr>
            <w:tcW w:w="2340" w:type="dxa"/>
            <w:shd w:val="clear" w:color="auto" w:fill="auto"/>
          </w:tcPr>
          <w:p w14:paraId="7C4BF400" w14:textId="77777777" w:rsidR="002F022B" w:rsidRPr="00641640" w:rsidRDefault="002F022B" w:rsidP="003A395D">
            <w:pPr>
              <w:spacing w:line="276" w:lineRule="auto"/>
              <w:rPr>
                <w:rFonts w:ascii="Times New Roman" w:eastAsia="Arial" w:hAnsi="Times New Roman" w:cs="Times New Roman"/>
                <w:noProof/>
                <w:sz w:val="22"/>
                <w:szCs w:val="22"/>
                <w:lang w:val="sq-AL"/>
              </w:rPr>
            </w:pPr>
          </w:p>
          <w:p w14:paraId="19B71F7B" w14:textId="420C079F" w:rsidR="00770FFC" w:rsidRPr="00641640" w:rsidRDefault="00841905" w:rsidP="003A395D">
            <w:pPr>
              <w:spacing w:line="276" w:lineRule="auto"/>
              <w:rPr>
                <w:rFonts w:ascii="Times New Roman" w:eastAsia="Arial" w:hAnsi="Times New Roman" w:cs="Times New Roman"/>
                <w:b/>
                <w:bCs/>
                <w:noProof/>
                <w:sz w:val="22"/>
                <w:szCs w:val="22"/>
                <w:lang w:val="sq-AL"/>
              </w:rPr>
            </w:pPr>
            <w:r>
              <w:rPr>
                <w:rFonts w:ascii="Times New Roman" w:eastAsia="Arial" w:hAnsi="Times New Roman" w:cs="Times New Roman"/>
                <w:noProof/>
                <w:sz w:val="22"/>
                <w:szCs w:val="22"/>
                <w:lang w:val="sq-AL"/>
              </w:rPr>
              <w:t xml:space="preserve">4.4 </w:t>
            </w:r>
            <w:r w:rsidR="0033384C" w:rsidRPr="00641640">
              <w:rPr>
                <w:rFonts w:ascii="Times New Roman" w:eastAsia="Arial" w:hAnsi="Times New Roman" w:cs="Times New Roman"/>
                <w:noProof/>
                <w:sz w:val="22"/>
                <w:szCs w:val="22"/>
                <w:lang w:val="sq-AL"/>
              </w:rPr>
              <w:t>Fuqizimi i mbikëqyrjes së jashtme të administratës publike në mënyrë proaktive nga Kuvendi dhe institucionet e pavarura mbi zbatimin e politikave dhe detyrimeve nga ana e qeverisë.</w:t>
            </w:r>
          </w:p>
        </w:tc>
        <w:tc>
          <w:tcPr>
            <w:tcW w:w="1890" w:type="dxa"/>
            <w:shd w:val="clear" w:color="auto" w:fill="auto"/>
            <w:tcMar>
              <w:top w:w="15" w:type="dxa"/>
              <w:left w:w="75" w:type="dxa"/>
              <w:bottom w:w="15" w:type="dxa"/>
              <w:right w:w="75" w:type="dxa"/>
            </w:tcMar>
          </w:tcPr>
          <w:p w14:paraId="1089339D" w14:textId="77777777" w:rsidR="002F022B" w:rsidRPr="00641640" w:rsidRDefault="002F022B" w:rsidP="003A395D">
            <w:pPr>
              <w:spacing w:line="276" w:lineRule="auto"/>
              <w:jc w:val="center"/>
              <w:rPr>
                <w:rFonts w:ascii="Times New Roman" w:eastAsia="Arial" w:hAnsi="Times New Roman" w:cs="Times New Roman"/>
                <w:noProof/>
                <w:sz w:val="22"/>
                <w:szCs w:val="22"/>
                <w:lang w:val="sq-AL"/>
              </w:rPr>
            </w:pPr>
          </w:p>
          <w:p w14:paraId="213F806F" w14:textId="08DC8FE7" w:rsidR="00770FFC" w:rsidRPr="00641640" w:rsidRDefault="0033384C" w:rsidP="003A395D">
            <w:pPr>
              <w:spacing w:line="276" w:lineRule="auto"/>
              <w:jc w:val="center"/>
              <w:rPr>
                <w:rFonts w:ascii="Times New Roman" w:eastAsia="Arial" w:hAnsi="Times New Roman" w:cs="Times New Roman"/>
                <w:b/>
                <w:bCs/>
                <w:noProof/>
                <w:sz w:val="22"/>
                <w:szCs w:val="22"/>
                <w:lang w:val="sq-AL"/>
              </w:rPr>
            </w:pPr>
            <w:r w:rsidRPr="00641640">
              <w:rPr>
                <w:rFonts w:ascii="Times New Roman" w:eastAsia="Arial" w:hAnsi="Times New Roman" w:cs="Times New Roman"/>
                <w:noProof/>
                <w:sz w:val="22"/>
                <w:szCs w:val="22"/>
                <w:lang w:val="sq-AL"/>
              </w:rPr>
              <w:t>Kuvendi</w:t>
            </w:r>
          </w:p>
        </w:tc>
      </w:tr>
    </w:tbl>
    <w:p w14:paraId="4CD0D0ED" w14:textId="7964DD34" w:rsidR="00AE6F2A" w:rsidRDefault="00AE6F2A" w:rsidP="003A395D">
      <w:pPr>
        <w:spacing w:after="0" w:line="276" w:lineRule="auto"/>
        <w:contextualSpacing/>
        <w:jc w:val="both"/>
        <w:rPr>
          <w:rFonts w:ascii="Times New Roman" w:hAnsi="Times New Roman" w:cs="Times New Roman"/>
          <w:noProof/>
          <w:color w:val="000000" w:themeColor="text1"/>
          <w:highlight w:val="yellow"/>
          <w:lang w:val="sq-AL"/>
        </w:rPr>
      </w:pPr>
    </w:p>
    <w:p w14:paraId="710C2142" w14:textId="749C1AFD" w:rsidR="00802A44" w:rsidRPr="00641640" w:rsidRDefault="00AE6F2A" w:rsidP="00AE6F2A">
      <w:pPr>
        <w:rPr>
          <w:rFonts w:ascii="Times New Roman" w:hAnsi="Times New Roman" w:cs="Times New Roman"/>
          <w:noProof/>
          <w:color w:val="000000" w:themeColor="text1"/>
          <w:highlight w:val="yellow"/>
          <w:lang w:val="sq-AL"/>
        </w:rPr>
      </w:pPr>
      <w:r>
        <w:rPr>
          <w:rFonts w:ascii="Times New Roman" w:hAnsi="Times New Roman" w:cs="Times New Roman"/>
          <w:noProof/>
          <w:color w:val="000000" w:themeColor="text1"/>
          <w:highlight w:val="yellow"/>
          <w:lang w:val="sq-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802A44" w:rsidRPr="00641640" w14:paraId="0B871A4D" w14:textId="77777777" w:rsidTr="00972BC3">
        <w:tc>
          <w:tcPr>
            <w:tcW w:w="445" w:type="dxa"/>
          </w:tcPr>
          <w:p w14:paraId="5A2DB705" w14:textId="77777777" w:rsidR="00802A44" w:rsidRPr="00641640" w:rsidRDefault="00802A44" w:rsidP="00972BC3">
            <w:pPr>
              <w:spacing w:line="276" w:lineRule="auto"/>
              <w:contextualSpacing/>
              <w:jc w:val="both"/>
              <w:rPr>
                <w:rFonts w:ascii="Times New Roman" w:hAnsi="Times New Roman" w:cs="Times New Roman"/>
                <w:b/>
                <w:bCs/>
                <w:sz w:val="28"/>
                <w:szCs w:val="28"/>
                <w:highlight w:val="yellow"/>
                <w:lang w:val="sq-AL"/>
              </w:rPr>
            </w:pPr>
            <w:r w:rsidRPr="00641640">
              <w:rPr>
                <w:rFonts w:ascii="Times New Roman" w:hAnsi="Times New Roman" w:cs="Times New Roman"/>
                <w:b/>
                <w:bCs/>
                <w:sz w:val="28"/>
                <w:szCs w:val="28"/>
                <w:lang w:val="sq-AL"/>
              </w:rPr>
              <w:lastRenderedPageBreak/>
              <w:t>5.</w:t>
            </w:r>
          </w:p>
        </w:tc>
        <w:tc>
          <w:tcPr>
            <w:tcW w:w="8905" w:type="dxa"/>
          </w:tcPr>
          <w:p w14:paraId="26D31987" w14:textId="77777777" w:rsidR="00802A44" w:rsidRPr="00641640" w:rsidRDefault="00802A44" w:rsidP="00972BC3">
            <w:pPr>
              <w:pStyle w:val="Heading3"/>
              <w:spacing w:line="276" w:lineRule="auto"/>
              <w:jc w:val="both"/>
              <w:rPr>
                <w:rFonts w:ascii="Times New Roman" w:hAnsi="Times New Roman" w:cs="Times New Roman"/>
                <w:b/>
                <w:bCs/>
                <w:color w:val="auto"/>
                <w:sz w:val="28"/>
                <w:szCs w:val="28"/>
                <w:lang w:val="sq-AL"/>
              </w:rPr>
            </w:pPr>
            <w:r w:rsidRPr="00641640">
              <w:rPr>
                <w:rFonts w:ascii="Times New Roman" w:hAnsi="Times New Roman" w:cs="Times New Roman"/>
                <w:b/>
                <w:bCs/>
                <w:color w:val="auto"/>
                <w:sz w:val="28"/>
                <w:szCs w:val="28"/>
                <w:lang w:val="sq-AL"/>
              </w:rPr>
              <w:t>QËLLIMI I POLITIKËS 5: ADMINISTRATA E GJELBËR</w:t>
            </w:r>
          </w:p>
        </w:tc>
      </w:tr>
    </w:tbl>
    <w:p w14:paraId="5908AFAC" w14:textId="77777777" w:rsidR="00802A44" w:rsidRPr="00641640" w:rsidRDefault="00802A44" w:rsidP="00802A44">
      <w:pPr>
        <w:spacing w:after="0" w:line="276" w:lineRule="auto"/>
        <w:contextualSpacing/>
        <w:jc w:val="both"/>
        <w:rPr>
          <w:rFonts w:ascii="Times New Roman" w:hAnsi="Times New Roman" w:cs="Times New Roman"/>
          <w:color w:val="000000" w:themeColor="text1"/>
          <w:highlight w:val="yellow"/>
          <w:lang w:val="sq-AL"/>
        </w:rPr>
      </w:pPr>
    </w:p>
    <w:p w14:paraId="3D484010" w14:textId="77777777" w:rsidR="00802A44" w:rsidRPr="00641640" w:rsidRDefault="00802A44" w:rsidP="00802A44">
      <w:pPr>
        <w:spacing w:line="276" w:lineRule="auto"/>
        <w:jc w:val="both"/>
        <w:rPr>
          <w:rFonts w:ascii="Times New Roman" w:hAnsi="Times New Roman" w:cs="Times New Roman"/>
          <w:sz w:val="24"/>
          <w:szCs w:val="24"/>
          <w:lang w:val="sq-AL"/>
        </w:rPr>
      </w:pPr>
      <w:r w:rsidRPr="00641640">
        <w:rPr>
          <w:rFonts w:ascii="Times New Roman" w:hAnsi="Times New Roman" w:cs="Times New Roman"/>
          <w:sz w:val="24"/>
          <w:szCs w:val="24"/>
          <w:lang w:val="sq-AL"/>
        </w:rPr>
        <w:t>Qëllimi i Politikës 5</w:t>
      </w:r>
      <w:r w:rsidRPr="00641640">
        <w:rPr>
          <w:rFonts w:ascii="Times New Roman" w:hAnsi="Times New Roman" w:cs="Times New Roman"/>
          <w:b/>
          <w:bCs/>
          <w:sz w:val="24"/>
          <w:szCs w:val="24"/>
          <w:lang w:val="sq-AL"/>
        </w:rPr>
        <w:t xml:space="preserve"> </w:t>
      </w:r>
      <w:r w:rsidRPr="00641640">
        <w:rPr>
          <w:rFonts w:ascii="Times New Roman" w:eastAsia="Times New Roman" w:hAnsi="Times New Roman" w:cs="Times New Roman"/>
          <w:sz w:val="24"/>
          <w:szCs w:val="24"/>
          <w:lang w:val="sq-AL" w:eastAsia="en-GB"/>
        </w:rPr>
        <w:t xml:space="preserve">synon ndërtimin e një administratë publike që ndjek praktika të qëndrueshme mjedisore, duke minimizuar ndikimet negative në mjedis dhe duke promovuar politika dhe nisma të gjelbra. </w:t>
      </w:r>
      <w:r w:rsidRPr="00641640">
        <w:rPr>
          <w:rFonts w:ascii="Times New Roman" w:hAnsi="Times New Roman" w:cs="Times New Roman"/>
          <w:sz w:val="24"/>
          <w:szCs w:val="24"/>
          <w:lang w:val="sq-AL"/>
        </w:rPr>
        <w:t xml:space="preserve">Kjo shtyllë përfshin komponentët e ndërgjegjësimit të punonjësve mbi administratën e gjelbër, si dhe krijimin e një administrate që vepron në harmoni me parimet e zhvillimit të qëndrueshëm. </w:t>
      </w:r>
    </w:p>
    <w:p w14:paraId="17CE72D7" w14:textId="116FB044" w:rsidR="00802A44" w:rsidRPr="00641640" w:rsidRDefault="00802A44" w:rsidP="00802A44">
      <w:pPr>
        <w:spacing w:line="276" w:lineRule="auto"/>
        <w:jc w:val="both"/>
        <w:rPr>
          <w:rFonts w:ascii="Times New Roman" w:hAnsi="Times New Roman" w:cs="Times New Roman"/>
          <w:sz w:val="24"/>
          <w:szCs w:val="24"/>
          <w:lang w:val="sq-AL"/>
        </w:rPr>
      </w:pPr>
      <w:r w:rsidRPr="00641640">
        <w:rPr>
          <w:rFonts w:ascii="Times New Roman" w:hAnsi="Times New Roman" w:cs="Times New Roman"/>
          <w:sz w:val="24"/>
          <w:szCs w:val="24"/>
          <w:lang w:val="sq-AL"/>
        </w:rPr>
        <w:t>Republika e Shqipërisë është palë nënshkruese e Konventës Kuadër të Kombeve të Bashkuara për Ndryshimet Klimatike (KKKBNK), e cila u ratifikua nga Parlamenti i Shqipërisë në vitin 1994. Me nënshkrimin e Marrëveshjes së Parisit nga Qeveria (Nju-Jork, 22 prill 2016), Shqipëria ka hyrë në epokën e re të procesit të politikave klimatike ndërkombëtare, ku të gjitha palët synojnë në mënyrë kolektive ta mbajnë rritjen e temperaturës globale në 2°C mbi nivelin paraindustrial.</w:t>
      </w:r>
      <w:r w:rsidRPr="00641640">
        <w:rPr>
          <w:rFonts w:ascii="Times New Roman" w:hAnsi="Times New Roman" w:cs="Times New Roman"/>
          <w:lang w:val="sq-AL"/>
        </w:rPr>
        <w:t xml:space="preserve"> </w:t>
      </w:r>
      <w:r w:rsidRPr="00641640">
        <w:rPr>
          <w:rFonts w:ascii="Times New Roman" w:hAnsi="Times New Roman" w:cs="Times New Roman"/>
          <w:sz w:val="24"/>
          <w:szCs w:val="24"/>
          <w:lang w:val="sq-AL"/>
        </w:rPr>
        <w:t>Shqipëria, edhe pse një vend i vogël me një kontribut të ulët emetimi, është e vendosur të marrë përsipër pjesën e saj të përgjegjësisë në këtë proces dhe ka ndërmarrë veprime për të mbështetur dekarbonizimin, rritjen e gjelbër dhe rigjallërimin në vitet e fundit.  Në përgjigje të Marrëveshjes së Parisit për Ndryshimet klimatike, Shqipëria dorëzoi Kontributin e saj Kombëtar të Përcaktuar (KKP) të rishikuar, i cili ka si synim që t’i ulë emetimet e gazeve serrë në nivel kombëtar me 20,9% deri në vitin 2030.</w:t>
      </w:r>
    </w:p>
    <w:p w14:paraId="66187174" w14:textId="2C20E309" w:rsidR="00802A44" w:rsidRPr="00641640" w:rsidRDefault="00802A44" w:rsidP="00802A44">
      <w:pPr>
        <w:spacing w:line="276" w:lineRule="auto"/>
        <w:jc w:val="both"/>
        <w:rPr>
          <w:rFonts w:ascii="Times New Roman" w:hAnsi="Times New Roman" w:cs="Times New Roman"/>
          <w:sz w:val="24"/>
          <w:szCs w:val="24"/>
          <w:lang w:val="sq-AL"/>
        </w:rPr>
      </w:pPr>
      <w:r w:rsidRPr="00641640">
        <w:rPr>
          <w:rFonts w:ascii="Times New Roman" w:hAnsi="Times New Roman" w:cs="Times New Roman"/>
          <w:sz w:val="24"/>
          <w:szCs w:val="24"/>
          <w:lang w:val="sq-AL"/>
        </w:rPr>
        <w:t xml:space="preserve">Në përputhje me angazhimet globale dhe rajonale, si dhe me prioritetet kombëtare, Shqipëria ka bërë progres të konsiderueshëm në drejtim të zbutjes dhe përshtatjes ndaj ndryshimeve klimatike. Aktualisht, vendi po vijon me hapa të mëtejshëm në procesin e përafrimit të legjislacionit mjedisor, të klimës dhe energjisë me atë të BE-së në përgjigje edhe të nënshkrimit të Deklaratës së Sofies për Agjendën e Gjelbër të Ballkanit Perëndimor. Republika e Shqipërisë ka miratuar politika dhe kuadrin legjislativ në fushën e energjisë dhe klimës, ku ndër to përfshihen: Ligji </w:t>
      </w:r>
      <w:r w:rsidR="009A5EE7">
        <w:rPr>
          <w:rFonts w:ascii="Times New Roman" w:hAnsi="Times New Roman" w:cs="Times New Roman"/>
          <w:sz w:val="24"/>
          <w:szCs w:val="24"/>
          <w:lang w:val="sq-AL"/>
        </w:rPr>
        <w:t>n</w:t>
      </w:r>
      <w:r w:rsidRPr="00641640">
        <w:rPr>
          <w:rFonts w:ascii="Times New Roman" w:hAnsi="Times New Roman" w:cs="Times New Roman"/>
          <w:sz w:val="24"/>
          <w:szCs w:val="24"/>
          <w:lang w:val="sq-AL"/>
        </w:rPr>
        <w:t>r. 24/2023, datë 23.3.2023, “</w:t>
      </w:r>
      <w:r w:rsidRPr="00CE6F57">
        <w:rPr>
          <w:rFonts w:ascii="Times New Roman" w:hAnsi="Times New Roman" w:cs="Times New Roman"/>
          <w:i/>
          <w:iCs/>
          <w:sz w:val="24"/>
          <w:szCs w:val="24"/>
          <w:lang w:val="sq-AL"/>
        </w:rPr>
        <w:t>Për nxitjen e përdorimit të energjisë nga burimet e rinovueshme</w:t>
      </w:r>
      <w:r w:rsidRPr="00641640">
        <w:rPr>
          <w:rFonts w:ascii="Times New Roman" w:hAnsi="Times New Roman" w:cs="Times New Roman"/>
          <w:sz w:val="24"/>
          <w:szCs w:val="24"/>
          <w:lang w:val="sq-AL"/>
        </w:rPr>
        <w:t xml:space="preserve">”, Ligji </w:t>
      </w:r>
      <w:r w:rsidR="00CE6F57">
        <w:rPr>
          <w:rFonts w:ascii="Times New Roman" w:hAnsi="Times New Roman" w:cs="Times New Roman"/>
          <w:sz w:val="24"/>
          <w:szCs w:val="24"/>
          <w:lang w:val="sq-AL"/>
        </w:rPr>
        <w:t xml:space="preserve">nr. </w:t>
      </w:r>
      <w:r w:rsidRPr="00641640">
        <w:rPr>
          <w:rFonts w:ascii="Times New Roman" w:hAnsi="Times New Roman" w:cs="Times New Roman"/>
          <w:sz w:val="24"/>
          <w:szCs w:val="24"/>
          <w:lang w:val="sq-AL"/>
        </w:rPr>
        <w:t>124/2015 “</w:t>
      </w:r>
      <w:r w:rsidRPr="00CE6F57">
        <w:rPr>
          <w:rFonts w:ascii="Times New Roman" w:hAnsi="Times New Roman" w:cs="Times New Roman"/>
          <w:i/>
          <w:iCs/>
          <w:sz w:val="24"/>
          <w:szCs w:val="24"/>
          <w:lang w:val="sq-AL"/>
        </w:rPr>
        <w:t>Për efiçencën e energjisë</w:t>
      </w:r>
      <w:r w:rsidRPr="00641640">
        <w:rPr>
          <w:rFonts w:ascii="Times New Roman" w:hAnsi="Times New Roman" w:cs="Times New Roman"/>
          <w:sz w:val="24"/>
          <w:szCs w:val="24"/>
          <w:lang w:val="sq-AL"/>
        </w:rPr>
        <w:t xml:space="preserve">”, i ndryshuar në vitin 2021, Ligji </w:t>
      </w:r>
      <w:r w:rsidR="00CE6F57">
        <w:rPr>
          <w:rFonts w:ascii="Times New Roman" w:hAnsi="Times New Roman" w:cs="Times New Roman"/>
          <w:sz w:val="24"/>
          <w:szCs w:val="24"/>
          <w:lang w:val="sq-AL"/>
        </w:rPr>
        <w:t>n</w:t>
      </w:r>
      <w:r w:rsidRPr="00641640">
        <w:rPr>
          <w:rFonts w:ascii="Times New Roman" w:hAnsi="Times New Roman" w:cs="Times New Roman"/>
          <w:sz w:val="24"/>
          <w:szCs w:val="24"/>
          <w:lang w:val="sq-AL"/>
        </w:rPr>
        <w:t>r. 43/2015, datë 30.4.2015, “</w:t>
      </w:r>
      <w:r w:rsidRPr="00CE6F57">
        <w:rPr>
          <w:rFonts w:ascii="Times New Roman" w:hAnsi="Times New Roman" w:cs="Times New Roman"/>
          <w:i/>
          <w:iCs/>
          <w:sz w:val="24"/>
          <w:szCs w:val="24"/>
          <w:lang w:val="sq-AL"/>
        </w:rPr>
        <w:t>Për sektorin e energjisë</w:t>
      </w:r>
      <w:r w:rsidRPr="00641640">
        <w:rPr>
          <w:rFonts w:ascii="Times New Roman" w:hAnsi="Times New Roman" w:cs="Times New Roman"/>
          <w:sz w:val="24"/>
          <w:szCs w:val="24"/>
          <w:lang w:val="sq-AL"/>
        </w:rPr>
        <w:t xml:space="preserve">”, i ndryshuar, Ligji </w:t>
      </w:r>
      <w:r w:rsidR="00CE6F57">
        <w:rPr>
          <w:rFonts w:ascii="Times New Roman" w:hAnsi="Times New Roman" w:cs="Times New Roman"/>
          <w:sz w:val="24"/>
          <w:szCs w:val="24"/>
          <w:lang w:val="sq-AL"/>
        </w:rPr>
        <w:t>n</w:t>
      </w:r>
      <w:r w:rsidRPr="00641640">
        <w:rPr>
          <w:rFonts w:ascii="Times New Roman" w:hAnsi="Times New Roman" w:cs="Times New Roman"/>
          <w:sz w:val="24"/>
          <w:szCs w:val="24"/>
          <w:lang w:val="sq-AL"/>
        </w:rPr>
        <w:t>r. 52, datë 29.5.2024, “</w:t>
      </w:r>
      <w:r w:rsidRPr="00CE6F57">
        <w:rPr>
          <w:rFonts w:ascii="Times New Roman" w:hAnsi="Times New Roman" w:cs="Times New Roman"/>
          <w:i/>
          <w:iCs/>
          <w:sz w:val="24"/>
          <w:szCs w:val="24"/>
          <w:lang w:val="sq-AL"/>
        </w:rPr>
        <w:t>Për etiketimin e produkteve me ndikim në energji</w:t>
      </w:r>
      <w:r w:rsidRPr="00641640">
        <w:rPr>
          <w:rFonts w:ascii="Times New Roman" w:hAnsi="Times New Roman" w:cs="Times New Roman"/>
          <w:sz w:val="24"/>
          <w:szCs w:val="24"/>
          <w:lang w:val="sq-AL"/>
        </w:rPr>
        <w:t xml:space="preserve">”, si dhe Ligji </w:t>
      </w:r>
      <w:r w:rsidR="00EF4FA8">
        <w:rPr>
          <w:rFonts w:ascii="Times New Roman" w:hAnsi="Times New Roman" w:cs="Times New Roman"/>
          <w:sz w:val="24"/>
          <w:szCs w:val="24"/>
          <w:lang w:val="sq-AL"/>
        </w:rPr>
        <w:t>n</w:t>
      </w:r>
      <w:r w:rsidRPr="00641640">
        <w:rPr>
          <w:rFonts w:ascii="Times New Roman" w:hAnsi="Times New Roman" w:cs="Times New Roman"/>
          <w:sz w:val="24"/>
          <w:szCs w:val="24"/>
          <w:lang w:val="sq-AL"/>
        </w:rPr>
        <w:t>r. 155/2020 “</w:t>
      </w:r>
      <w:r w:rsidRPr="00EF4FA8">
        <w:rPr>
          <w:rFonts w:ascii="Times New Roman" w:hAnsi="Times New Roman" w:cs="Times New Roman"/>
          <w:i/>
          <w:iCs/>
          <w:sz w:val="24"/>
          <w:szCs w:val="24"/>
          <w:lang w:val="sq-AL"/>
        </w:rPr>
        <w:t>Për ndryshimet klimatike</w:t>
      </w:r>
      <w:r w:rsidRPr="00641640">
        <w:rPr>
          <w:rFonts w:ascii="Times New Roman" w:hAnsi="Times New Roman" w:cs="Times New Roman"/>
          <w:sz w:val="24"/>
          <w:szCs w:val="24"/>
          <w:lang w:val="sq-AL"/>
        </w:rPr>
        <w:t>”. Po kështu në vitin 2024, është miratuar Strategjia Afatgjatë e Rinovimit të Ndërtesave i cili shërben si një udhërrëfyes për zbatimin e masave të përshtatshme, duke synuar reduktimin e emetimeve të gazeve serrë me 80-95% deri në vitin 2050, përfshirë këtu ndërtesat publike, ndërtesat në pronësi ose në përdorim nga  organet e qeverisjes qendrore,</w:t>
      </w:r>
      <w:r w:rsidR="00E65D29">
        <w:rPr>
          <w:rFonts w:ascii="Times New Roman" w:hAnsi="Times New Roman" w:cs="Times New Roman"/>
          <w:sz w:val="24"/>
          <w:szCs w:val="24"/>
          <w:lang w:val="sq-AL"/>
        </w:rPr>
        <w:t xml:space="preserve"> </w:t>
      </w:r>
      <w:r w:rsidRPr="00641640">
        <w:rPr>
          <w:rFonts w:ascii="Times New Roman" w:hAnsi="Times New Roman" w:cs="Times New Roman"/>
          <w:sz w:val="24"/>
          <w:szCs w:val="24"/>
          <w:lang w:val="sq-AL"/>
        </w:rPr>
        <w:t>organet e qeverisjes vendore apo institucionet e varësisë.</w:t>
      </w:r>
    </w:p>
    <w:p w14:paraId="779B9F30" w14:textId="7B21833A" w:rsidR="00802A44" w:rsidRDefault="00802A44" w:rsidP="00802A44">
      <w:pPr>
        <w:spacing w:after="0" w:line="276" w:lineRule="auto"/>
        <w:jc w:val="both"/>
        <w:rPr>
          <w:rFonts w:ascii="Times New Roman" w:hAnsi="Times New Roman" w:cs="Times New Roman"/>
          <w:sz w:val="24"/>
          <w:szCs w:val="24"/>
          <w:lang w:val="sq-AL"/>
        </w:rPr>
      </w:pPr>
      <w:r w:rsidRPr="00641640">
        <w:rPr>
          <w:rFonts w:ascii="Times New Roman" w:hAnsi="Times New Roman" w:cs="Times New Roman"/>
          <w:sz w:val="24"/>
          <w:szCs w:val="24"/>
          <w:lang w:val="sq-AL"/>
        </w:rPr>
        <w:t xml:space="preserve">Megjithatë, përpjekje të mëtejshme në sektorin e shërbimeve publike nëpërmjet veprimeve konkrete, si rinovimi i stokut të ndërtesave publike, përdorimi eficient të energjisë elektrike, rritja e përqindjes së flotës së mjeteve elektrike, ulja e përdorimit të mjeteve të transportit, letrës, rritja e përqindjes së riciklimit, etj., vlerësohet të jetë një potencial i rëndësishëm i cili kontribuon në përpjekjet e vendit për arritjen e objektivave klimatik dhe të qëndrueshmërisë, duke zbatuar kështu edhe parimin </w:t>
      </w:r>
      <w:r w:rsidRPr="00641640">
        <w:rPr>
          <w:rFonts w:ascii="Times New Roman" w:hAnsi="Times New Roman" w:cs="Times New Roman"/>
          <w:i/>
          <w:sz w:val="24"/>
          <w:szCs w:val="24"/>
          <w:lang w:val="sq-AL"/>
        </w:rPr>
        <w:t>“Lead by example”</w:t>
      </w:r>
      <w:r w:rsidRPr="00641640">
        <w:rPr>
          <w:rFonts w:ascii="Times New Roman" w:hAnsi="Times New Roman" w:cs="Times New Roman"/>
          <w:sz w:val="24"/>
          <w:szCs w:val="24"/>
          <w:lang w:val="sq-AL"/>
        </w:rPr>
        <w:t>/“</w:t>
      </w:r>
      <w:r w:rsidRPr="00CC5CBD">
        <w:rPr>
          <w:rFonts w:ascii="Times New Roman" w:hAnsi="Times New Roman" w:cs="Times New Roman"/>
          <w:i/>
          <w:iCs/>
          <w:sz w:val="24"/>
          <w:szCs w:val="24"/>
          <w:lang w:val="sq-AL"/>
        </w:rPr>
        <w:t>Udhëhiq duke dhënë shembull</w:t>
      </w:r>
      <w:r w:rsidRPr="00641640">
        <w:rPr>
          <w:rFonts w:ascii="Times New Roman" w:hAnsi="Times New Roman" w:cs="Times New Roman"/>
          <w:sz w:val="24"/>
          <w:szCs w:val="24"/>
          <w:lang w:val="sq-AL"/>
        </w:rPr>
        <w:t xml:space="preserve">”. Një administratë e gjelbër </w:t>
      </w:r>
      <w:r w:rsidRPr="00641640">
        <w:rPr>
          <w:rFonts w:ascii="Times New Roman" w:hAnsi="Times New Roman" w:cs="Times New Roman"/>
          <w:sz w:val="24"/>
          <w:szCs w:val="24"/>
          <w:lang w:val="sq-AL"/>
        </w:rPr>
        <w:lastRenderedPageBreak/>
        <w:t xml:space="preserve">synon optimizimin e përdorimit të burimeve natyrore, reduktimin e ndotjes dhe emetimeve të karbonit, si dhe promovimin e kulturës së qëndrueshmërisë brenda sektorit publik. </w:t>
      </w:r>
    </w:p>
    <w:p w14:paraId="21E04D3A" w14:textId="77777777" w:rsidR="00CC5CBD" w:rsidRPr="00641640" w:rsidRDefault="00CC5CBD" w:rsidP="00802A44">
      <w:pPr>
        <w:spacing w:after="0" w:line="276" w:lineRule="auto"/>
        <w:jc w:val="both"/>
        <w:rPr>
          <w:rFonts w:ascii="Times New Roman" w:hAnsi="Times New Roman" w:cs="Times New Roman"/>
          <w:sz w:val="24"/>
          <w:szCs w:val="24"/>
          <w:lang w:val="sq-AL"/>
        </w:rPr>
      </w:pPr>
    </w:p>
    <w:p w14:paraId="2836DAF1" w14:textId="77777777" w:rsidR="00802A44" w:rsidRDefault="00802A44" w:rsidP="00802A44">
      <w:pPr>
        <w:spacing w:after="0" w:line="276" w:lineRule="auto"/>
        <w:jc w:val="both"/>
        <w:rPr>
          <w:rFonts w:ascii="Times New Roman" w:hAnsi="Times New Roman" w:cs="Times New Roman"/>
          <w:bCs/>
          <w:sz w:val="24"/>
          <w:szCs w:val="24"/>
          <w:lang w:val="sq-AL"/>
        </w:rPr>
      </w:pPr>
      <w:r w:rsidRPr="00641640">
        <w:rPr>
          <w:rFonts w:ascii="Times New Roman" w:hAnsi="Times New Roman" w:cs="Times New Roman"/>
          <w:bCs/>
          <w:sz w:val="24"/>
          <w:szCs w:val="24"/>
          <w:lang w:val="sq-AL"/>
        </w:rPr>
        <w:t>Objektivat e mëposhtëm Specifikë dhe masat e renditura për secilin objektiv do t’i shërbejnë arritjes së Qëllimit të Politikës të SNRAP 2025-2030.</w:t>
      </w:r>
    </w:p>
    <w:p w14:paraId="1B50E658" w14:textId="77777777" w:rsidR="00FE21CE" w:rsidRDefault="00FE21CE" w:rsidP="00802A44">
      <w:pPr>
        <w:spacing w:after="0" w:line="276" w:lineRule="auto"/>
        <w:jc w:val="both"/>
        <w:rPr>
          <w:rFonts w:ascii="Times New Roman" w:hAnsi="Times New Roman" w:cs="Times New Roman"/>
          <w:bCs/>
          <w:sz w:val="24"/>
          <w:szCs w:val="24"/>
          <w:lang w:val="sq-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165"/>
        <w:gridCol w:w="276"/>
        <w:gridCol w:w="534"/>
        <w:gridCol w:w="7375"/>
      </w:tblGrid>
      <w:tr w:rsidR="00FE21CE" w:rsidRPr="00641640" w14:paraId="65D29215" w14:textId="77777777" w:rsidTr="004A2B67">
        <w:tc>
          <w:tcPr>
            <w:tcW w:w="9350" w:type="dxa"/>
            <w:gridSpan w:val="4"/>
            <w:shd w:val="clear" w:color="auto" w:fill="E2EFD9" w:themeFill="accent6" w:themeFillTint="33"/>
          </w:tcPr>
          <w:p w14:paraId="7C3F93D9" w14:textId="4D8F0E36" w:rsidR="00FE21CE" w:rsidRPr="00641640" w:rsidRDefault="00FE21CE" w:rsidP="00EF7B8D">
            <w:pPr>
              <w:pStyle w:val="T-normal"/>
              <w:shd w:val="clear" w:color="auto" w:fill="E2EFD9" w:themeFill="accent6" w:themeFillTint="33"/>
              <w:spacing w:before="240" w:line="276" w:lineRule="auto"/>
              <w:jc w:val="center"/>
              <w:rPr>
                <w:rFonts w:ascii="Times New Roman" w:hAnsi="Times New Roman" w:cs="Times New Roman"/>
                <w:b/>
                <w:bCs/>
                <w:noProof/>
                <w:color w:val="003300"/>
                <w:sz w:val="18"/>
                <w:szCs w:val="18"/>
                <w:lang w:val="sq-AL"/>
              </w:rPr>
            </w:pPr>
            <w:r w:rsidRPr="00641640">
              <w:rPr>
                <w:rFonts w:ascii="Times New Roman" w:hAnsi="Times New Roman" w:cs="Times New Roman"/>
                <w:b/>
                <w:bCs/>
                <w:noProof/>
                <w:color w:val="003300"/>
                <w:sz w:val="18"/>
                <w:szCs w:val="18"/>
                <w:lang w:val="sq-AL"/>
              </w:rPr>
              <w:t xml:space="preserve">PËRMBLEDHJE E QËLLIMIT TË POLITIKËS </w:t>
            </w:r>
            <w:r>
              <w:rPr>
                <w:rFonts w:ascii="Times New Roman" w:hAnsi="Times New Roman" w:cs="Times New Roman"/>
                <w:b/>
                <w:bCs/>
                <w:noProof/>
                <w:color w:val="003300"/>
                <w:sz w:val="18"/>
                <w:szCs w:val="18"/>
                <w:lang w:val="sq-AL"/>
              </w:rPr>
              <w:t>5</w:t>
            </w:r>
            <w:r w:rsidRPr="00641640">
              <w:rPr>
                <w:rFonts w:ascii="Times New Roman" w:hAnsi="Times New Roman" w:cs="Times New Roman"/>
                <w:b/>
                <w:bCs/>
                <w:noProof/>
                <w:color w:val="003300"/>
                <w:sz w:val="18"/>
                <w:szCs w:val="18"/>
                <w:lang w:val="sq-AL"/>
              </w:rPr>
              <w:t xml:space="preserve"> – </w:t>
            </w:r>
            <w:r>
              <w:rPr>
                <w:rFonts w:ascii="Times New Roman" w:hAnsi="Times New Roman" w:cs="Times New Roman"/>
                <w:b/>
                <w:bCs/>
                <w:noProof/>
                <w:color w:val="003300"/>
                <w:sz w:val="18"/>
                <w:szCs w:val="18"/>
                <w:lang w:val="sq-AL"/>
              </w:rPr>
              <w:t>ADMINISTRATA E GJELBËR</w:t>
            </w:r>
          </w:p>
          <w:p w14:paraId="2E17E5AB" w14:textId="77777777" w:rsidR="00FE21CE" w:rsidRPr="00641640" w:rsidRDefault="00FE21CE" w:rsidP="00EF7B8D">
            <w:pPr>
              <w:pStyle w:val="T-normal"/>
              <w:shd w:val="clear" w:color="auto" w:fill="E2EFD9" w:themeFill="accent6" w:themeFillTint="33"/>
              <w:spacing w:line="276" w:lineRule="auto"/>
              <w:jc w:val="center"/>
              <w:rPr>
                <w:rFonts w:ascii="Times New Roman" w:hAnsi="Times New Roman" w:cs="Times New Roman"/>
                <w:b/>
                <w:bCs/>
                <w:noProof/>
                <w:color w:val="385623" w:themeColor="accent6" w:themeShade="80"/>
                <w:sz w:val="18"/>
                <w:szCs w:val="18"/>
                <w:lang w:val="sq-AL"/>
              </w:rPr>
            </w:pPr>
          </w:p>
        </w:tc>
      </w:tr>
      <w:tr w:rsidR="00FE21CE" w:rsidRPr="00641640" w14:paraId="12A4BF17" w14:textId="77777777" w:rsidTr="004A2B67">
        <w:tc>
          <w:tcPr>
            <w:tcW w:w="9350" w:type="dxa"/>
            <w:gridSpan w:val="4"/>
            <w:shd w:val="clear" w:color="auto" w:fill="E2EFD9" w:themeFill="accent6" w:themeFillTint="33"/>
          </w:tcPr>
          <w:p w14:paraId="01A43B53" w14:textId="77777777" w:rsidR="00FE21CE" w:rsidRPr="00641640" w:rsidRDefault="00FE21CE" w:rsidP="00FE21CE">
            <w:pPr>
              <w:pStyle w:val="T-normal"/>
              <w:spacing w:line="276" w:lineRule="auto"/>
              <w:jc w:val="both"/>
              <w:rPr>
                <w:rFonts w:ascii="Times New Roman" w:hAnsi="Times New Roman" w:cs="Times New Roman"/>
                <w:b/>
                <w:bCs/>
                <w:i/>
                <w:iCs/>
                <w:color w:val="C45911" w:themeColor="accent2" w:themeShade="BF"/>
                <w:sz w:val="18"/>
                <w:szCs w:val="18"/>
                <w:lang w:val="sq-AL"/>
              </w:rPr>
            </w:pPr>
            <w:r w:rsidRPr="00641640">
              <w:rPr>
                <w:rFonts w:ascii="Times New Roman" w:hAnsi="Times New Roman" w:cs="Times New Roman"/>
                <w:b/>
                <w:bCs/>
                <w:i/>
                <w:iCs/>
                <w:color w:val="C45911" w:themeColor="accent2" w:themeShade="BF"/>
                <w:sz w:val="18"/>
                <w:szCs w:val="18"/>
                <w:lang w:val="it-IT"/>
              </w:rPr>
              <w:t xml:space="preserve">Komponenti 5.1: </w:t>
            </w:r>
            <w:r w:rsidRPr="00641640">
              <w:rPr>
                <w:rFonts w:ascii="Times New Roman" w:hAnsi="Times New Roman" w:cs="Times New Roman"/>
                <w:b/>
                <w:bCs/>
                <w:i/>
                <w:iCs/>
                <w:color w:val="C45911" w:themeColor="accent2" w:themeShade="BF"/>
                <w:sz w:val="18"/>
                <w:szCs w:val="18"/>
                <w:lang w:val="sq-AL"/>
              </w:rPr>
              <w:t>Angazhimi i administratës publike drejt dimensionit të gjelbër të veprimtarisë institucionale</w:t>
            </w:r>
          </w:p>
          <w:p w14:paraId="28AD1253" w14:textId="77777777" w:rsidR="00FE21CE" w:rsidRPr="00641640" w:rsidRDefault="00FE21CE" w:rsidP="00EF7B8D">
            <w:pPr>
              <w:pStyle w:val="T-normal"/>
              <w:spacing w:line="276" w:lineRule="auto"/>
              <w:jc w:val="both"/>
              <w:rPr>
                <w:rFonts w:ascii="Times New Roman" w:hAnsi="Times New Roman" w:cs="Times New Roman"/>
                <w:noProof/>
                <w:sz w:val="10"/>
                <w:szCs w:val="10"/>
                <w:lang w:val="sq-AL"/>
              </w:rPr>
            </w:pPr>
          </w:p>
        </w:tc>
      </w:tr>
      <w:tr w:rsidR="00FE21CE" w:rsidRPr="00641640" w14:paraId="3FA5DB1E" w14:textId="77777777" w:rsidTr="004A2B67">
        <w:tc>
          <w:tcPr>
            <w:tcW w:w="1975" w:type="dxa"/>
            <w:gridSpan w:val="3"/>
            <w:shd w:val="clear" w:color="auto" w:fill="E2EFD9" w:themeFill="accent6" w:themeFillTint="33"/>
          </w:tcPr>
          <w:p w14:paraId="55438D07" w14:textId="38910B14" w:rsidR="00FE21CE" w:rsidRPr="00641640" w:rsidRDefault="00FE21CE" w:rsidP="00EF7B8D">
            <w:pPr>
              <w:pStyle w:val="T-normal"/>
              <w:spacing w:line="276" w:lineRule="auto"/>
              <w:jc w:val="both"/>
              <w:rPr>
                <w:rFonts w:ascii="Times New Roman" w:hAnsi="Times New Roman" w:cs="Times New Roman"/>
                <w:b/>
                <w:bCs/>
                <w:noProof/>
                <w:color w:val="003300"/>
                <w:sz w:val="18"/>
                <w:szCs w:val="18"/>
                <w:lang w:val="sq-AL"/>
              </w:rPr>
            </w:pPr>
            <w:r w:rsidRPr="00641640">
              <w:rPr>
                <w:rFonts w:ascii="Times New Roman" w:hAnsi="Times New Roman" w:cs="Times New Roman"/>
                <w:b/>
                <w:bCs/>
                <w:noProof/>
                <w:color w:val="003300"/>
                <w:sz w:val="18"/>
                <w:szCs w:val="18"/>
                <w:lang w:val="sq-AL"/>
              </w:rPr>
              <w:t xml:space="preserve">Objektivi Specifik </w:t>
            </w:r>
            <w:r>
              <w:rPr>
                <w:rFonts w:ascii="Times New Roman" w:hAnsi="Times New Roman" w:cs="Times New Roman"/>
                <w:b/>
                <w:bCs/>
                <w:noProof/>
                <w:color w:val="003300"/>
                <w:sz w:val="18"/>
                <w:szCs w:val="18"/>
                <w:lang w:val="sq-AL"/>
              </w:rPr>
              <w:t>5</w:t>
            </w:r>
            <w:r w:rsidRPr="00641640">
              <w:rPr>
                <w:rFonts w:ascii="Times New Roman" w:hAnsi="Times New Roman" w:cs="Times New Roman"/>
                <w:b/>
                <w:bCs/>
                <w:noProof/>
                <w:color w:val="003300"/>
                <w:sz w:val="18"/>
                <w:szCs w:val="18"/>
                <w:lang w:val="sq-AL"/>
              </w:rPr>
              <w:t>.1:</w:t>
            </w:r>
          </w:p>
        </w:tc>
        <w:tc>
          <w:tcPr>
            <w:tcW w:w="7375" w:type="dxa"/>
            <w:shd w:val="clear" w:color="auto" w:fill="E2EFD9" w:themeFill="accent6" w:themeFillTint="33"/>
          </w:tcPr>
          <w:p w14:paraId="1B861DD0" w14:textId="43727B03" w:rsidR="00FE21CE" w:rsidRPr="00641640" w:rsidRDefault="00FE21CE" w:rsidP="00EF7B8D">
            <w:pPr>
              <w:pStyle w:val="T-normal"/>
              <w:spacing w:line="276" w:lineRule="auto"/>
              <w:jc w:val="both"/>
              <w:rPr>
                <w:rFonts w:ascii="Times New Roman" w:hAnsi="Times New Roman" w:cs="Times New Roman"/>
                <w:b/>
                <w:bCs/>
                <w:noProof/>
                <w:color w:val="003300"/>
                <w:sz w:val="18"/>
                <w:szCs w:val="18"/>
                <w:lang w:val="sq-AL"/>
              </w:rPr>
            </w:pPr>
            <w:r w:rsidRPr="00641640">
              <w:rPr>
                <w:rFonts w:ascii="Times New Roman" w:hAnsi="Times New Roman" w:cs="Times New Roman"/>
                <w:b/>
                <w:bCs/>
                <w:color w:val="003300"/>
                <w:sz w:val="18"/>
                <w:szCs w:val="18"/>
                <w:lang w:val="it-IT"/>
              </w:rPr>
              <w:t>Përmirësimi i performancës mjedisore të institucioneve publike në përputhje me standardet e Skemës së Eko-Menaxhimit dhe Auditimit (SEMA</w:t>
            </w:r>
            <w:r>
              <w:rPr>
                <w:rFonts w:ascii="Times New Roman" w:hAnsi="Times New Roman" w:cs="Times New Roman"/>
                <w:b/>
                <w:bCs/>
                <w:color w:val="003300"/>
                <w:sz w:val="18"/>
                <w:szCs w:val="18"/>
                <w:lang w:val="it-IT"/>
              </w:rPr>
              <w:t>)</w:t>
            </w:r>
            <w:r w:rsidR="009E6040">
              <w:rPr>
                <w:rFonts w:ascii="Times New Roman" w:hAnsi="Times New Roman" w:cs="Times New Roman"/>
                <w:b/>
                <w:bCs/>
                <w:color w:val="003300"/>
                <w:sz w:val="18"/>
                <w:szCs w:val="18"/>
                <w:lang w:val="it-IT"/>
              </w:rPr>
              <w:t>.</w:t>
            </w:r>
          </w:p>
          <w:p w14:paraId="033266FE" w14:textId="77777777" w:rsidR="00FE21CE" w:rsidRPr="00641640" w:rsidRDefault="00FE21CE" w:rsidP="00EF7B8D">
            <w:pPr>
              <w:pStyle w:val="T-normal"/>
              <w:spacing w:line="276" w:lineRule="auto"/>
              <w:jc w:val="both"/>
              <w:rPr>
                <w:rFonts w:ascii="Times New Roman" w:hAnsi="Times New Roman" w:cs="Times New Roman"/>
                <w:b/>
                <w:bCs/>
                <w:noProof/>
                <w:color w:val="003300"/>
                <w:sz w:val="12"/>
                <w:szCs w:val="12"/>
                <w:lang w:val="sq-AL"/>
              </w:rPr>
            </w:pPr>
          </w:p>
        </w:tc>
      </w:tr>
      <w:tr w:rsidR="00FE21CE" w:rsidRPr="00641640" w14:paraId="2EDAFD4F" w14:textId="77777777" w:rsidTr="004A2B67">
        <w:tc>
          <w:tcPr>
            <w:tcW w:w="1165" w:type="dxa"/>
            <w:shd w:val="clear" w:color="auto" w:fill="E2EFD9" w:themeFill="accent6" w:themeFillTint="33"/>
          </w:tcPr>
          <w:p w14:paraId="58D3D442" w14:textId="6C43C9D9" w:rsidR="00FE21CE" w:rsidRPr="00641640" w:rsidRDefault="00FE21CE" w:rsidP="00EF7B8D">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D90276">
              <w:rPr>
                <w:rFonts w:ascii="Times New Roman" w:hAnsi="Times New Roman" w:cs="Times New Roman"/>
                <w:noProof/>
                <w:sz w:val="18"/>
                <w:szCs w:val="18"/>
                <w:lang w:val="sq-AL"/>
              </w:rPr>
              <w:t>5</w:t>
            </w:r>
            <w:r w:rsidRPr="00641640">
              <w:rPr>
                <w:rFonts w:ascii="Times New Roman" w:hAnsi="Times New Roman" w:cs="Times New Roman"/>
                <w:noProof/>
                <w:sz w:val="18"/>
                <w:szCs w:val="18"/>
                <w:lang w:val="sq-AL"/>
              </w:rPr>
              <w:t>.1.1</w:t>
            </w:r>
          </w:p>
        </w:tc>
        <w:tc>
          <w:tcPr>
            <w:tcW w:w="276" w:type="dxa"/>
            <w:shd w:val="clear" w:color="auto" w:fill="E2EFD9" w:themeFill="accent6" w:themeFillTint="33"/>
          </w:tcPr>
          <w:p w14:paraId="5182C7F5" w14:textId="77777777" w:rsidR="00FE21CE" w:rsidRPr="00641640" w:rsidRDefault="00FE21CE" w:rsidP="00EF7B8D">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48BB02C8" w14:textId="77777777" w:rsidR="00FE21CE" w:rsidRDefault="0087598E" w:rsidP="00EF7B8D">
            <w:pPr>
              <w:pStyle w:val="T-normal"/>
              <w:spacing w:line="276" w:lineRule="auto"/>
              <w:jc w:val="both"/>
              <w:rPr>
                <w:rFonts w:ascii="Times New Roman" w:hAnsi="Times New Roman" w:cs="Times New Roman"/>
                <w:noProof/>
                <w:sz w:val="18"/>
                <w:szCs w:val="18"/>
                <w:lang w:val="sq-AL"/>
              </w:rPr>
            </w:pPr>
            <w:r w:rsidRPr="0087598E">
              <w:rPr>
                <w:rFonts w:ascii="Times New Roman" w:hAnsi="Times New Roman" w:cs="Times New Roman"/>
                <w:noProof/>
                <w:sz w:val="18"/>
                <w:szCs w:val="18"/>
                <w:lang w:val="sq-AL"/>
              </w:rPr>
              <w:t>Plotësimi i kuadrit ligjor dhe krijimi i kushteve për zbatimin e skemës se Ekomenaxhimit dhe Auditimit (SEMA)</w:t>
            </w:r>
            <w:r w:rsidR="00FE21CE" w:rsidRPr="00641640">
              <w:rPr>
                <w:rFonts w:ascii="Times New Roman" w:hAnsi="Times New Roman" w:cs="Times New Roman"/>
                <w:noProof/>
                <w:sz w:val="18"/>
                <w:szCs w:val="18"/>
                <w:lang w:val="sq-AL"/>
              </w:rPr>
              <w:t>.</w:t>
            </w:r>
          </w:p>
          <w:p w14:paraId="6112F201" w14:textId="46F655C6" w:rsidR="00C43526" w:rsidRPr="00C43526" w:rsidRDefault="00C43526" w:rsidP="00EF7B8D">
            <w:pPr>
              <w:pStyle w:val="T-normal"/>
              <w:spacing w:line="276" w:lineRule="auto"/>
              <w:jc w:val="both"/>
              <w:rPr>
                <w:rFonts w:ascii="Times New Roman" w:hAnsi="Times New Roman" w:cs="Times New Roman"/>
                <w:noProof/>
                <w:sz w:val="8"/>
                <w:szCs w:val="8"/>
                <w:lang w:val="sq-AL"/>
              </w:rPr>
            </w:pPr>
          </w:p>
        </w:tc>
      </w:tr>
      <w:tr w:rsidR="00FE21CE" w:rsidRPr="00641640" w14:paraId="4FFEF63F" w14:textId="77777777" w:rsidTr="004A2B67">
        <w:tc>
          <w:tcPr>
            <w:tcW w:w="1165" w:type="dxa"/>
            <w:shd w:val="clear" w:color="auto" w:fill="E2EFD9" w:themeFill="accent6" w:themeFillTint="33"/>
          </w:tcPr>
          <w:p w14:paraId="22349D96" w14:textId="39DC9271" w:rsidR="00FE21CE" w:rsidRPr="00641640" w:rsidRDefault="00FE21CE" w:rsidP="00EF7B8D">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Masa</w:t>
            </w:r>
            <w:r w:rsidRPr="00641640" w:rsidDel="009179B8">
              <w:rPr>
                <w:rFonts w:ascii="Times New Roman" w:hAnsi="Times New Roman" w:cs="Times New Roman"/>
                <w:noProof/>
                <w:sz w:val="18"/>
                <w:szCs w:val="18"/>
                <w:lang w:val="sq-AL"/>
              </w:rPr>
              <w:t xml:space="preserve"> </w:t>
            </w:r>
            <w:r w:rsidR="0087598E">
              <w:rPr>
                <w:rFonts w:ascii="Times New Roman" w:hAnsi="Times New Roman" w:cs="Times New Roman"/>
                <w:noProof/>
                <w:sz w:val="18"/>
                <w:szCs w:val="18"/>
                <w:lang w:val="sq-AL"/>
              </w:rPr>
              <w:t>5</w:t>
            </w:r>
            <w:r w:rsidRPr="00641640">
              <w:rPr>
                <w:rFonts w:ascii="Times New Roman" w:hAnsi="Times New Roman" w:cs="Times New Roman"/>
                <w:noProof/>
                <w:sz w:val="18"/>
                <w:szCs w:val="18"/>
                <w:lang w:val="sq-AL"/>
              </w:rPr>
              <w:t>.1.2</w:t>
            </w:r>
          </w:p>
        </w:tc>
        <w:tc>
          <w:tcPr>
            <w:tcW w:w="276" w:type="dxa"/>
            <w:shd w:val="clear" w:color="auto" w:fill="E2EFD9" w:themeFill="accent6" w:themeFillTint="33"/>
          </w:tcPr>
          <w:p w14:paraId="578E4DD2" w14:textId="77777777" w:rsidR="00FE21CE" w:rsidRPr="00641640" w:rsidRDefault="00FE21CE" w:rsidP="00EF7B8D">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7DDDF92B" w14:textId="77777777" w:rsidR="00FE21CE" w:rsidRDefault="0087598E" w:rsidP="00EF7B8D">
            <w:pPr>
              <w:pStyle w:val="T-normal"/>
              <w:spacing w:line="276" w:lineRule="auto"/>
              <w:jc w:val="both"/>
              <w:rPr>
                <w:rFonts w:ascii="Times New Roman" w:hAnsi="Times New Roman" w:cs="Times New Roman"/>
                <w:noProof/>
                <w:sz w:val="18"/>
                <w:szCs w:val="18"/>
                <w:lang w:val="sq-AL"/>
              </w:rPr>
            </w:pPr>
            <w:r w:rsidRPr="0087598E">
              <w:rPr>
                <w:rFonts w:ascii="Times New Roman" w:hAnsi="Times New Roman" w:cs="Times New Roman"/>
                <w:noProof/>
                <w:sz w:val="18"/>
                <w:szCs w:val="18"/>
                <w:lang w:val="sq-AL"/>
              </w:rPr>
              <w:t>Përdorimi efiçent i burimeve natyrore në institucionet e administratës publike</w:t>
            </w:r>
            <w:r w:rsidR="00FE21CE" w:rsidRPr="00641640">
              <w:rPr>
                <w:rFonts w:ascii="Times New Roman" w:hAnsi="Times New Roman" w:cs="Times New Roman"/>
                <w:noProof/>
                <w:sz w:val="18"/>
                <w:szCs w:val="18"/>
                <w:lang w:val="sq-AL"/>
              </w:rPr>
              <w:t>.</w:t>
            </w:r>
          </w:p>
          <w:p w14:paraId="094C5253" w14:textId="77269E56" w:rsidR="00C43526" w:rsidRPr="00C43526" w:rsidRDefault="00C43526" w:rsidP="00EF7B8D">
            <w:pPr>
              <w:pStyle w:val="T-normal"/>
              <w:spacing w:line="276" w:lineRule="auto"/>
              <w:jc w:val="both"/>
              <w:rPr>
                <w:rFonts w:ascii="Times New Roman" w:hAnsi="Times New Roman" w:cs="Times New Roman"/>
                <w:noProof/>
                <w:sz w:val="8"/>
                <w:szCs w:val="8"/>
                <w:lang w:val="sq-AL"/>
              </w:rPr>
            </w:pPr>
          </w:p>
        </w:tc>
      </w:tr>
      <w:tr w:rsidR="00D90276" w:rsidRPr="00641640" w14:paraId="28200D79" w14:textId="77777777" w:rsidTr="004A2B67">
        <w:tc>
          <w:tcPr>
            <w:tcW w:w="1165" w:type="dxa"/>
            <w:shd w:val="clear" w:color="auto" w:fill="E2EFD9" w:themeFill="accent6" w:themeFillTint="33"/>
          </w:tcPr>
          <w:p w14:paraId="6E93F2C0" w14:textId="769F4A06" w:rsidR="00D90276" w:rsidRPr="00641640" w:rsidRDefault="001A16CC" w:rsidP="00EF7B8D">
            <w:pPr>
              <w:pStyle w:val="T-normal"/>
              <w:spacing w:line="276" w:lineRule="auto"/>
              <w:jc w:val="both"/>
              <w:rPr>
                <w:rFonts w:ascii="Times New Roman" w:hAnsi="Times New Roman" w:cs="Times New Roman"/>
                <w:noProof/>
                <w:sz w:val="18"/>
                <w:szCs w:val="18"/>
                <w:lang w:val="sq-AL"/>
              </w:rPr>
            </w:pPr>
            <w:r>
              <w:rPr>
                <w:rFonts w:ascii="Times New Roman" w:hAnsi="Times New Roman" w:cs="Times New Roman"/>
                <w:noProof/>
                <w:sz w:val="18"/>
                <w:szCs w:val="18"/>
                <w:lang w:val="sq-AL"/>
              </w:rPr>
              <w:t>Masa 5.1.3</w:t>
            </w:r>
          </w:p>
        </w:tc>
        <w:tc>
          <w:tcPr>
            <w:tcW w:w="276" w:type="dxa"/>
            <w:shd w:val="clear" w:color="auto" w:fill="E2EFD9" w:themeFill="accent6" w:themeFillTint="33"/>
          </w:tcPr>
          <w:p w14:paraId="3CD4A384" w14:textId="77777777" w:rsidR="00D90276" w:rsidRPr="00641640" w:rsidRDefault="00D90276" w:rsidP="00EF7B8D">
            <w:pPr>
              <w:pStyle w:val="T-normal"/>
              <w:spacing w:line="276" w:lineRule="auto"/>
              <w:jc w:val="both"/>
              <w:rPr>
                <w:rFonts w:ascii="Times New Roman" w:hAnsi="Times New Roman" w:cs="Times New Roman"/>
                <w:noProof/>
                <w:sz w:val="18"/>
                <w:szCs w:val="18"/>
                <w:lang w:val="sq-AL"/>
              </w:rPr>
            </w:pPr>
          </w:p>
        </w:tc>
        <w:tc>
          <w:tcPr>
            <w:tcW w:w="7909" w:type="dxa"/>
            <w:gridSpan w:val="2"/>
            <w:shd w:val="clear" w:color="auto" w:fill="E2EFD9" w:themeFill="accent6" w:themeFillTint="33"/>
          </w:tcPr>
          <w:p w14:paraId="4DDE0CE2" w14:textId="77777777" w:rsidR="00D90276" w:rsidRDefault="001B0DFF" w:rsidP="00EF7B8D">
            <w:pPr>
              <w:pStyle w:val="T-normal"/>
              <w:spacing w:line="276" w:lineRule="auto"/>
              <w:jc w:val="both"/>
              <w:rPr>
                <w:rFonts w:ascii="Times New Roman" w:hAnsi="Times New Roman" w:cs="Times New Roman"/>
                <w:noProof/>
                <w:sz w:val="18"/>
                <w:szCs w:val="18"/>
                <w:lang w:val="sq-AL"/>
              </w:rPr>
            </w:pPr>
            <w:r w:rsidRPr="001B0DFF">
              <w:rPr>
                <w:rFonts w:ascii="Times New Roman" w:hAnsi="Times New Roman" w:cs="Times New Roman"/>
                <w:noProof/>
                <w:sz w:val="18"/>
                <w:szCs w:val="18"/>
                <w:lang w:val="sq-AL"/>
              </w:rPr>
              <w:t>Përmirësimi i vazhdueshëm i performancës mjedisore të institucioneve publike në përputhje me standardet e Skemës së Eko-Menaxhimit dhe Auditimit (EMAS)</w:t>
            </w:r>
            <w:r w:rsidR="001A16CC">
              <w:rPr>
                <w:rFonts w:ascii="Times New Roman" w:hAnsi="Times New Roman" w:cs="Times New Roman"/>
                <w:noProof/>
                <w:sz w:val="18"/>
                <w:szCs w:val="18"/>
                <w:lang w:val="sq-AL"/>
              </w:rPr>
              <w:t>.</w:t>
            </w:r>
          </w:p>
          <w:p w14:paraId="4491CADB" w14:textId="3E04C353" w:rsidR="00C43526" w:rsidRPr="00C43526" w:rsidRDefault="00C43526" w:rsidP="00EF7B8D">
            <w:pPr>
              <w:pStyle w:val="T-normal"/>
              <w:spacing w:line="276" w:lineRule="auto"/>
              <w:jc w:val="both"/>
              <w:rPr>
                <w:rFonts w:ascii="Times New Roman" w:hAnsi="Times New Roman" w:cs="Times New Roman"/>
                <w:noProof/>
                <w:sz w:val="8"/>
                <w:szCs w:val="8"/>
                <w:lang w:val="sq-AL"/>
              </w:rPr>
            </w:pPr>
          </w:p>
        </w:tc>
      </w:tr>
      <w:tr w:rsidR="001A16CC" w:rsidRPr="00641640" w14:paraId="45E65C88" w14:textId="77777777" w:rsidTr="004A2B67">
        <w:tc>
          <w:tcPr>
            <w:tcW w:w="1165" w:type="dxa"/>
            <w:shd w:val="clear" w:color="auto" w:fill="E2EFD9" w:themeFill="accent6" w:themeFillTint="33"/>
          </w:tcPr>
          <w:p w14:paraId="7A50F52F" w14:textId="63F29F15" w:rsidR="001A16CC" w:rsidRDefault="001A16CC" w:rsidP="00EF7B8D">
            <w:pPr>
              <w:pStyle w:val="T-normal"/>
              <w:spacing w:line="276" w:lineRule="auto"/>
              <w:jc w:val="both"/>
              <w:rPr>
                <w:rFonts w:ascii="Times New Roman" w:hAnsi="Times New Roman" w:cs="Times New Roman"/>
                <w:noProof/>
                <w:sz w:val="18"/>
                <w:szCs w:val="18"/>
                <w:lang w:val="sq-AL"/>
              </w:rPr>
            </w:pPr>
            <w:r>
              <w:rPr>
                <w:rFonts w:ascii="Times New Roman" w:hAnsi="Times New Roman" w:cs="Times New Roman"/>
                <w:noProof/>
                <w:sz w:val="18"/>
                <w:szCs w:val="18"/>
                <w:lang w:val="sq-AL"/>
              </w:rPr>
              <w:t>Masa 5.1.4</w:t>
            </w:r>
          </w:p>
        </w:tc>
        <w:tc>
          <w:tcPr>
            <w:tcW w:w="276" w:type="dxa"/>
            <w:shd w:val="clear" w:color="auto" w:fill="E2EFD9" w:themeFill="accent6" w:themeFillTint="33"/>
          </w:tcPr>
          <w:p w14:paraId="0EDB0A1B" w14:textId="77777777" w:rsidR="001A16CC" w:rsidRPr="00641640" w:rsidRDefault="001A16CC" w:rsidP="00EF7B8D">
            <w:pPr>
              <w:pStyle w:val="T-normal"/>
              <w:spacing w:line="276" w:lineRule="auto"/>
              <w:jc w:val="both"/>
              <w:rPr>
                <w:rFonts w:ascii="Times New Roman" w:hAnsi="Times New Roman" w:cs="Times New Roman"/>
                <w:noProof/>
                <w:sz w:val="18"/>
                <w:szCs w:val="18"/>
                <w:lang w:val="sq-AL"/>
              </w:rPr>
            </w:pPr>
          </w:p>
        </w:tc>
        <w:tc>
          <w:tcPr>
            <w:tcW w:w="7909" w:type="dxa"/>
            <w:gridSpan w:val="2"/>
            <w:shd w:val="clear" w:color="auto" w:fill="E2EFD9" w:themeFill="accent6" w:themeFillTint="33"/>
          </w:tcPr>
          <w:p w14:paraId="041F755E" w14:textId="68C0A1A7" w:rsidR="001A16CC" w:rsidRPr="001B0DFF" w:rsidRDefault="008B002D" w:rsidP="00EF7B8D">
            <w:pPr>
              <w:pStyle w:val="T-normal"/>
              <w:spacing w:line="276" w:lineRule="auto"/>
              <w:jc w:val="both"/>
              <w:rPr>
                <w:rFonts w:ascii="Times New Roman" w:hAnsi="Times New Roman" w:cs="Times New Roman"/>
                <w:noProof/>
                <w:sz w:val="18"/>
                <w:szCs w:val="18"/>
                <w:lang w:val="sq-AL"/>
              </w:rPr>
            </w:pPr>
            <w:r w:rsidRPr="008B002D">
              <w:rPr>
                <w:rFonts w:ascii="Times New Roman" w:hAnsi="Times New Roman" w:cs="Times New Roman"/>
                <w:noProof/>
                <w:sz w:val="18"/>
                <w:szCs w:val="18"/>
                <w:lang w:val="sq-AL"/>
              </w:rPr>
              <w:t>Krijimi i sistemeve dhe instrumenteve për monitorimin e performancës energjetike në institucionet publike</w:t>
            </w:r>
            <w:r>
              <w:rPr>
                <w:rFonts w:ascii="Times New Roman" w:hAnsi="Times New Roman" w:cs="Times New Roman"/>
                <w:noProof/>
                <w:sz w:val="18"/>
                <w:szCs w:val="18"/>
                <w:lang w:val="sq-AL"/>
              </w:rPr>
              <w:t>.</w:t>
            </w:r>
          </w:p>
        </w:tc>
      </w:tr>
      <w:tr w:rsidR="00FE21CE" w:rsidRPr="00641640" w14:paraId="17F0EC94" w14:textId="77777777" w:rsidTr="004A2B67">
        <w:tc>
          <w:tcPr>
            <w:tcW w:w="9350" w:type="dxa"/>
            <w:gridSpan w:val="4"/>
            <w:shd w:val="clear" w:color="auto" w:fill="E2EFD9" w:themeFill="accent6" w:themeFillTint="33"/>
          </w:tcPr>
          <w:p w14:paraId="03399C4B" w14:textId="77777777" w:rsidR="00FE21CE" w:rsidRPr="00641640" w:rsidRDefault="00FE21CE" w:rsidP="00EF7B8D">
            <w:pPr>
              <w:pStyle w:val="T-normal"/>
              <w:spacing w:line="276" w:lineRule="auto"/>
              <w:jc w:val="both"/>
              <w:rPr>
                <w:rFonts w:ascii="Times New Roman" w:hAnsi="Times New Roman" w:cs="Times New Roman"/>
                <w:noProof/>
                <w:sz w:val="22"/>
                <w:szCs w:val="22"/>
                <w:lang w:val="sq-AL"/>
              </w:rPr>
            </w:pPr>
          </w:p>
          <w:p w14:paraId="354A8FEC" w14:textId="77777777" w:rsidR="00FE21CE" w:rsidRPr="00641640" w:rsidRDefault="00FE21CE" w:rsidP="00FE21CE">
            <w:pPr>
              <w:shd w:val="clear" w:color="auto" w:fill="E2EFD9" w:themeFill="accent6" w:themeFillTint="33"/>
              <w:jc w:val="both"/>
              <w:rPr>
                <w:rFonts w:ascii="Times New Roman" w:hAnsi="Times New Roman" w:cs="Times New Roman"/>
                <w:b/>
                <w:bCs/>
                <w:i/>
                <w:iCs/>
                <w:color w:val="C45911" w:themeColor="accent2" w:themeShade="BF"/>
                <w:sz w:val="18"/>
                <w:szCs w:val="18"/>
                <w:lang w:val="sq-AL"/>
              </w:rPr>
            </w:pPr>
            <w:r w:rsidRPr="00641640">
              <w:rPr>
                <w:rFonts w:ascii="Times New Roman" w:hAnsi="Times New Roman" w:cs="Times New Roman"/>
                <w:b/>
                <w:bCs/>
                <w:i/>
                <w:iCs/>
                <w:color w:val="C45911" w:themeColor="accent2" w:themeShade="BF"/>
                <w:sz w:val="18"/>
                <w:szCs w:val="18"/>
                <w:lang w:val="it-IT"/>
              </w:rPr>
              <w:t xml:space="preserve">Komponenti 5.2: </w:t>
            </w:r>
            <w:r w:rsidRPr="00641640">
              <w:rPr>
                <w:rFonts w:ascii="Times New Roman" w:hAnsi="Times New Roman" w:cs="Times New Roman"/>
                <w:b/>
                <w:bCs/>
                <w:i/>
                <w:iCs/>
                <w:color w:val="C45911" w:themeColor="accent2" w:themeShade="BF"/>
                <w:sz w:val="18"/>
                <w:szCs w:val="18"/>
                <w:lang w:val="sq-AL"/>
              </w:rPr>
              <w:t>Partneriteti për administratën e gjelbër</w:t>
            </w:r>
          </w:p>
          <w:p w14:paraId="72C8AF10" w14:textId="77777777" w:rsidR="00FE21CE" w:rsidRPr="00641640" w:rsidRDefault="00FE21CE" w:rsidP="00EF7B8D">
            <w:pPr>
              <w:pStyle w:val="T-normal"/>
              <w:spacing w:line="276" w:lineRule="auto"/>
              <w:jc w:val="both"/>
              <w:rPr>
                <w:rFonts w:ascii="Times New Roman" w:hAnsi="Times New Roman" w:cs="Times New Roman"/>
                <w:noProof/>
                <w:sz w:val="10"/>
                <w:szCs w:val="10"/>
                <w:lang w:val="sq-AL"/>
              </w:rPr>
            </w:pPr>
          </w:p>
        </w:tc>
      </w:tr>
      <w:tr w:rsidR="00FE21CE" w:rsidRPr="00641640" w14:paraId="59C0DFE9" w14:textId="77777777" w:rsidTr="004A2B67">
        <w:tc>
          <w:tcPr>
            <w:tcW w:w="1975" w:type="dxa"/>
            <w:gridSpan w:val="3"/>
            <w:shd w:val="clear" w:color="auto" w:fill="E2EFD9" w:themeFill="accent6" w:themeFillTint="33"/>
          </w:tcPr>
          <w:p w14:paraId="10B0B5AC" w14:textId="7F2BA86A" w:rsidR="00FE21CE" w:rsidRPr="00641640" w:rsidRDefault="00FE21CE" w:rsidP="00EF7B8D">
            <w:pPr>
              <w:pStyle w:val="T-normal"/>
              <w:spacing w:line="276" w:lineRule="auto"/>
              <w:jc w:val="both"/>
              <w:rPr>
                <w:rFonts w:ascii="Times New Roman" w:hAnsi="Times New Roman" w:cs="Times New Roman"/>
                <w:noProof/>
                <w:color w:val="003300"/>
                <w:sz w:val="18"/>
                <w:szCs w:val="18"/>
                <w:lang w:val="sq-AL"/>
              </w:rPr>
            </w:pPr>
            <w:r w:rsidRPr="00641640">
              <w:rPr>
                <w:rFonts w:ascii="Times New Roman" w:eastAsia="Times New Roman" w:hAnsi="Times New Roman" w:cs="Times New Roman"/>
                <w:b/>
                <w:noProof/>
                <w:color w:val="003300"/>
                <w:sz w:val="18"/>
                <w:szCs w:val="18"/>
                <w:lang w:val="sq-AL"/>
              </w:rPr>
              <w:t xml:space="preserve">Objektivi Specifik </w:t>
            </w:r>
            <w:r>
              <w:rPr>
                <w:rFonts w:ascii="Times New Roman" w:eastAsia="Times New Roman" w:hAnsi="Times New Roman" w:cs="Times New Roman"/>
                <w:b/>
                <w:noProof/>
                <w:color w:val="003300"/>
                <w:sz w:val="18"/>
                <w:szCs w:val="18"/>
                <w:lang w:val="sq-AL"/>
              </w:rPr>
              <w:t>5</w:t>
            </w:r>
            <w:r w:rsidRPr="00641640">
              <w:rPr>
                <w:rFonts w:ascii="Times New Roman" w:eastAsia="Times New Roman" w:hAnsi="Times New Roman" w:cs="Times New Roman"/>
                <w:b/>
                <w:noProof/>
                <w:color w:val="003300"/>
                <w:sz w:val="18"/>
                <w:szCs w:val="18"/>
                <w:lang w:val="sq-AL"/>
              </w:rPr>
              <w:t>.2:</w:t>
            </w:r>
          </w:p>
        </w:tc>
        <w:tc>
          <w:tcPr>
            <w:tcW w:w="7375" w:type="dxa"/>
            <w:shd w:val="clear" w:color="auto" w:fill="E2EFD9" w:themeFill="accent6" w:themeFillTint="33"/>
          </w:tcPr>
          <w:p w14:paraId="66363B08" w14:textId="5BBA06DC" w:rsidR="00FE21CE" w:rsidRPr="00641640" w:rsidRDefault="009E6040" w:rsidP="00EF7B8D">
            <w:pPr>
              <w:pStyle w:val="T-normal"/>
              <w:spacing w:line="276" w:lineRule="auto"/>
              <w:jc w:val="both"/>
              <w:rPr>
                <w:rFonts w:ascii="Times New Roman" w:eastAsia="Times New Roman" w:hAnsi="Times New Roman" w:cs="Times New Roman"/>
                <w:b/>
                <w:noProof/>
                <w:color w:val="003300"/>
                <w:sz w:val="18"/>
                <w:szCs w:val="18"/>
                <w:lang w:val="sq-AL"/>
              </w:rPr>
            </w:pPr>
            <w:r w:rsidRPr="00641640">
              <w:rPr>
                <w:rFonts w:ascii="Times New Roman" w:hAnsi="Times New Roman" w:cs="Times New Roman"/>
                <w:b/>
                <w:bCs/>
                <w:color w:val="003300"/>
                <w:sz w:val="18"/>
                <w:szCs w:val="18"/>
                <w:lang w:val="it-IT"/>
              </w:rPr>
              <w:t xml:space="preserve">Forcimi i partneritetit ndërsektorial për </w:t>
            </w:r>
            <w:r w:rsidR="004328E4">
              <w:rPr>
                <w:rFonts w:ascii="Times New Roman" w:hAnsi="Times New Roman" w:cs="Times New Roman"/>
                <w:b/>
                <w:bCs/>
                <w:color w:val="003300"/>
                <w:sz w:val="18"/>
                <w:szCs w:val="18"/>
                <w:lang w:val="it-IT"/>
              </w:rPr>
              <w:t>zba</w:t>
            </w:r>
            <w:r w:rsidRPr="00641640">
              <w:rPr>
                <w:rFonts w:ascii="Times New Roman" w:hAnsi="Times New Roman" w:cs="Times New Roman"/>
                <w:b/>
                <w:bCs/>
                <w:color w:val="003300"/>
                <w:sz w:val="18"/>
                <w:szCs w:val="18"/>
                <w:lang w:val="it-IT"/>
              </w:rPr>
              <w:t>timin e nismave të gjelbra në administratën publike</w:t>
            </w:r>
            <w:r w:rsidR="00FE21CE" w:rsidRPr="00641640">
              <w:rPr>
                <w:rFonts w:ascii="Times New Roman" w:eastAsia="Times New Roman" w:hAnsi="Times New Roman" w:cs="Times New Roman"/>
                <w:b/>
                <w:noProof/>
                <w:color w:val="003300"/>
                <w:sz w:val="18"/>
                <w:szCs w:val="18"/>
                <w:lang w:val="sq-AL"/>
              </w:rPr>
              <w:t>.</w:t>
            </w:r>
          </w:p>
          <w:p w14:paraId="4983A0E9" w14:textId="77777777" w:rsidR="00FE21CE" w:rsidRPr="00641640" w:rsidRDefault="00FE21CE" w:rsidP="00EF7B8D">
            <w:pPr>
              <w:pStyle w:val="T-normal"/>
              <w:spacing w:line="276" w:lineRule="auto"/>
              <w:jc w:val="both"/>
              <w:rPr>
                <w:rFonts w:ascii="Times New Roman" w:hAnsi="Times New Roman" w:cs="Times New Roman"/>
                <w:noProof/>
                <w:color w:val="003300"/>
                <w:sz w:val="12"/>
                <w:szCs w:val="12"/>
                <w:lang w:val="sq-AL"/>
              </w:rPr>
            </w:pPr>
          </w:p>
        </w:tc>
      </w:tr>
      <w:tr w:rsidR="00FE21CE" w:rsidRPr="00641640" w14:paraId="24A49A83" w14:textId="77777777" w:rsidTr="004A2B67">
        <w:tc>
          <w:tcPr>
            <w:tcW w:w="1165" w:type="dxa"/>
            <w:shd w:val="clear" w:color="auto" w:fill="E2EFD9" w:themeFill="accent6" w:themeFillTint="33"/>
          </w:tcPr>
          <w:p w14:paraId="575AE29B" w14:textId="20A48323" w:rsidR="00FE21CE" w:rsidRPr="00641640" w:rsidRDefault="00FE21CE" w:rsidP="00EF7B8D">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9A0674">
              <w:rPr>
                <w:rFonts w:ascii="Times New Roman" w:hAnsi="Times New Roman" w:cs="Times New Roman"/>
                <w:noProof/>
                <w:sz w:val="18"/>
                <w:szCs w:val="18"/>
                <w:lang w:val="sq-AL"/>
              </w:rPr>
              <w:t>5</w:t>
            </w:r>
            <w:r w:rsidRPr="00641640">
              <w:rPr>
                <w:rFonts w:ascii="Times New Roman" w:hAnsi="Times New Roman" w:cs="Times New Roman"/>
                <w:noProof/>
                <w:sz w:val="18"/>
                <w:szCs w:val="18"/>
                <w:lang w:val="sq-AL"/>
              </w:rPr>
              <w:t>.2.1</w:t>
            </w:r>
          </w:p>
        </w:tc>
        <w:tc>
          <w:tcPr>
            <w:tcW w:w="276" w:type="dxa"/>
            <w:shd w:val="clear" w:color="auto" w:fill="E2EFD9" w:themeFill="accent6" w:themeFillTint="33"/>
          </w:tcPr>
          <w:p w14:paraId="54B442E7" w14:textId="77777777" w:rsidR="00FE21CE" w:rsidRPr="00641640" w:rsidRDefault="00FE21CE" w:rsidP="00EF7B8D">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227775A8" w14:textId="75FC47A9" w:rsidR="00FE21CE" w:rsidRPr="00641640" w:rsidRDefault="009A0674" w:rsidP="00EF7B8D">
            <w:pPr>
              <w:pStyle w:val="T-normal"/>
              <w:spacing w:line="276" w:lineRule="auto"/>
              <w:jc w:val="both"/>
              <w:rPr>
                <w:rFonts w:ascii="Times New Roman" w:hAnsi="Times New Roman" w:cs="Times New Roman"/>
                <w:noProof/>
                <w:sz w:val="18"/>
                <w:szCs w:val="18"/>
                <w:lang w:val="sq-AL"/>
              </w:rPr>
            </w:pPr>
            <w:r w:rsidRPr="009A0674">
              <w:rPr>
                <w:rFonts w:ascii="Times New Roman" w:hAnsi="Times New Roman" w:cs="Times New Roman"/>
                <w:noProof/>
                <w:sz w:val="18"/>
                <w:szCs w:val="18"/>
                <w:lang w:val="sq-AL"/>
              </w:rPr>
              <w:t>Rritja e angazhimit komunitar për zbatimin e politikave të gjelbra në administratën publike</w:t>
            </w:r>
            <w:r w:rsidR="00FE21CE" w:rsidRPr="00641640">
              <w:rPr>
                <w:rFonts w:ascii="Times New Roman" w:hAnsi="Times New Roman" w:cs="Times New Roman"/>
                <w:noProof/>
                <w:sz w:val="18"/>
                <w:szCs w:val="18"/>
                <w:lang w:val="sq-AL"/>
              </w:rPr>
              <w:t>.</w:t>
            </w:r>
          </w:p>
          <w:p w14:paraId="5BE96A6C" w14:textId="77777777" w:rsidR="00FE21CE" w:rsidRPr="00641640" w:rsidRDefault="00FE21CE" w:rsidP="00EF7B8D">
            <w:pPr>
              <w:pStyle w:val="T-normal"/>
              <w:spacing w:line="276" w:lineRule="auto"/>
              <w:jc w:val="both"/>
              <w:rPr>
                <w:rFonts w:ascii="Times New Roman" w:hAnsi="Times New Roman" w:cs="Times New Roman"/>
                <w:noProof/>
                <w:sz w:val="8"/>
                <w:szCs w:val="8"/>
                <w:lang w:val="sq-AL"/>
              </w:rPr>
            </w:pPr>
          </w:p>
        </w:tc>
      </w:tr>
      <w:tr w:rsidR="00FE21CE" w:rsidRPr="00641640" w14:paraId="3C0C4010" w14:textId="77777777" w:rsidTr="004A2B67">
        <w:tc>
          <w:tcPr>
            <w:tcW w:w="1165" w:type="dxa"/>
            <w:shd w:val="clear" w:color="auto" w:fill="E2EFD9" w:themeFill="accent6" w:themeFillTint="33"/>
          </w:tcPr>
          <w:p w14:paraId="59C84EEF" w14:textId="4CAE6E61" w:rsidR="00FE21CE" w:rsidRPr="00641640" w:rsidRDefault="00FE21CE" w:rsidP="00EF7B8D">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BD6285">
              <w:rPr>
                <w:rFonts w:ascii="Times New Roman" w:hAnsi="Times New Roman" w:cs="Times New Roman"/>
                <w:noProof/>
                <w:sz w:val="18"/>
                <w:szCs w:val="18"/>
                <w:lang w:val="sq-AL"/>
              </w:rPr>
              <w:t>5</w:t>
            </w:r>
            <w:r w:rsidRPr="00641640">
              <w:rPr>
                <w:rFonts w:ascii="Times New Roman" w:hAnsi="Times New Roman" w:cs="Times New Roman"/>
                <w:noProof/>
                <w:sz w:val="18"/>
                <w:szCs w:val="18"/>
                <w:lang w:val="sq-AL"/>
              </w:rPr>
              <w:t>.2.2</w:t>
            </w:r>
          </w:p>
        </w:tc>
        <w:tc>
          <w:tcPr>
            <w:tcW w:w="276" w:type="dxa"/>
            <w:shd w:val="clear" w:color="auto" w:fill="E2EFD9" w:themeFill="accent6" w:themeFillTint="33"/>
          </w:tcPr>
          <w:p w14:paraId="7488FB44" w14:textId="77777777" w:rsidR="00FE21CE" w:rsidRPr="00641640" w:rsidRDefault="00FE21CE" w:rsidP="00EF7B8D">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47EBCC5F" w14:textId="570DEB42" w:rsidR="00FE21CE" w:rsidRPr="00C43526" w:rsidRDefault="0007744D" w:rsidP="00EF7B8D">
            <w:pPr>
              <w:pStyle w:val="T-normal"/>
              <w:spacing w:line="276" w:lineRule="auto"/>
              <w:jc w:val="both"/>
              <w:rPr>
                <w:rFonts w:ascii="Times New Roman" w:hAnsi="Times New Roman" w:cs="Times New Roman"/>
                <w:noProof/>
                <w:sz w:val="18"/>
                <w:szCs w:val="18"/>
                <w:lang w:val="sq-AL"/>
              </w:rPr>
            </w:pPr>
            <w:r w:rsidRPr="0007744D">
              <w:rPr>
                <w:rFonts w:ascii="Times New Roman" w:hAnsi="Times New Roman" w:cs="Times New Roman"/>
                <w:noProof/>
                <w:sz w:val="18"/>
                <w:szCs w:val="18"/>
                <w:lang w:val="sq-AL"/>
              </w:rPr>
              <w:t>Rritja e bashkëpunimit me administratat në rajon dhe Bashkimin Evropian për ndarjen e praktikave dhe përmirësimin e proceseve të gjelbra administrative</w:t>
            </w:r>
            <w:r w:rsidR="00FE21CE" w:rsidRPr="00641640">
              <w:rPr>
                <w:rFonts w:ascii="Times New Roman" w:hAnsi="Times New Roman" w:cs="Times New Roman"/>
                <w:noProof/>
                <w:sz w:val="18"/>
                <w:szCs w:val="18"/>
                <w:lang w:val="sq-AL"/>
              </w:rPr>
              <w:t>.</w:t>
            </w:r>
          </w:p>
        </w:tc>
      </w:tr>
      <w:tr w:rsidR="00FE21CE" w:rsidRPr="00641640" w14:paraId="03AAD596" w14:textId="77777777" w:rsidTr="004A2B67">
        <w:tc>
          <w:tcPr>
            <w:tcW w:w="9350" w:type="dxa"/>
            <w:gridSpan w:val="4"/>
            <w:shd w:val="clear" w:color="auto" w:fill="E2EFD9" w:themeFill="accent6" w:themeFillTint="33"/>
          </w:tcPr>
          <w:p w14:paraId="74CE32FB" w14:textId="77777777" w:rsidR="00FE21CE" w:rsidRPr="00641640" w:rsidRDefault="00FE21CE" w:rsidP="00EF7B8D">
            <w:pPr>
              <w:pStyle w:val="T-normal"/>
              <w:spacing w:line="276" w:lineRule="auto"/>
              <w:jc w:val="both"/>
              <w:rPr>
                <w:rFonts w:ascii="Times New Roman" w:hAnsi="Times New Roman" w:cs="Times New Roman"/>
                <w:noProof/>
                <w:sz w:val="22"/>
                <w:szCs w:val="22"/>
                <w:lang w:val="sq-AL"/>
              </w:rPr>
            </w:pPr>
          </w:p>
          <w:p w14:paraId="1DC9B20B" w14:textId="77777777" w:rsidR="00FE21CE" w:rsidRDefault="00FE21CE" w:rsidP="00FE21CE">
            <w:pPr>
              <w:pStyle w:val="T-normal"/>
              <w:spacing w:line="276" w:lineRule="auto"/>
              <w:jc w:val="both"/>
              <w:rPr>
                <w:rFonts w:ascii="Times New Roman" w:hAnsi="Times New Roman" w:cs="Times New Roman"/>
                <w:b/>
                <w:i/>
                <w:color w:val="C45911" w:themeColor="accent2" w:themeShade="BF"/>
                <w:sz w:val="18"/>
                <w:szCs w:val="18"/>
                <w:lang w:val="en-GB"/>
              </w:rPr>
            </w:pPr>
            <w:r w:rsidRPr="00641640">
              <w:rPr>
                <w:rFonts w:ascii="Times New Roman" w:hAnsi="Times New Roman" w:cs="Times New Roman"/>
                <w:b/>
                <w:i/>
                <w:color w:val="C45911" w:themeColor="accent2" w:themeShade="BF"/>
                <w:sz w:val="18"/>
                <w:szCs w:val="18"/>
                <w:lang w:val="en-GB"/>
              </w:rPr>
              <w:t>Komponenti 5.3</w:t>
            </w:r>
            <w:r w:rsidRPr="00641640">
              <w:rPr>
                <w:rFonts w:ascii="Times New Roman" w:hAnsi="Times New Roman" w:cs="Times New Roman"/>
                <w:b/>
                <w:bCs/>
                <w:i/>
                <w:iCs/>
                <w:noProof/>
                <w:color w:val="C45911" w:themeColor="accent2" w:themeShade="BF"/>
                <w:sz w:val="18"/>
                <w:szCs w:val="18"/>
                <w:lang w:val="sq-AL"/>
              </w:rPr>
              <w:t xml:space="preserve">: </w:t>
            </w:r>
            <w:r w:rsidRPr="00641640">
              <w:rPr>
                <w:rFonts w:ascii="Times New Roman" w:hAnsi="Times New Roman" w:cs="Times New Roman"/>
                <w:b/>
                <w:i/>
                <w:color w:val="C45911" w:themeColor="accent2" w:themeShade="BF"/>
                <w:sz w:val="18"/>
                <w:szCs w:val="18"/>
                <w:lang w:val="en-GB"/>
              </w:rPr>
              <w:t>Gjelbërimi i kapitalit njerëzor në administratën publike</w:t>
            </w:r>
          </w:p>
          <w:p w14:paraId="3EB011E2" w14:textId="1BF20D2A" w:rsidR="00FE21CE" w:rsidRPr="00FE21CE" w:rsidRDefault="00FE21CE" w:rsidP="00FE21CE">
            <w:pPr>
              <w:pStyle w:val="T-normal"/>
              <w:spacing w:line="276" w:lineRule="auto"/>
              <w:jc w:val="both"/>
              <w:rPr>
                <w:rFonts w:ascii="Times New Roman" w:hAnsi="Times New Roman" w:cs="Times New Roman"/>
                <w:b/>
                <w:i/>
                <w:color w:val="C45911" w:themeColor="accent2" w:themeShade="BF"/>
                <w:sz w:val="10"/>
                <w:szCs w:val="10"/>
                <w:lang w:val="en-GB"/>
              </w:rPr>
            </w:pPr>
          </w:p>
        </w:tc>
      </w:tr>
      <w:tr w:rsidR="00FE21CE" w:rsidRPr="00641640" w14:paraId="40C9B7CF" w14:textId="77777777" w:rsidTr="004A2B67">
        <w:tc>
          <w:tcPr>
            <w:tcW w:w="1975" w:type="dxa"/>
            <w:gridSpan w:val="3"/>
            <w:shd w:val="clear" w:color="auto" w:fill="E2EFD9" w:themeFill="accent6" w:themeFillTint="33"/>
          </w:tcPr>
          <w:p w14:paraId="4BD07DBC" w14:textId="2B4D30C2" w:rsidR="00FE21CE" w:rsidRPr="00641640" w:rsidRDefault="00FE21CE" w:rsidP="00EF7B8D">
            <w:pPr>
              <w:pStyle w:val="T-normal"/>
              <w:spacing w:line="276" w:lineRule="auto"/>
              <w:jc w:val="both"/>
              <w:rPr>
                <w:rFonts w:ascii="Times New Roman" w:hAnsi="Times New Roman" w:cs="Times New Roman"/>
                <w:noProof/>
                <w:color w:val="003300"/>
                <w:sz w:val="18"/>
                <w:szCs w:val="18"/>
                <w:lang w:val="sq-AL"/>
              </w:rPr>
            </w:pPr>
            <w:r w:rsidRPr="00641640">
              <w:rPr>
                <w:rFonts w:ascii="Times New Roman" w:hAnsi="Times New Roman" w:cs="Times New Roman"/>
                <w:b/>
                <w:bCs/>
                <w:noProof/>
                <w:color w:val="003300"/>
                <w:sz w:val="18"/>
                <w:szCs w:val="18"/>
                <w:lang w:val="sq-AL"/>
              </w:rPr>
              <w:t xml:space="preserve">Ojektivi Specifik </w:t>
            </w:r>
            <w:r>
              <w:rPr>
                <w:rFonts w:ascii="Times New Roman" w:hAnsi="Times New Roman" w:cs="Times New Roman"/>
                <w:b/>
                <w:bCs/>
                <w:noProof/>
                <w:color w:val="003300"/>
                <w:sz w:val="18"/>
                <w:szCs w:val="18"/>
                <w:lang w:val="sq-AL"/>
              </w:rPr>
              <w:t>5</w:t>
            </w:r>
            <w:r w:rsidRPr="00641640">
              <w:rPr>
                <w:rFonts w:ascii="Times New Roman" w:hAnsi="Times New Roman" w:cs="Times New Roman"/>
                <w:b/>
                <w:bCs/>
                <w:noProof/>
                <w:color w:val="003300"/>
                <w:sz w:val="18"/>
                <w:szCs w:val="18"/>
                <w:lang w:val="sq-AL"/>
              </w:rPr>
              <w:t>.3:</w:t>
            </w:r>
          </w:p>
        </w:tc>
        <w:tc>
          <w:tcPr>
            <w:tcW w:w="7375" w:type="dxa"/>
            <w:shd w:val="clear" w:color="auto" w:fill="E2EFD9" w:themeFill="accent6" w:themeFillTint="33"/>
          </w:tcPr>
          <w:p w14:paraId="18746F83" w14:textId="37E4E2C8" w:rsidR="00FE21CE" w:rsidRDefault="00D71B8A" w:rsidP="00EF7B8D">
            <w:pPr>
              <w:pStyle w:val="T-normal"/>
              <w:spacing w:line="276" w:lineRule="auto"/>
              <w:jc w:val="both"/>
              <w:rPr>
                <w:rFonts w:ascii="Times New Roman" w:hAnsi="Times New Roman" w:cs="Times New Roman"/>
                <w:b/>
                <w:bCs/>
                <w:noProof/>
                <w:color w:val="003300"/>
                <w:sz w:val="18"/>
                <w:szCs w:val="18"/>
                <w:lang w:val="sq-AL"/>
              </w:rPr>
            </w:pPr>
            <w:r>
              <w:rPr>
                <w:rFonts w:ascii="Times New Roman" w:hAnsi="Times New Roman" w:cs="Times New Roman"/>
                <w:b/>
                <w:bCs/>
                <w:noProof/>
                <w:color w:val="003300"/>
                <w:sz w:val="18"/>
                <w:szCs w:val="18"/>
                <w:lang w:val="sq-AL"/>
              </w:rPr>
              <w:t xml:space="preserve">Transformimi i kapitalit njerëzor të sektorit </w:t>
            </w:r>
            <w:r w:rsidR="00FE21CE" w:rsidRPr="00641640">
              <w:rPr>
                <w:rFonts w:ascii="Times New Roman" w:hAnsi="Times New Roman" w:cs="Times New Roman"/>
                <w:b/>
                <w:bCs/>
                <w:noProof/>
                <w:color w:val="003300"/>
                <w:sz w:val="18"/>
                <w:szCs w:val="18"/>
                <w:lang w:val="sq-AL"/>
              </w:rPr>
              <w:t>publik</w:t>
            </w:r>
            <w:r>
              <w:rPr>
                <w:rFonts w:ascii="Times New Roman" w:hAnsi="Times New Roman" w:cs="Times New Roman"/>
                <w:b/>
                <w:bCs/>
                <w:noProof/>
                <w:color w:val="003300"/>
                <w:sz w:val="18"/>
                <w:szCs w:val="18"/>
                <w:lang w:val="sq-AL"/>
              </w:rPr>
              <w:t xml:space="preserve"> për tranzicionin ekologjik</w:t>
            </w:r>
            <w:r w:rsidR="00FE21CE" w:rsidRPr="00641640">
              <w:rPr>
                <w:rFonts w:ascii="Times New Roman" w:hAnsi="Times New Roman" w:cs="Times New Roman"/>
                <w:b/>
                <w:bCs/>
                <w:noProof/>
                <w:color w:val="003300"/>
                <w:sz w:val="18"/>
                <w:szCs w:val="18"/>
                <w:lang w:val="sq-AL"/>
              </w:rPr>
              <w:t>.</w:t>
            </w:r>
          </w:p>
          <w:p w14:paraId="45E6C2BD" w14:textId="77777777" w:rsidR="00FE21CE" w:rsidRPr="00641640" w:rsidRDefault="00FE21CE" w:rsidP="00D71B8A">
            <w:pPr>
              <w:pStyle w:val="T-normal"/>
              <w:spacing w:line="276" w:lineRule="auto"/>
              <w:jc w:val="both"/>
              <w:rPr>
                <w:rFonts w:ascii="Times New Roman" w:hAnsi="Times New Roman" w:cs="Times New Roman"/>
                <w:noProof/>
                <w:color w:val="003300"/>
                <w:sz w:val="12"/>
                <w:szCs w:val="12"/>
                <w:lang w:val="sq-AL"/>
              </w:rPr>
            </w:pPr>
          </w:p>
        </w:tc>
      </w:tr>
      <w:tr w:rsidR="00FE21CE" w:rsidRPr="00641640" w14:paraId="6D9778E4" w14:textId="77777777" w:rsidTr="004A2B67">
        <w:tc>
          <w:tcPr>
            <w:tcW w:w="1165" w:type="dxa"/>
            <w:shd w:val="clear" w:color="auto" w:fill="E2EFD9" w:themeFill="accent6" w:themeFillTint="33"/>
          </w:tcPr>
          <w:p w14:paraId="159D504D" w14:textId="534B07D7" w:rsidR="00FE21CE" w:rsidRPr="00641640" w:rsidRDefault="00FE21CE" w:rsidP="00EF7B8D">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E46145">
              <w:rPr>
                <w:rFonts w:ascii="Times New Roman" w:hAnsi="Times New Roman" w:cs="Times New Roman"/>
                <w:noProof/>
                <w:sz w:val="18"/>
                <w:szCs w:val="18"/>
                <w:lang w:val="sq-AL"/>
              </w:rPr>
              <w:t>5</w:t>
            </w:r>
            <w:r w:rsidRPr="00641640">
              <w:rPr>
                <w:rFonts w:ascii="Times New Roman" w:hAnsi="Times New Roman" w:cs="Times New Roman"/>
                <w:noProof/>
                <w:sz w:val="18"/>
                <w:szCs w:val="18"/>
                <w:lang w:val="sq-AL"/>
              </w:rPr>
              <w:t>.3.1</w:t>
            </w:r>
          </w:p>
        </w:tc>
        <w:tc>
          <w:tcPr>
            <w:tcW w:w="276" w:type="dxa"/>
            <w:shd w:val="clear" w:color="auto" w:fill="E2EFD9" w:themeFill="accent6" w:themeFillTint="33"/>
          </w:tcPr>
          <w:p w14:paraId="4F1E541E" w14:textId="77777777" w:rsidR="00FE21CE" w:rsidRPr="00641640" w:rsidRDefault="00FE21CE" w:rsidP="00EF7B8D">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598DDAF0" w14:textId="5381B2CB" w:rsidR="00FE21CE" w:rsidRPr="00641640" w:rsidRDefault="00E46145" w:rsidP="00EF7B8D">
            <w:pPr>
              <w:pStyle w:val="T-normal"/>
              <w:spacing w:line="276" w:lineRule="auto"/>
              <w:jc w:val="both"/>
              <w:rPr>
                <w:rFonts w:ascii="Times New Roman" w:hAnsi="Times New Roman" w:cs="Times New Roman"/>
                <w:noProof/>
                <w:sz w:val="18"/>
                <w:szCs w:val="18"/>
                <w:lang w:val="sq-AL"/>
              </w:rPr>
            </w:pPr>
            <w:r w:rsidRPr="00E46145">
              <w:rPr>
                <w:rFonts w:ascii="Times New Roman" w:hAnsi="Times New Roman" w:cs="Times New Roman"/>
                <w:noProof/>
                <w:sz w:val="18"/>
                <w:szCs w:val="18"/>
                <w:lang w:val="sq-AL"/>
              </w:rPr>
              <w:t>Integrimi i aftësive të gjelbra në trajnimet dhe rekrutimin në administratën publike</w:t>
            </w:r>
            <w:r w:rsidR="00FE21CE" w:rsidRPr="00641640">
              <w:rPr>
                <w:rFonts w:ascii="Times New Roman" w:hAnsi="Times New Roman" w:cs="Times New Roman"/>
                <w:noProof/>
                <w:sz w:val="18"/>
                <w:szCs w:val="18"/>
                <w:lang w:val="sq-AL"/>
              </w:rPr>
              <w:t>.</w:t>
            </w:r>
          </w:p>
          <w:p w14:paraId="32151370" w14:textId="77777777" w:rsidR="00FE21CE" w:rsidRPr="00641640" w:rsidRDefault="00FE21CE" w:rsidP="00EF7B8D">
            <w:pPr>
              <w:pStyle w:val="T-normal"/>
              <w:spacing w:line="276" w:lineRule="auto"/>
              <w:jc w:val="both"/>
              <w:rPr>
                <w:rFonts w:ascii="Times New Roman" w:hAnsi="Times New Roman" w:cs="Times New Roman"/>
                <w:noProof/>
                <w:sz w:val="8"/>
                <w:szCs w:val="8"/>
                <w:lang w:val="sq-AL"/>
              </w:rPr>
            </w:pPr>
          </w:p>
        </w:tc>
      </w:tr>
      <w:tr w:rsidR="00FE21CE" w:rsidRPr="00641640" w14:paraId="13B965C2" w14:textId="77777777" w:rsidTr="004A2B67">
        <w:tc>
          <w:tcPr>
            <w:tcW w:w="1165" w:type="dxa"/>
            <w:shd w:val="clear" w:color="auto" w:fill="E2EFD9" w:themeFill="accent6" w:themeFillTint="33"/>
          </w:tcPr>
          <w:p w14:paraId="6705AE6C" w14:textId="2E6EBE7C" w:rsidR="00FE21CE" w:rsidRPr="00641640" w:rsidRDefault="00FE21CE" w:rsidP="00EF7B8D">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E46145">
              <w:rPr>
                <w:rFonts w:ascii="Times New Roman" w:hAnsi="Times New Roman" w:cs="Times New Roman"/>
                <w:noProof/>
                <w:sz w:val="18"/>
                <w:szCs w:val="18"/>
                <w:lang w:val="sq-AL"/>
              </w:rPr>
              <w:t>5</w:t>
            </w:r>
            <w:r w:rsidRPr="00641640">
              <w:rPr>
                <w:rFonts w:ascii="Times New Roman" w:hAnsi="Times New Roman" w:cs="Times New Roman"/>
                <w:noProof/>
                <w:sz w:val="18"/>
                <w:szCs w:val="18"/>
                <w:lang w:val="sq-AL"/>
              </w:rPr>
              <w:t>.3.2</w:t>
            </w:r>
          </w:p>
        </w:tc>
        <w:tc>
          <w:tcPr>
            <w:tcW w:w="276" w:type="dxa"/>
            <w:shd w:val="clear" w:color="auto" w:fill="E2EFD9" w:themeFill="accent6" w:themeFillTint="33"/>
          </w:tcPr>
          <w:p w14:paraId="60015F24" w14:textId="77777777" w:rsidR="00FE21CE" w:rsidRPr="00641640" w:rsidRDefault="00FE21CE" w:rsidP="00EF7B8D">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6E4622FE" w14:textId="11CC3C4D" w:rsidR="00FE21CE" w:rsidRPr="00C43526" w:rsidRDefault="00880BD2" w:rsidP="00EF7B8D">
            <w:pPr>
              <w:pStyle w:val="T-normal"/>
              <w:spacing w:line="276" w:lineRule="auto"/>
              <w:jc w:val="both"/>
              <w:rPr>
                <w:rFonts w:ascii="Times New Roman" w:hAnsi="Times New Roman" w:cs="Times New Roman"/>
                <w:noProof/>
                <w:sz w:val="18"/>
                <w:szCs w:val="18"/>
                <w:lang w:val="sq-AL"/>
              </w:rPr>
            </w:pPr>
            <w:r w:rsidRPr="00880BD2">
              <w:rPr>
                <w:rFonts w:ascii="Times New Roman" w:hAnsi="Times New Roman" w:cs="Times New Roman"/>
                <w:noProof/>
                <w:sz w:val="18"/>
                <w:szCs w:val="18"/>
                <w:lang w:val="sq-AL"/>
              </w:rPr>
              <w:t>Fuqizimi i lidershipit të mesëm dhe të lartë për tranzicionin ekologjik</w:t>
            </w:r>
            <w:r w:rsidR="00FE21CE" w:rsidRPr="00641640">
              <w:rPr>
                <w:rFonts w:ascii="Times New Roman" w:hAnsi="Times New Roman" w:cs="Times New Roman"/>
                <w:noProof/>
                <w:sz w:val="18"/>
                <w:szCs w:val="18"/>
                <w:lang w:val="sq-AL"/>
              </w:rPr>
              <w:t>.</w:t>
            </w:r>
          </w:p>
        </w:tc>
      </w:tr>
      <w:tr w:rsidR="00FE21CE" w:rsidRPr="00641640" w14:paraId="1F78309E" w14:textId="77777777" w:rsidTr="004A2B67">
        <w:tc>
          <w:tcPr>
            <w:tcW w:w="9350" w:type="dxa"/>
            <w:gridSpan w:val="4"/>
            <w:shd w:val="clear" w:color="auto" w:fill="E2EFD9" w:themeFill="accent6" w:themeFillTint="33"/>
          </w:tcPr>
          <w:p w14:paraId="0446FE7B" w14:textId="77777777" w:rsidR="00FE21CE" w:rsidRPr="00641640" w:rsidRDefault="00FE21CE" w:rsidP="00EF7B8D">
            <w:pPr>
              <w:pStyle w:val="T-normal"/>
              <w:spacing w:line="276" w:lineRule="auto"/>
              <w:jc w:val="both"/>
              <w:rPr>
                <w:rFonts w:ascii="Times New Roman" w:hAnsi="Times New Roman" w:cs="Times New Roman"/>
                <w:b/>
                <w:bCs/>
                <w:noProof/>
                <w:color w:val="ED7D31" w:themeColor="accent2"/>
                <w:sz w:val="22"/>
                <w:szCs w:val="22"/>
                <w:lang w:val="sq-AL"/>
              </w:rPr>
            </w:pPr>
          </w:p>
          <w:p w14:paraId="329D5A4D" w14:textId="6D1B1BE1" w:rsidR="00FE21CE" w:rsidRPr="00641640" w:rsidRDefault="00FE21CE" w:rsidP="00EF7B8D">
            <w:pPr>
              <w:pStyle w:val="T-normal"/>
              <w:spacing w:line="276" w:lineRule="auto"/>
              <w:jc w:val="both"/>
              <w:rPr>
                <w:rFonts w:ascii="Times New Roman" w:hAnsi="Times New Roman" w:cs="Times New Roman"/>
                <w:b/>
                <w:i/>
                <w:iCs/>
                <w:noProof/>
                <w:color w:val="C45911" w:themeColor="accent2" w:themeShade="BF"/>
                <w:sz w:val="18"/>
                <w:szCs w:val="18"/>
                <w:lang w:val="sq-AL"/>
              </w:rPr>
            </w:pPr>
            <w:r w:rsidRPr="00641640">
              <w:rPr>
                <w:rFonts w:ascii="Times New Roman" w:hAnsi="Times New Roman" w:cs="Times New Roman"/>
                <w:b/>
                <w:i/>
                <w:iCs/>
                <w:noProof/>
                <w:color w:val="C45911" w:themeColor="accent2" w:themeShade="BF"/>
                <w:sz w:val="18"/>
                <w:szCs w:val="18"/>
                <w:lang w:val="sq-AL"/>
              </w:rPr>
              <w:t xml:space="preserve">Komponenti </w:t>
            </w:r>
            <w:r>
              <w:rPr>
                <w:rFonts w:ascii="Times New Roman" w:hAnsi="Times New Roman" w:cs="Times New Roman"/>
                <w:b/>
                <w:i/>
                <w:iCs/>
                <w:noProof/>
                <w:color w:val="C45911" w:themeColor="accent2" w:themeShade="BF"/>
                <w:sz w:val="18"/>
                <w:szCs w:val="18"/>
                <w:lang w:val="sq-AL"/>
              </w:rPr>
              <w:t>5</w:t>
            </w:r>
            <w:r w:rsidRPr="00641640">
              <w:rPr>
                <w:rFonts w:ascii="Times New Roman" w:hAnsi="Times New Roman" w:cs="Times New Roman"/>
                <w:b/>
                <w:i/>
                <w:iCs/>
                <w:noProof/>
                <w:color w:val="C45911" w:themeColor="accent2" w:themeShade="BF"/>
                <w:sz w:val="18"/>
                <w:szCs w:val="18"/>
                <w:lang w:val="sq-AL"/>
              </w:rPr>
              <w:t xml:space="preserve">.4: </w:t>
            </w:r>
            <w:r w:rsidRPr="00641640">
              <w:rPr>
                <w:rFonts w:ascii="Times New Roman" w:eastAsia="Times New Roman" w:hAnsi="Times New Roman" w:cs="Times New Roman"/>
                <w:b/>
                <w:i/>
                <w:color w:val="C45911" w:themeColor="accent2" w:themeShade="BF"/>
                <w:sz w:val="18"/>
                <w:szCs w:val="18"/>
              </w:rPr>
              <w:t xml:space="preserve">Gjelbërimi i prokurimit dhe veprimtarisë të përditshme </w:t>
            </w:r>
            <w:r w:rsidRPr="00641640">
              <w:rPr>
                <w:rFonts w:ascii="Times New Roman" w:hAnsi="Times New Roman" w:cs="Times New Roman"/>
                <w:b/>
                <w:i/>
                <w:iCs/>
                <w:noProof/>
                <w:color w:val="C45911" w:themeColor="accent2" w:themeShade="BF"/>
                <w:sz w:val="18"/>
                <w:szCs w:val="18"/>
                <w:lang w:val="sq-AL"/>
              </w:rPr>
              <w:t>publike</w:t>
            </w:r>
          </w:p>
          <w:p w14:paraId="599E0D7C" w14:textId="77777777" w:rsidR="00FE21CE" w:rsidRPr="00641640" w:rsidRDefault="00FE21CE" w:rsidP="00EF7B8D">
            <w:pPr>
              <w:pStyle w:val="T-normal"/>
              <w:spacing w:line="276" w:lineRule="auto"/>
              <w:jc w:val="both"/>
              <w:rPr>
                <w:rFonts w:ascii="Times New Roman" w:hAnsi="Times New Roman" w:cs="Times New Roman"/>
                <w:noProof/>
                <w:sz w:val="10"/>
                <w:szCs w:val="10"/>
                <w:lang w:val="sq-AL"/>
              </w:rPr>
            </w:pPr>
          </w:p>
        </w:tc>
      </w:tr>
      <w:tr w:rsidR="00FE21CE" w:rsidRPr="00641640" w14:paraId="21E50E69" w14:textId="77777777" w:rsidTr="004A2B67">
        <w:tc>
          <w:tcPr>
            <w:tcW w:w="1975" w:type="dxa"/>
            <w:gridSpan w:val="3"/>
            <w:shd w:val="clear" w:color="auto" w:fill="E2EFD9" w:themeFill="accent6" w:themeFillTint="33"/>
          </w:tcPr>
          <w:p w14:paraId="60EDE208" w14:textId="7CD11354" w:rsidR="00FE21CE" w:rsidRPr="00641640" w:rsidRDefault="00FE21CE" w:rsidP="00EF7B8D">
            <w:pPr>
              <w:pStyle w:val="T-normal"/>
              <w:spacing w:line="276" w:lineRule="auto"/>
              <w:jc w:val="both"/>
              <w:rPr>
                <w:rFonts w:ascii="Times New Roman" w:hAnsi="Times New Roman" w:cs="Times New Roman"/>
                <w:noProof/>
                <w:color w:val="003300"/>
                <w:sz w:val="18"/>
                <w:szCs w:val="18"/>
                <w:lang w:val="sq-AL"/>
              </w:rPr>
            </w:pPr>
            <w:r w:rsidRPr="00641640">
              <w:rPr>
                <w:rFonts w:ascii="Times New Roman" w:hAnsi="Times New Roman" w:cs="Times New Roman"/>
                <w:b/>
                <w:bCs/>
                <w:noProof/>
                <w:color w:val="003300"/>
                <w:sz w:val="18"/>
                <w:szCs w:val="18"/>
                <w:lang w:val="sq-AL"/>
              </w:rPr>
              <w:t xml:space="preserve">Ojektivi Specifik </w:t>
            </w:r>
            <w:r>
              <w:rPr>
                <w:rFonts w:ascii="Times New Roman" w:hAnsi="Times New Roman" w:cs="Times New Roman"/>
                <w:b/>
                <w:bCs/>
                <w:noProof/>
                <w:color w:val="003300"/>
                <w:sz w:val="18"/>
                <w:szCs w:val="18"/>
                <w:lang w:val="sq-AL"/>
              </w:rPr>
              <w:t>5</w:t>
            </w:r>
            <w:r w:rsidRPr="00641640">
              <w:rPr>
                <w:rFonts w:ascii="Times New Roman" w:hAnsi="Times New Roman" w:cs="Times New Roman"/>
                <w:b/>
                <w:bCs/>
                <w:noProof/>
                <w:color w:val="003300"/>
                <w:sz w:val="18"/>
                <w:szCs w:val="18"/>
                <w:lang w:val="sq-AL"/>
              </w:rPr>
              <w:t>.4:</w:t>
            </w:r>
          </w:p>
        </w:tc>
        <w:tc>
          <w:tcPr>
            <w:tcW w:w="7375" w:type="dxa"/>
            <w:shd w:val="clear" w:color="auto" w:fill="E2EFD9" w:themeFill="accent6" w:themeFillTint="33"/>
          </w:tcPr>
          <w:p w14:paraId="2105356F" w14:textId="6AF5B8CA" w:rsidR="00FE21CE" w:rsidRDefault="00D71B8A" w:rsidP="00EF7B8D">
            <w:pPr>
              <w:pStyle w:val="T-normal"/>
              <w:spacing w:line="276" w:lineRule="auto"/>
              <w:jc w:val="both"/>
              <w:rPr>
                <w:rFonts w:ascii="Times New Roman" w:hAnsi="Times New Roman" w:cs="Times New Roman"/>
                <w:b/>
                <w:bCs/>
                <w:noProof/>
                <w:color w:val="003300"/>
                <w:sz w:val="18"/>
                <w:szCs w:val="18"/>
                <w:lang w:val="sq-AL"/>
              </w:rPr>
            </w:pPr>
            <w:r>
              <w:rPr>
                <w:rFonts w:ascii="Times New Roman" w:hAnsi="Times New Roman" w:cs="Times New Roman"/>
                <w:b/>
                <w:bCs/>
                <w:noProof/>
                <w:color w:val="003300"/>
                <w:sz w:val="18"/>
                <w:szCs w:val="18"/>
                <w:lang w:val="sq-AL"/>
              </w:rPr>
              <w:t>Përshpejtimi i prokurimit të gjelbër publik dhe zb</w:t>
            </w:r>
            <w:r w:rsidR="00086EAB">
              <w:rPr>
                <w:rFonts w:ascii="Times New Roman" w:hAnsi="Times New Roman" w:cs="Times New Roman"/>
                <w:b/>
                <w:bCs/>
                <w:noProof/>
                <w:color w:val="003300"/>
                <w:sz w:val="18"/>
                <w:szCs w:val="18"/>
                <w:lang w:val="sq-AL"/>
              </w:rPr>
              <w:t>a</w:t>
            </w:r>
            <w:r>
              <w:rPr>
                <w:rFonts w:ascii="Times New Roman" w:hAnsi="Times New Roman" w:cs="Times New Roman"/>
                <w:b/>
                <w:bCs/>
                <w:noProof/>
                <w:color w:val="003300"/>
                <w:sz w:val="18"/>
                <w:szCs w:val="18"/>
                <w:lang w:val="sq-AL"/>
              </w:rPr>
              <w:t>timi i parimeve t</w:t>
            </w:r>
            <w:r w:rsidR="00FE21CE" w:rsidRPr="00641640">
              <w:rPr>
                <w:rFonts w:ascii="Times New Roman" w:hAnsi="Times New Roman" w:cs="Times New Roman"/>
                <w:b/>
                <w:bCs/>
                <w:noProof/>
                <w:color w:val="003300"/>
                <w:sz w:val="18"/>
                <w:szCs w:val="18"/>
                <w:lang w:val="sq-AL"/>
              </w:rPr>
              <w:t>ë</w:t>
            </w:r>
            <w:r w:rsidR="00086EAB">
              <w:rPr>
                <w:rFonts w:ascii="Times New Roman" w:hAnsi="Times New Roman" w:cs="Times New Roman"/>
                <w:b/>
                <w:bCs/>
                <w:noProof/>
                <w:color w:val="003300"/>
                <w:sz w:val="18"/>
                <w:szCs w:val="18"/>
                <w:lang w:val="sq-AL"/>
              </w:rPr>
              <w:t xml:space="preserve"> ekonomisë qarkulluese</w:t>
            </w:r>
            <w:r w:rsidR="00FE21CE" w:rsidRPr="00641640">
              <w:rPr>
                <w:rFonts w:ascii="Times New Roman" w:hAnsi="Times New Roman" w:cs="Times New Roman"/>
                <w:b/>
                <w:bCs/>
                <w:noProof/>
                <w:color w:val="003300"/>
                <w:sz w:val="18"/>
                <w:szCs w:val="18"/>
                <w:lang w:val="sq-AL"/>
              </w:rPr>
              <w:t>.</w:t>
            </w:r>
          </w:p>
          <w:p w14:paraId="5FDFA5B6" w14:textId="77777777" w:rsidR="00FE21CE" w:rsidRPr="00641640" w:rsidRDefault="00FE21CE" w:rsidP="00EF7B8D">
            <w:pPr>
              <w:pStyle w:val="T-normal"/>
              <w:spacing w:line="276" w:lineRule="auto"/>
              <w:jc w:val="both"/>
              <w:rPr>
                <w:rFonts w:ascii="Times New Roman" w:hAnsi="Times New Roman" w:cs="Times New Roman"/>
                <w:noProof/>
                <w:color w:val="003300"/>
                <w:sz w:val="12"/>
                <w:szCs w:val="12"/>
                <w:lang w:val="sq-AL"/>
              </w:rPr>
            </w:pPr>
          </w:p>
        </w:tc>
      </w:tr>
      <w:tr w:rsidR="00FE21CE" w:rsidRPr="00641640" w14:paraId="03181B0C" w14:textId="77777777" w:rsidTr="004A2B67">
        <w:tc>
          <w:tcPr>
            <w:tcW w:w="1165" w:type="dxa"/>
            <w:shd w:val="clear" w:color="auto" w:fill="E2EFD9" w:themeFill="accent6" w:themeFillTint="33"/>
          </w:tcPr>
          <w:p w14:paraId="6B669D12" w14:textId="649BF02A" w:rsidR="00FE21CE" w:rsidRPr="00641640" w:rsidRDefault="00FE21CE" w:rsidP="00EF7B8D">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4A349D">
              <w:rPr>
                <w:rFonts w:ascii="Times New Roman" w:hAnsi="Times New Roman" w:cs="Times New Roman"/>
                <w:noProof/>
                <w:sz w:val="18"/>
                <w:szCs w:val="18"/>
                <w:lang w:val="sq-AL"/>
              </w:rPr>
              <w:t>5</w:t>
            </w:r>
            <w:r w:rsidRPr="00641640">
              <w:rPr>
                <w:rFonts w:ascii="Times New Roman" w:hAnsi="Times New Roman" w:cs="Times New Roman"/>
                <w:noProof/>
                <w:sz w:val="18"/>
                <w:szCs w:val="18"/>
                <w:lang w:val="sq-AL"/>
              </w:rPr>
              <w:t>.4.1</w:t>
            </w:r>
          </w:p>
        </w:tc>
        <w:tc>
          <w:tcPr>
            <w:tcW w:w="276" w:type="dxa"/>
            <w:shd w:val="clear" w:color="auto" w:fill="E2EFD9" w:themeFill="accent6" w:themeFillTint="33"/>
          </w:tcPr>
          <w:p w14:paraId="5AA4ADF4" w14:textId="77777777" w:rsidR="00FE21CE" w:rsidRPr="00641640" w:rsidRDefault="00FE21CE" w:rsidP="00EF7B8D">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7AB25190" w14:textId="72F8B122" w:rsidR="00FE21CE" w:rsidRPr="00641640" w:rsidRDefault="00614DEA" w:rsidP="00EF7B8D">
            <w:pPr>
              <w:pStyle w:val="T-normal"/>
              <w:spacing w:line="276" w:lineRule="auto"/>
              <w:jc w:val="both"/>
              <w:rPr>
                <w:rFonts w:ascii="Times New Roman" w:hAnsi="Times New Roman" w:cs="Times New Roman"/>
                <w:noProof/>
                <w:sz w:val="18"/>
                <w:szCs w:val="18"/>
                <w:lang w:val="sq-AL"/>
              </w:rPr>
            </w:pPr>
            <w:r w:rsidRPr="00614DEA">
              <w:rPr>
                <w:rFonts w:ascii="Times New Roman" w:hAnsi="Times New Roman" w:cs="Times New Roman"/>
                <w:noProof/>
                <w:sz w:val="18"/>
                <w:szCs w:val="18"/>
                <w:lang w:val="sq-AL"/>
              </w:rPr>
              <w:t>Integrimi i kritereve mjedisore në mënyrë të qëndrueshme në prokurimet publike</w:t>
            </w:r>
            <w:r w:rsidR="00FE21CE" w:rsidRPr="00641640">
              <w:rPr>
                <w:rFonts w:ascii="Times New Roman" w:hAnsi="Times New Roman" w:cs="Times New Roman"/>
                <w:noProof/>
                <w:sz w:val="18"/>
                <w:szCs w:val="18"/>
                <w:lang w:val="sq-AL"/>
              </w:rPr>
              <w:t>.</w:t>
            </w:r>
          </w:p>
          <w:p w14:paraId="25EFFF0B" w14:textId="77777777" w:rsidR="00FE21CE" w:rsidRPr="00641640" w:rsidRDefault="00FE21CE" w:rsidP="00EF7B8D">
            <w:pPr>
              <w:pStyle w:val="T-normal"/>
              <w:spacing w:line="276" w:lineRule="auto"/>
              <w:jc w:val="both"/>
              <w:rPr>
                <w:rFonts w:ascii="Times New Roman" w:hAnsi="Times New Roman" w:cs="Times New Roman"/>
                <w:noProof/>
                <w:sz w:val="8"/>
                <w:szCs w:val="8"/>
                <w:lang w:val="sq-AL"/>
              </w:rPr>
            </w:pPr>
          </w:p>
        </w:tc>
      </w:tr>
      <w:tr w:rsidR="00FE21CE" w:rsidRPr="00641640" w14:paraId="4CA60B28" w14:textId="77777777" w:rsidTr="004A2B67">
        <w:tc>
          <w:tcPr>
            <w:tcW w:w="1165" w:type="dxa"/>
            <w:shd w:val="clear" w:color="auto" w:fill="E2EFD9" w:themeFill="accent6" w:themeFillTint="33"/>
          </w:tcPr>
          <w:p w14:paraId="4ED24ADD" w14:textId="7B52A183" w:rsidR="00FE21CE" w:rsidRPr="00641640" w:rsidRDefault="00FE21CE" w:rsidP="00EF7B8D">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 xml:space="preserve">Masa </w:t>
            </w:r>
            <w:r w:rsidR="004A349D">
              <w:rPr>
                <w:rFonts w:ascii="Times New Roman" w:hAnsi="Times New Roman" w:cs="Times New Roman"/>
                <w:noProof/>
                <w:sz w:val="18"/>
                <w:szCs w:val="18"/>
                <w:lang w:val="sq-AL"/>
              </w:rPr>
              <w:t>5</w:t>
            </w:r>
            <w:r w:rsidRPr="00641640">
              <w:rPr>
                <w:rFonts w:ascii="Times New Roman" w:hAnsi="Times New Roman" w:cs="Times New Roman"/>
                <w:noProof/>
                <w:sz w:val="18"/>
                <w:szCs w:val="18"/>
                <w:lang w:val="sq-AL"/>
              </w:rPr>
              <w:t>.4.2</w:t>
            </w:r>
          </w:p>
        </w:tc>
        <w:tc>
          <w:tcPr>
            <w:tcW w:w="276" w:type="dxa"/>
            <w:shd w:val="clear" w:color="auto" w:fill="E2EFD9" w:themeFill="accent6" w:themeFillTint="33"/>
          </w:tcPr>
          <w:p w14:paraId="748EE045" w14:textId="77777777" w:rsidR="00FE21CE" w:rsidRPr="00641640" w:rsidRDefault="00FE21CE" w:rsidP="00EF7B8D">
            <w:pPr>
              <w:pStyle w:val="T-normal"/>
              <w:spacing w:line="276" w:lineRule="auto"/>
              <w:jc w:val="both"/>
              <w:rPr>
                <w:rFonts w:ascii="Times New Roman" w:hAnsi="Times New Roman" w:cs="Times New Roman"/>
                <w:noProof/>
                <w:sz w:val="18"/>
                <w:szCs w:val="18"/>
                <w:lang w:val="sq-AL"/>
              </w:rPr>
            </w:pPr>
            <w:r w:rsidRPr="00641640">
              <w:rPr>
                <w:rFonts w:ascii="Times New Roman" w:hAnsi="Times New Roman" w:cs="Times New Roman"/>
                <w:noProof/>
                <w:sz w:val="18"/>
                <w:szCs w:val="18"/>
                <w:lang w:val="sq-AL"/>
              </w:rPr>
              <w:t>-</w:t>
            </w:r>
          </w:p>
        </w:tc>
        <w:tc>
          <w:tcPr>
            <w:tcW w:w="7909" w:type="dxa"/>
            <w:gridSpan w:val="2"/>
            <w:shd w:val="clear" w:color="auto" w:fill="E2EFD9" w:themeFill="accent6" w:themeFillTint="33"/>
          </w:tcPr>
          <w:p w14:paraId="283E9BB2" w14:textId="37CE3C31" w:rsidR="00FE21CE" w:rsidRPr="00641640" w:rsidRDefault="00F4130C" w:rsidP="00EF7B8D">
            <w:pPr>
              <w:pStyle w:val="T-normal"/>
              <w:spacing w:line="276" w:lineRule="auto"/>
              <w:jc w:val="both"/>
              <w:rPr>
                <w:rFonts w:ascii="Times New Roman" w:hAnsi="Times New Roman" w:cs="Times New Roman"/>
                <w:noProof/>
                <w:sz w:val="18"/>
                <w:szCs w:val="18"/>
                <w:lang w:val="sq-AL"/>
              </w:rPr>
            </w:pPr>
            <w:r w:rsidRPr="00F4130C">
              <w:rPr>
                <w:rFonts w:ascii="Times New Roman" w:hAnsi="Times New Roman" w:cs="Times New Roman"/>
                <w:noProof/>
                <w:sz w:val="18"/>
                <w:szCs w:val="18"/>
                <w:lang w:val="sq-AL"/>
              </w:rPr>
              <w:t>Nxitja e përdorimit qarkullues të materialeve në veprimtarinë e sektorit publik</w:t>
            </w:r>
            <w:r w:rsidR="00FE21CE" w:rsidRPr="00641640">
              <w:rPr>
                <w:rFonts w:ascii="Times New Roman" w:hAnsi="Times New Roman" w:cs="Times New Roman"/>
                <w:noProof/>
                <w:sz w:val="18"/>
                <w:szCs w:val="18"/>
                <w:lang w:val="sq-AL"/>
              </w:rPr>
              <w:t>.</w:t>
            </w:r>
          </w:p>
          <w:p w14:paraId="04E7D369" w14:textId="77777777" w:rsidR="00FE21CE" w:rsidRPr="00641640" w:rsidRDefault="00FE21CE" w:rsidP="00EF7B8D">
            <w:pPr>
              <w:pStyle w:val="T-normal"/>
              <w:spacing w:line="276" w:lineRule="auto"/>
              <w:jc w:val="both"/>
              <w:rPr>
                <w:rFonts w:ascii="Times New Roman" w:hAnsi="Times New Roman" w:cs="Times New Roman"/>
                <w:noProof/>
                <w:sz w:val="8"/>
                <w:szCs w:val="8"/>
                <w:lang w:val="sq-AL"/>
              </w:rPr>
            </w:pPr>
          </w:p>
        </w:tc>
      </w:tr>
    </w:tbl>
    <w:p w14:paraId="11B23247" w14:textId="77777777" w:rsidR="00FE21CE" w:rsidRPr="00641640" w:rsidRDefault="00FE21CE" w:rsidP="00802A44">
      <w:pPr>
        <w:spacing w:after="0" w:line="276" w:lineRule="auto"/>
        <w:jc w:val="both"/>
        <w:rPr>
          <w:rFonts w:ascii="Times New Roman" w:hAnsi="Times New Roman" w:cs="Times New Roman"/>
          <w:bCs/>
          <w:sz w:val="24"/>
          <w:szCs w:val="24"/>
          <w:lang w:val="sq-AL"/>
        </w:rPr>
      </w:pPr>
    </w:p>
    <w:p w14:paraId="3165D93D" w14:textId="77777777" w:rsidR="00802A44" w:rsidRPr="00641640" w:rsidRDefault="00802A44" w:rsidP="00802A44">
      <w:pPr>
        <w:spacing w:line="276" w:lineRule="auto"/>
        <w:jc w:val="both"/>
        <w:rPr>
          <w:rFonts w:ascii="Times New Roman" w:hAnsi="Times New Roman" w:cs="Times New Roman"/>
          <w:b/>
          <w:bCs/>
          <w:i/>
          <w:iCs/>
          <w:sz w:val="24"/>
          <w:szCs w:val="24"/>
          <w:lang w:val="sq-AL"/>
        </w:rPr>
      </w:pPr>
      <w:r w:rsidRPr="00641640">
        <w:rPr>
          <w:rFonts w:ascii="Times New Roman" w:hAnsi="Times New Roman" w:cs="Times New Roman"/>
          <w:b/>
          <w:bCs/>
          <w:i/>
          <w:iCs/>
          <w:sz w:val="24"/>
          <w:szCs w:val="24"/>
          <w:lang w:val="sq-AL"/>
        </w:rPr>
        <w:t xml:space="preserve">Komponenti 5.1: Angazhimi i administratës publike drejt dimensionit të gjelbër të veprimtarisë institucionale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E4"/>
        <w:tblLook w:val="04A0" w:firstRow="1" w:lastRow="0" w:firstColumn="1" w:lastColumn="0" w:noHBand="0" w:noVBand="1"/>
      </w:tblPr>
      <w:tblGrid>
        <w:gridCol w:w="535"/>
        <w:gridCol w:w="8815"/>
      </w:tblGrid>
      <w:tr w:rsidR="00802A44" w:rsidRPr="00641640" w14:paraId="47CBCA79" w14:textId="77777777" w:rsidTr="00972BC3">
        <w:tc>
          <w:tcPr>
            <w:tcW w:w="535" w:type="dxa"/>
            <w:shd w:val="clear" w:color="auto" w:fill="EAF4E4"/>
          </w:tcPr>
          <w:p w14:paraId="2B4BD972" w14:textId="77777777" w:rsidR="00802A44" w:rsidRPr="00641640" w:rsidRDefault="00802A44" w:rsidP="00972BC3">
            <w:pPr>
              <w:spacing w:line="276" w:lineRule="auto"/>
              <w:jc w:val="both"/>
              <w:rPr>
                <w:rFonts w:ascii="Times New Roman" w:hAnsi="Times New Roman" w:cs="Times New Roman"/>
                <w:b/>
                <w:bCs/>
                <w:color w:val="003300"/>
                <w:sz w:val="24"/>
                <w:szCs w:val="24"/>
                <w:lang w:val="sq-AL"/>
              </w:rPr>
            </w:pPr>
            <w:r w:rsidRPr="00641640">
              <w:rPr>
                <w:rFonts w:ascii="Times New Roman" w:hAnsi="Times New Roman" w:cs="Times New Roman"/>
                <w:b/>
                <w:bCs/>
                <w:color w:val="003300"/>
                <w:sz w:val="24"/>
                <w:szCs w:val="24"/>
                <w:lang w:val="sq-AL"/>
              </w:rPr>
              <w:t>5.1</w:t>
            </w:r>
          </w:p>
        </w:tc>
        <w:tc>
          <w:tcPr>
            <w:tcW w:w="8815" w:type="dxa"/>
            <w:shd w:val="clear" w:color="auto" w:fill="EAF4E4"/>
          </w:tcPr>
          <w:p w14:paraId="17E1AD8D" w14:textId="77777777" w:rsidR="00802A44" w:rsidRPr="00641640" w:rsidRDefault="00802A44" w:rsidP="00972BC3">
            <w:pPr>
              <w:spacing w:line="276" w:lineRule="auto"/>
              <w:jc w:val="both"/>
              <w:rPr>
                <w:rFonts w:ascii="Times New Roman" w:hAnsi="Times New Roman" w:cs="Times New Roman"/>
                <w:b/>
                <w:bCs/>
                <w:color w:val="003300"/>
                <w:sz w:val="24"/>
                <w:szCs w:val="24"/>
                <w:lang w:val="sq-AL"/>
              </w:rPr>
            </w:pPr>
            <w:r w:rsidRPr="00641640">
              <w:rPr>
                <w:rFonts w:ascii="Times New Roman" w:hAnsi="Times New Roman" w:cs="Times New Roman"/>
                <w:b/>
                <w:bCs/>
                <w:color w:val="003300"/>
                <w:sz w:val="24"/>
                <w:szCs w:val="24"/>
                <w:lang w:val="sq-AL"/>
              </w:rPr>
              <w:t>Objektivi specifik 5.1: Përmirësimi i performancës mjedisore të institucioneve publike në përputhje me standardet e Skemës së Eko-Menaxhimit dhe Auditimit (SEMA).</w:t>
            </w:r>
            <w:r w:rsidRPr="00641640">
              <w:rPr>
                <w:rFonts w:ascii="Times New Roman" w:hAnsi="Times New Roman" w:cs="Times New Roman"/>
                <w:sz w:val="22"/>
                <w:szCs w:val="22"/>
                <w:lang w:val="en-GB"/>
              </w:rPr>
              <w:t xml:space="preserve"> </w:t>
            </w:r>
          </w:p>
        </w:tc>
      </w:tr>
    </w:tbl>
    <w:p w14:paraId="70234C09" w14:textId="77777777" w:rsidR="00802A44" w:rsidRPr="00641640" w:rsidRDefault="00802A44" w:rsidP="00802A44">
      <w:pPr>
        <w:shd w:val="clear" w:color="auto" w:fill="FFFFFF" w:themeFill="background1"/>
        <w:spacing w:beforeAutospacing="1" w:line="276" w:lineRule="auto"/>
        <w:jc w:val="both"/>
        <w:textAlignment w:val="baseline"/>
        <w:rPr>
          <w:rFonts w:ascii="Times New Roman" w:hAnsi="Times New Roman" w:cs="Times New Roman"/>
          <w:b/>
          <w:bCs/>
          <w:color w:val="000000" w:themeColor="text1"/>
          <w:sz w:val="24"/>
          <w:szCs w:val="24"/>
          <w:lang w:val="sq-AL"/>
        </w:rPr>
      </w:pPr>
      <w:r w:rsidRPr="00641640">
        <w:rPr>
          <w:rFonts w:ascii="Times New Roman" w:hAnsi="Times New Roman" w:cs="Times New Roman"/>
          <w:b/>
          <w:bCs/>
          <w:color w:val="000000" w:themeColor="text1"/>
          <w:sz w:val="24"/>
          <w:szCs w:val="24"/>
          <w:lang w:val="sq-AL"/>
        </w:rPr>
        <w:lastRenderedPageBreak/>
        <w:t>Prioritetet</w:t>
      </w:r>
    </w:p>
    <w:p w14:paraId="1528EB6F" w14:textId="77777777" w:rsidR="00802A44" w:rsidRPr="00641640" w:rsidRDefault="00802A44" w:rsidP="00802A44">
      <w:pPr>
        <w:spacing w:line="276" w:lineRule="auto"/>
        <w:jc w:val="both"/>
        <w:rPr>
          <w:rFonts w:ascii="Times New Roman" w:hAnsi="Times New Roman" w:cs="Times New Roman"/>
          <w:sz w:val="24"/>
          <w:szCs w:val="24"/>
          <w:lang w:val="sq-AL"/>
        </w:rPr>
      </w:pPr>
      <w:r w:rsidRPr="00641640">
        <w:rPr>
          <w:rFonts w:ascii="Times New Roman" w:hAnsi="Times New Roman" w:cs="Times New Roman"/>
          <w:sz w:val="24"/>
          <w:szCs w:val="24"/>
          <w:lang w:val="sq-AL"/>
        </w:rPr>
        <w:t xml:space="preserve">Mbështetja e rolit të administratës publike në udhëheqjen e përpjekjeve për të promovuar dhe zbatuar reduktimin e emetimeve të karbonit, mbrojtjen e mjedisit dhe menaxhimin më të mirë të burimeve natyrore është një prioritet i Qeverisë Shqiptare në zbatimin e agjendës për zhvillim të qendrueshëm. Veprimet e administratës publike kanë fuqinë të inkurajojnë individët, organizatat dhe bizneset të luajnë rolin e tyre aktiv në avancimin e këtyre përpjekjeve. Zhvillimi i qëndrueshëm dhe krijimi i një administrate të gjelbër publike mund të arrihen suksesshëm vetëm përmes institucioneve të forta, efektive, të përgjegjshme dhe gjithëpërfshirëse në të gjitha nivelet. </w:t>
      </w:r>
    </w:p>
    <w:p w14:paraId="5DDCC608" w14:textId="77777777" w:rsidR="00802A44" w:rsidRPr="00641640" w:rsidRDefault="00802A44" w:rsidP="00802A44">
      <w:pPr>
        <w:spacing w:before="100" w:beforeAutospacing="1" w:after="100" w:afterAutospacing="1"/>
        <w:jc w:val="both"/>
        <w:rPr>
          <w:rFonts w:ascii="Times New Roman" w:hAnsi="Times New Roman" w:cs="Times New Roman"/>
          <w:sz w:val="24"/>
          <w:szCs w:val="24"/>
          <w:lang w:val="sq-AL"/>
        </w:rPr>
      </w:pPr>
      <w:r w:rsidRPr="00641640">
        <w:rPr>
          <w:rFonts w:ascii="Times New Roman" w:hAnsi="Times New Roman" w:cs="Times New Roman"/>
          <w:sz w:val="24"/>
          <w:szCs w:val="24"/>
          <w:lang w:val="sq-AL"/>
        </w:rPr>
        <w:t xml:space="preserve">Për të garantuar qëndrueshmëri dhe llogaridhënie afatgjatë, transformimi i administratës publike të Shqipërisë drejt një modeli të gjelbër duhet të mbështetet nga </w:t>
      </w:r>
      <w:r w:rsidRPr="00D5013D">
        <w:rPr>
          <w:rStyle w:val="Strong"/>
          <w:rFonts w:ascii="Times New Roman" w:hAnsi="Times New Roman" w:cs="Times New Roman"/>
          <w:b w:val="0"/>
          <w:bCs w:val="0"/>
          <w:sz w:val="24"/>
          <w:szCs w:val="24"/>
          <w:lang w:val="sq-AL"/>
        </w:rPr>
        <w:t>mekanizma sistemikë të qeverisjes</w:t>
      </w:r>
      <w:r w:rsidRPr="00D5013D">
        <w:rPr>
          <w:rFonts w:ascii="Times New Roman" w:hAnsi="Times New Roman" w:cs="Times New Roman"/>
          <w:b/>
          <w:bCs/>
          <w:sz w:val="24"/>
          <w:szCs w:val="24"/>
          <w:lang w:val="sq-AL"/>
        </w:rPr>
        <w:t xml:space="preserve"> </w:t>
      </w:r>
      <w:r w:rsidRPr="00D5013D">
        <w:rPr>
          <w:rFonts w:ascii="Times New Roman" w:hAnsi="Times New Roman" w:cs="Times New Roman"/>
          <w:sz w:val="24"/>
          <w:szCs w:val="24"/>
          <w:lang w:val="sq-AL"/>
        </w:rPr>
        <w:t>dhe</w:t>
      </w:r>
      <w:r w:rsidRPr="00D5013D">
        <w:rPr>
          <w:rFonts w:ascii="Times New Roman" w:hAnsi="Times New Roman" w:cs="Times New Roman"/>
          <w:b/>
          <w:bCs/>
          <w:sz w:val="24"/>
          <w:szCs w:val="24"/>
          <w:lang w:val="sq-AL"/>
        </w:rPr>
        <w:t xml:space="preserve"> </w:t>
      </w:r>
      <w:r w:rsidRPr="00D5013D">
        <w:rPr>
          <w:rStyle w:val="Strong"/>
          <w:rFonts w:ascii="Times New Roman" w:hAnsi="Times New Roman" w:cs="Times New Roman"/>
          <w:b w:val="0"/>
          <w:bCs w:val="0"/>
          <w:sz w:val="24"/>
          <w:szCs w:val="24"/>
          <w:lang w:val="sq-AL"/>
        </w:rPr>
        <w:t>korniza të fuqishme monitorimi</w:t>
      </w:r>
      <w:r w:rsidRPr="00D5013D">
        <w:rPr>
          <w:rFonts w:ascii="Times New Roman" w:hAnsi="Times New Roman" w:cs="Times New Roman"/>
          <w:sz w:val="24"/>
          <w:szCs w:val="24"/>
          <w:lang w:val="sq-AL"/>
        </w:rPr>
        <w:t>.</w:t>
      </w:r>
      <w:r w:rsidRPr="00D5013D">
        <w:rPr>
          <w:rFonts w:ascii="Times New Roman" w:hAnsi="Times New Roman" w:cs="Times New Roman"/>
          <w:b/>
          <w:bCs/>
          <w:sz w:val="24"/>
          <w:szCs w:val="24"/>
          <w:lang w:val="sq-AL"/>
        </w:rPr>
        <w:t xml:space="preserve"> </w:t>
      </w:r>
      <w:r w:rsidRPr="00641640">
        <w:rPr>
          <w:rFonts w:ascii="Times New Roman" w:hAnsi="Times New Roman" w:cs="Times New Roman"/>
          <w:sz w:val="24"/>
          <w:szCs w:val="24"/>
          <w:lang w:val="sq-AL"/>
        </w:rPr>
        <w:t>Institucionalizimi i qeverisjes së gjelbër do t’i mundësojë administratës publike të ndjekë në mënyrë të rregullt performancën mjedisore, të integrojë qëndrueshmërinë në procesin e buxhetimit dhe në hartimin e politikave, si dhe të marrë vendime të bazuara në të dhëna për të reduktuar gjurmën ekologjike të vetë institucioneve.</w:t>
      </w:r>
    </w:p>
    <w:p w14:paraId="79A61065" w14:textId="77777777" w:rsidR="00802A44" w:rsidRPr="00641640" w:rsidRDefault="00802A44" w:rsidP="00802A44">
      <w:pPr>
        <w:spacing w:line="276" w:lineRule="auto"/>
        <w:jc w:val="both"/>
        <w:rPr>
          <w:rFonts w:ascii="Times New Roman" w:hAnsi="Times New Roman" w:cs="Times New Roman"/>
          <w:sz w:val="24"/>
          <w:szCs w:val="24"/>
          <w:lang w:val="sq-AL"/>
        </w:rPr>
      </w:pPr>
      <w:r w:rsidRPr="00641640">
        <w:rPr>
          <w:rFonts w:ascii="Times New Roman" w:hAnsi="Times New Roman" w:cs="Times New Roman"/>
          <w:sz w:val="24"/>
          <w:szCs w:val="24"/>
          <w:lang w:val="sq-AL"/>
        </w:rPr>
        <w:t>Për këtë qëllim, Qeveria Shqiptare ka parashikuar nën këtë Objektiv Specifik një sërë masash për të forcuar angazhimin e administratës publike në promovimin e zhvillimit të qëndrueshëm dhe reduktimin e ndikimeve mjedisore. Kjo përfshin, ndër të tjera, një vlerësim të thelluar të situatës aktuale në çdo ministri për të identifikuar mundësitë e uljes së konsumit të burimeve natyrore dhe energjisë, dhe ndërmarrjen e masave konkrete që do të kontribuojnë në një administratë të gjelbër.</w:t>
      </w:r>
    </w:p>
    <w:p w14:paraId="72CFFDAE" w14:textId="77777777" w:rsidR="00802A44" w:rsidRPr="00641640" w:rsidRDefault="00802A44" w:rsidP="00802A44">
      <w:pPr>
        <w:spacing w:line="276" w:lineRule="auto"/>
        <w:jc w:val="both"/>
        <w:rPr>
          <w:rFonts w:ascii="Times New Roman" w:hAnsi="Times New Roman" w:cs="Times New Roman"/>
          <w:sz w:val="24"/>
          <w:szCs w:val="24"/>
          <w:lang w:val="sq-AL"/>
        </w:rPr>
      </w:pPr>
      <w:r w:rsidRPr="00641640">
        <w:rPr>
          <w:rFonts w:ascii="Times New Roman" w:hAnsi="Times New Roman" w:cs="Times New Roman"/>
          <w:sz w:val="24"/>
          <w:szCs w:val="24"/>
          <w:lang w:val="sq-AL"/>
        </w:rPr>
        <w:t>Në këtë kuadër, është parashikuar që të gjithë funksionarët e administratës të angazhohen aktivisht për të zbatuar masa që përfshijnë uljen e përdorimit të energjisë elektrike dhe të letrës, si dhe promovimin e praktikave të riciklimit brenda institucioneve. Po ashtu, një komponent kyç i kësaj strategjie është inkurajimi i komunikimit elektronik si alternativë për zëvendësimin e komunikimeve fizike, me qëllim uljen e përdorimit të materialeve dhe burimeve të mundshme që ndikojnë në mjedis.</w:t>
      </w:r>
    </w:p>
    <w:p w14:paraId="3043FA51" w14:textId="77777777" w:rsidR="00802A44" w:rsidRDefault="00802A44" w:rsidP="00802A44">
      <w:pPr>
        <w:spacing w:before="100" w:beforeAutospacing="1" w:after="100" w:afterAutospacing="1"/>
        <w:jc w:val="both"/>
        <w:rPr>
          <w:rFonts w:ascii="Times New Roman" w:hAnsi="Times New Roman" w:cs="Times New Roman"/>
          <w:sz w:val="24"/>
          <w:szCs w:val="24"/>
          <w:lang w:val="sq-AL"/>
        </w:rPr>
      </w:pPr>
      <w:r w:rsidRPr="00641640">
        <w:rPr>
          <w:rFonts w:ascii="Times New Roman" w:hAnsi="Times New Roman" w:cs="Times New Roman"/>
          <w:sz w:val="24"/>
          <w:szCs w:val="24"/>
          <w:lang w:val="sq-AL"/>
        </w:rPr>
        <w:t xml:space="preserve">Gjithashtu, një komponent kyç i këtij objektivi është përmirësimi i vazhdueshëm institucional sipas standardeve të Skemës së Eko-Menaxhimit dhe Auditimit (SEMA). </w:t>
      </w:r>
    </w:p>
    <w:p w14:paraId="2EE155A9" w14:textId="15A00279" w:rsidR="00F1521F" w:rsidRPr="00641640" w:rsidRDefault="00F1521F" w:rsidP="00802A44">
      <w:pPr>
        <w:spacing w:before="100" w:beforeAutospacing="1" w:after="100" w:afterAutospacing="1"/>
        <w:jc w:val="both"/>
        <w:rPr>
          <w:rFonts w:ascii="Times New Roman" w:hAnsi="Times New Roman" w:cs="Times New Roman"/>
          <w:sz w:val="24"/>
          <w:szCs w:val="24"/>
        </w:rPr>
      </w:pPr>
      <w:r w:rsidRPr="00460BC5">
        <w:rPr>
          <w:rFonts w:ascii="Times New Roman" w:hAnsi="Times New Roman"/>
          <w:sz w:val="24"/>
          <w:szCs w:val="24"/>
        </w:rPr>
        <w:t xml:space="preserve">Për të garantuar që masat për përmirësimin e performancës mjedisore të institucioneve publike zbatohen në mënyrë efektive, të qëndrueshme dhe të llogaridhënshme, një komponent thelbësor i këtij objektivi është fuqizimi i rolit të auditimit të brendshëm. Në këtë kuadër, </w:t>
      </w:r>
      <w:r>
        <w:rPr>
          <w:rFonts w:ascii="Times New Roman" w:hAnsi="Times New Roman"/>
          <w:sz w:val="24"/>
          <w:szCs w:val="24"/>
        </w:rPr>
        <w:t>struktura përgjegjëse për h</w:t>
      </w:r>
      <w:r w:rsidRPr="00460BC5">
        <w:rPr>
          <w:rFonts w:ascii="Times New Roman" w:hAnsi="Times New Roman"/>
          <w:sz w:val="24"/>
          <w:szCs w:val="24"/>
        </w:rPr>
        <w:t>armonizimi</w:t>
      </w:r>
      <w:r>
        <w:rPr>
          <w:rFonts w:ascii="Times New Roman" w:hAnsi="Times New Roman"/>
          <w:sz w:val="24"/>
          <w:szCs w:val="24"/>
        </w:rPr>
        <w:t>n e au</w:t>
      </w:r>
      <w:r w:rsidRPr="00460BC5">
        <w:rPr>
          <w:rFonts w:ascii="Times New Roman" w:hAnsi="Times New Roman"/>
          <w:sz w:val="24"/>
          <w:szCs w:val="24"/>
        </w:rPr>
        <w:t xml:space="preserve">ditimit të </w:t>
      </w:r>
      <w:r>
        <w:rPr>
          <w:rFonts w:ascii="Times New Roman" w:hAnsi="Times New Roman"/>
          <w:sz w:val="24"/>
          <w:szCs w:val="24"/>
        </w:rPr>
        <w:t>b</w:t>
      </w:r>
      <w:r w:rsidRPr="00460BC5">
        <w:rPr>
          <w:rFonts w:ascii="Times New Roman" w:hAnsi="Times New Roman"/>
          <w:sz w:val="24"/>
          <w:szCs w:val="24"/>
        </w:rPr>
        <w:t xml:space="preserve">rendshëm </w:t>
      </w:r>
      <w:r>
        <w:rPr>
          <w:rFonts w:ascii="Times New Roman" w:hAnsi="Times New Roman"/>
          <w:sz w:val="24"/>
          <w:szCs w:val="24"/>
        </w:rPr>
        <w:t>në ministrinë përgjegjëse për financat</w:t>
      </w:r>
      <w:r w:rsidRPr="00460BC5">
        <w:rPr>
          <w:rFonts w:ascii="Times New Roman" w:hAnsi="Times New Roman"/>
          <w:sz w:val="24"/>
          <w:szCs w:val="24"/>
        </w:rPr>
        <w:t xml:space="preserve"> do të angazhohet për të integruar parimet e zhvillimit të qëndrueshëm dhe standardet e Skemës së Eko-Menaxhimit dhe Auditimit (SEMA) në praktikat e auditimit të brendshëm në të gjitha institucionet publike. Auditimi i brendshëm do të luajë një rol kyç në vlerësimin e efektivitetit të masave për uljen e konsumit të energjisë, ujit dhe letrës, menaxhimin e mbetjeve, promovimin e praktikave të </w:t>
      </w:r>
      <w:r w:rsidRPr="00460BC5">
        <w:rPr>
          <w:rFonts w:ascii="Times New Roman" w:hAnsi="Times New Roman"/>
          <w:sz w:val="24"/>
          <w:szCs w:val="24"/>
        </w:rPr>
        <w:lastRenderedPageBreak/>
        <w:t>riciklimit dhe zbatimin e komunikimit elektronik, duke siguruar një qasje të harmonizuar dhe të qëndrueshme drejt një administrate publike më të gjelbër. Për më tepër, përmes analizës së raporteve të auditimit</w:t>
      </w:r>
      <w:r>
        <w:rPr>
          <w:rFonts w:ascii="Times New Roman" w:hAnsi="Times New Roman"/>
          <w:sz w:val="24"/>
          <w:szCs w:val="24"/>
        </w:rPr>
        <w:t>,</w:t>
      </w:r>
      <w:r w:rsidRPr="00460BC5">
        <w:rPr>
          <w:rFonts w:ascii="Times New Roman" w:hAnsi="Times New Roman"/>
          <w:sz w:val="24"/>
          <w:szCs w:val="24"/>
        </w:rPr>
        <w:t xml:space="preserve"> institucionet </w:t>
      </w:r>
      <w:r>
        <w:rPr>
          <w:rFonts w:ascii="Times New Roman" w:hAnsi="Times New Roman"/>
          <w:sz w:val="24"/>
          <w:szCs w:val="24"/>
        </w:rPr>
        <w:t xml:space="preserve">publike do te mbeshteten </w:t>
      </w:r>
      <w:r w:rsidRPr="00460BC5">
        <w:rPr>
          <w:rFonts w:ascii="Times New Roman" w:hAnsi="Times New Roman"/>
          <w:sz w:val="24"/>
          <w:szCs w:val="24"/>
        </w:rPr>
        <w:t>në identifikimin e praktikave të mira, dobësive sistemike dhe fushave me nevojë për përmirësim, duke kontribuar në përmirësimin e vazhdueshëm institucional në përputhje me standardet ndërkombëtare të qeverisjes së mirë dhe qëndrueshmërisë.</w:t>
      </w:r>
    </w:p>
    <w:p w14:paraId="3AE6C3E0" w14:textId="0D000067" w:rsidR="00802A44" w:rsidRPr="00D5013D" w:rsidRDefault="00802A44" w:rsidP="00802A44">
      <w:pPr>
        <w:spacing w:before="100" w:beforeAutospacing="1" w:after="100" w:afterAutospacing="1"/>
        <w:jc w:val="both"/>
        <w:rPr>
          <w:rFonts w:ascii="Times New Roman" w:hAnsi="Times New Roman" w:cs="Times New Roman"/>
          <w:b/>
          <w:bCs/>
          <w:sz w:val="24"/>
          <w:szCs w:val="24"/>
        </w:rPr>
      </w:pPr>
      <w:r w:rsidRPr="00641640">
        <w:rPr>
          <w:rFonts w:ascii="Times New Roman" w:hAnsi="Times New Roman" w:cs="Times New Roman"/>
          <w:sz w:val="24"/>
          <w:szCs w:val="24"/>
        </w:rPr>
        <w:t xml:space="preserve">Ky Objektiv Specifik do të realizohet përmes masave të mëposhtme, ndërsa aktivitetet konkrete për periudhën e parë të zbatimit të Strategjisë </w:t>
      </w:r>
      <w:r w:rsidR="00932EF4">
        <w:rPr>
          <w:rFonts w:ascii="Times New Roman" w:hAnsi="Times New Roman" w:cs="Times New Roman"/>
          <w:sz w:val="24"/>
          <w:szCs w:val="24"/>
        </w:rPr>
        <w:t>Ndërsektoriale t</w:t>
      </w:r>
      <w:r w:rsidRPr="00641640">
        <w:rPr>
          <w:rFonts w:ascii="Times New Roman" w:hAnsi="Times New Roman" w:cs="Times New Roman"/>
          <w:sz w:val="24"/>
          <w:szCs w:val="24"/>
        </w:rPr>
        <w:t>ë RAP 202</w:t>
      </w:r>
      <w:r w:rsidR="002D3856">
        <w:rPr>
          <w:rFonts w:ascii="Times New Roman" w:hAnsi="Times New Roman" w:cs="Times New Roman"/>
          <w:sz w:val="24"/>
          <w:szCs w:val="24"/>
        </w:rPr>
        <w:t>5</w:t>
      </w:r>
      <w:r w:rsidRPr="00641640">
        <w:rPr>
          <w:rFonts w:ascii="Times New Roman" w:hAnsi="Times New Roman" w:cs="Times New Roman"/>
          <w:sz w:val="24"/>
          <w:szCs w:val="24"/>
        </w:rPr>
        <w:t xml:space="preserve">–2030 janë të përfshira në </w:t>
      </w:r>
      <w:r w:rsidRPr="00D5013D">
        <w:rPr>
          <w:rStyle w:val="Strong"/>
          <w:rFonts w:ascii="Times New Roman" w:hAnsi="Times New Roman" w:cs="Times New Roman"/>
          <w:b w:val="0"/>
          <w:bCs w:val="0"/>
          <w:sz w:val="24"/>
          <w:szCs w:val="24"/>
        </w:rPr>
        <w:t>Planin e Veprimit 202</w:t>
      </w:r>
      <w:r w:rsidR="00BD7C00" w:rsidRPr="00D5013D">
        <w:rPr>
          <w:rStyle w:val="Strong"/>
          <w:rFonts w:ascii="Times New Roman" w:hAnsi="Times New Roman" w:cs="Times New Roman"/>
          <w:b w:val="0"/>
          <w:bCs w:val="0"/>
          <w:sz w:val="24"/>
          <w:szCs w:val="24"/>
        </w:rPr>
        <w:t>5</w:t>
      </w:r>
      <w:r w:rsidRPr="00D5013D">
        <w:rPr>
          <w:rStyle w:val="Strong"/>
          <w:rFonts w:ascii="Times New Roman" w:hAnsi="Times New Roman" w:cs="Times New Roman"/>
          <w:b w:val="0"/>
          <w:bCs w:val="0"/>
          <w:sz w:val="24"/>
          <w:szCs w:val="24"/>
        </w:rPr>
        <w:t>–202</w:t>
      </w:r>
      <w:r w:rsidR="00BD7C00" w:rsidRPr="00D5013D">
        <w:rPr>
          <w:rStyle w:val="Strong"/>
          <w:rFonts w:ascii="Times New Roman" w:hAnsi="Times New Roman" w:cs="Times New Roman"/>
          <w:b w:val="0"/>
          <w:bCs w:val="0"/>
          <w:sz w:val="24"/>
          <w:szCs w:val="24"/>
        </w:rPr>
        <w:t>7</w:t>
      </w:r>
      <w:r w:rsidRPr="00D5013D">
        <w:rPr>
          <w:rStyle w:val="Strong"/>
          <w:rFonts w:ascii="Times New Roman" w:hAnsi="Times New Roman" w:cs="Times New Roman"/>
          <w:b w:val="0"/>
          <w:bCs w:val="0"/>
          <w:sz w:val="24"/>
          <w:szCs w:val="24"/>
        </w:rPr>
        <w:t xml:space="preserve"> (Aneksi nr. 1)</w:t>
      </w:r>
      <w:r w:rsidRPr="00D5013D">
        <w:rPr>
          <w:rFonts w:ascii="Times New Roman" w:hAnsi="Times New Roman" w:cs="Times New Roman"/>
          <w:b/>
          <w:bCs/>
          <w:sz w:val="24"/>
          <w:szCs w:val="24"/>
        </w:rPr>
        <w:t>.</w:t>
      </w:r>
    </w:p>
    <w:p w14:paraId="41F54908" w14:textId="77777777" w:rsidR="00802A44" w:rsidRPr="00641640" w:rsidRDefault="00802A44" w:rsidP="00802A44">
      <w:pPr>
        <w:spacing w:line="276" w:lineRule="auto"/>
        <w:jc w:val="both"/>
        <w:rPr>
          <w:rFonts w:ascii="Times New Roman" w:eastAsia="Times New Roman" w:hAnsi="Times New Roman" w:cs="Times New Roman"/>
          <w:b/>
          <w:bCs/>
          <w:sz w:val="24"/>
          <w:szCs w:val="24"/>
          <w:lang w:val="sq-AL"/>
        </w:rPr>
      </w:pPr>
      <w:r w:rsidRPr="00641640">
        <w:rPr>
          <w:rFonts w:ascii="Times New Roman" w:eastAsia="Times New Roman" w:hAnsi="Times New Roman" w:cs="Times New Roman"/>
          <w:b/>
          <w:bCs/>
          <w:sz w:val="24"/>
          <w:szCs w:val="24"/>
          <w:lang w:val="sq-AL"/>
        </w:rPr>
        <w:t>Rezultatet e pritshme nga zbatimi i masave që lidhen me Objektivin Specifik</w:t>
      </w:r>
    </w:p>
    <w:p w14:paraId="79FF9DE1" w14:textId="7838DF79" w:rsidR="00802A44" w:rsidRPr="00641640" w:rsidRDefault="00802A44" w:rsidP="00802A44">
      <w:pPr>
        <w:spacing w:line="276" w:lineRule="auto"/>
        <w:jc w:val="both"/>
        <w:rPr>
          <w:rFonts w:ascii="Times New Roman" w:eastAsia="Times New Roman" w:hAnsi="Times New Roman" w:cs="Times New Roman"/>
          <w:sz w:val="24"/>
          <w:szCs w:val="24"/>
          <w:lang w:val="sq-AL"/>
        </w:rPr>
      </w:pPr>
      <w:r w:rsidRPr="00641640">
        <w:rPr>
          <w:rFonts w:ascii="Times New Roman" w:eastAsia="Times New Roman" w:hAnsi="Times New Roman" w:cs="Times New Roman"/>
          <w:sz w:val="24"/>
          <w:szCs w:val="24"/>
          <w:lang w:val="sq-AL"/>
        </w:rPr>
        <w:t xml:space="preserve">Objektivi Specifik 5.1, duke synuar </w:t>
      </w:r>
      <w:r w:rsidRPr="00641640">
        <w:rPr>
          <w:rFonts w:ascii="Times New Roman" w:hAnsi="Times New Roman" w:cs="Times New Roman"/>
          <w:sz w:val="24"/>
          <w:szCs w:val="24"/>
          <w:lang w:val="sq-AL"/>
        </w:rPr>
        <w:t>angazhimin e administratës publike drejt dimensionit të gjelbër të veprimtarisë institucionale, pritet të japë rezultatet e m</w:t>
      </w:r>
      <w:r w:rsidR="00641640" w:rsidRPr="00641640">
        <w:rPr>
          <w:rFonts w:ascii="Times New Roman" w:hAnsi="Times New Roman" w:cs="Times New Roman"/>
          <w:sz w:val="24"/>
          <w:szCs w:val="24"/>
          <w:lang w:val="sq-AL"/>
        </w:rPr>
        <w:t>ë</w:t>
      </w:r>
      <w:r w:rsidRPr="00641640">
        <w:rPr>
          <w:rFonts w:ascii="Times New Roman" w:hAnsi="Times New Roman" w:cs="Times New Roman"/>
          <w:sz w:val="24"/>
          <w:szCs w:val="24"/>
          <w:lang w:val="sq-AL"/>
        </w:rPr>
        <w:t>poshtme:</w:t>
      </w:r>
    </w:p>
    <w:p w14:paraId="5E58C91B" w14:textId="77777777" w:rsidR="00802A44" w:rsidRPr="00955906" w:rsidRDefault="00802A44" w:rsidP="00802A44">
      <w:pPr>
        <w:spacing w:line="276" w:lineRule="auto"/>
        <w:jc w:val="both"/>
        <w:rPr>
          <w:rFonts w:ascii="Times New Roman" w:eastAsiaTheme="minorHAnsi" w:hAnsi="Times New Roman" w:cs="Times New Roman"/>
          <w:sz w:val="24"/>
          <w:szCs w:val="24"/>
          <w:lang w:val="it-IT"/>
        </w:rPr>
      </w:pPr>
      <w:r w:rsidRPr="00955906">
        <w:rPr>
          <w:rFonts w:ascii="Times New Roman" w:eastAsia="Times New Roman" w:hAnsi="Times New Roman" w:cs="Times New Roman"/>
          <w:b/>
          <w:bCs/>
          <w:sz w:val="24"/>
          <w:szCs w:val="24"/>
          <w:lang w:val="sq-AL"/>
        </w:rPr>
        <w:t>Rezultati 1:</w:t>
      </w:r>
      <w:r w:rsidRPr="00955906">
        <w:rPr>
          <w:rFonts w:ascii="Times New Roman" w:eastAsia="Times New Roman" w:hAnsi="Times New Roman" w:cs="Times New Roman"/>
          <w:sz w:val="24"/>
          <w:szCs w:val="24"/>
          <w:lang w:val="sq-AL"/>
        </w:rPr>
        <w:t xml:space="preserve"> </w:t>
      </w:r>
      <w:r w:rsidRPr="00955906">
        <w:rPr>
          <w:rFonts w:ascii="Times New Roman" w:eastAsiaTheme="minorHAnsi" w:hAnsi="Times New Roman" w:cs="Times New Roman"/>
          <w:sz w:val="24"/>
          <w:szCs w:val="24"/>
          <w:lang w:val="it-IT"/>
        </w:rPr>
        <w:t>Përdorimi efikas i burimeve natyrore në institucionet e administratës publike.</w:t>
      </w:r>
    </w:p>
    <w:p w14:paraId="42D6E00E" w14:textId="72C2CCCB" w:rsidR="003F2FAB" w:rsidRPr="00955906" w:rsidRDefault="003F2FAB" w:rsidP="00802A44">
      <w:pPr>
        <w:spacing w:line="276" w:lineRule="auto"/>
        <w:jc w:val="both"/>
        <w:rPr>
          <w:rFonts w:ascii="Times New Roman" w:eastAsiaTheme="minorHAnsi" w:hAnsi="Times New Roman" w:cs="Times New Roman"/>
          <w:b/>
          <w:bCs/>
          <w:sz w:val="24"/>
          <w:szCs w:val="24"/>
          <w:lang w:val="it-IT"/>
        </w:rPr>
      </w:pPr>
      <w:r w:rsidRPr="00955906">
        <w:rPr>
          <w:rFonts w:ascii="Times New Roman" w:eastAsiaTheme="minorHAnsi" w:hAnsi="Times New Roman" w:cs="Times New Roman"/>
          <w:b/>
          <w:bCs/>
          <w:sz w:val="24"/>
          <w:szCs w:val="24"/>
          <w:lang w:val="it-IT"/>
        </w:rPr>
        <w:t xml:space="preserve">Rezultati 2: </w:t>
      </w:r>
      <w:r w:rsidRPr="00955906">
        <w:rPr>
          <w:rFonts w:ascii="Times New Roman" w:eastAsiaTheme="minorHAnsi" w:hAnsi="Times New Roman" w:cs="Times New Roman"/>
          <w:sz w:val="24"/>
          <w:szCs w:val="24"/>
          <w:lang w:val="it-IT"/>
        </w:rPr>
        <w:t>Miratimi i Kornizës ligjore n</w:t>
      </w:r>
      <w:r w:rsidR="009D00D7" w:rsidRPr="00955906">
        <w:rPr>
          <w:rFonts w:ascii="Times New Roman" w:eastAsiaTheme="minorHAnsi" w:hAnsi="Times New Roman" w:cs="Times New Roman"/>
          <w:sz w:val="24"/>
          <w:szCs w:val="24"/>
          <w:lang w:val="it-IT"/>
        </w:rPr>
        <w:t>ë</w:t>
      </w:r>
      <w:r w:rsidRPr="00955906">
        <w:rPr>
          <w:rFonts w:ascii="Times New Roman" w:eastAsiaTheme="minorHAnsi" w:hAnsi="Times New Roman" w:cs="Times New Roman"/>
          <w:sz w:val="24"/>
          <w:szCs w:val="24"/>
          <w:lang w:val="it-IT"/>
        </w:rPr>
        <w:t xml:space="preserve"> fush</w:t>
      </w:r>
      <w:r w:rsidR="009D00D7" w:rsidRPr="00955906">
        <w:rPr>
          <w:rFonts w:ascii="Times New Roman" w:eastAsiaTheme="minorHAnsi" w:hAnsi="Times New Roman" w:cs="Times New Roman"/>
          <w:sz w:val="24"/>
          <w:szCs w:val="24"/>
          <w:lang w:val="it-IT"/>
        </w:rPr>
        <w:t>ë</w:t>
      </w:r>
      <w:r w:rsidRPr="00955906">
        <w:rPr>
          <w:rFonts w:ascii="Times New Roman" w:eastAsiaTheme="minorHAnsi" w:hAnsi="Times New Roman" w:cs="Times New Roman"/>
          <w:sz w:val="24"/>
          <w:szCs w:val="24"/>
          <w:lang w:val="it-IT"/>
        </w:rPr>
        <w:t xml:space="preserve">n e </w:t>
      </w:r>
      <w:r w:rsidR="009D00D7" w:rsidRPr="00955906">
        <w:rPr>
          <w:rFonts w:ascii="Times New Roman" w:hAnsi="Times New Roman" w:cs="Times New Roman"/>
          <w:sz w:val="24"/>
          <w:szCs w:val="24"/>
          <w:lang w:val="en-GB"/>
        </w:rPr>
        <w:t>Skemës së Eko-Menaxhimit dhe Auditimit (SEMA).</w:t>
      </w:r>
    </w:p>
    <w:p w14:paraId="0F280121" w14:textId="2E5A1F5E" w:rsidR="00802A44" w:rsidRPr="00641640" w:rsidRDefault="00802A44" w:rsidP="00802A44">
      <w:pPr>
        <w:spacing w:line="276" w:lineRule="auto"/>
        <w:jc w:val="both"/>
        <w:rPr>
          <w:rFonts w:ascii="Times New Roman" w:eastAsia="Times New Roman" w:hAnsi="Times New Roman" w:cs="Times New Roman"/>
          <w:sz w:val="24"/>
          <w:szCs w:val="24"/>
          <w:lang w:val="sq-AL"/>
        </w:rPr>
      </w:pPr>
      <w:r w:rsidRPr="00955906">
        <w:rPr>
          <w:rFonts w:ascii="Times New Roman" w:eastAsia="Times New Roman" w:hAnsi="Times New Roman" w:cs="Times New Roman"/>
          <w:b/>
          <w:bCs/>
          <w:sz w:val="24"/>
          <w:szCs w:val="24"/>
          <w:lang w:val="sq-AL"/>
        </w:rPr>
        <w:t>Institucione kryesore:</w:t>
      </w:r>
      <w:r w:rsidRPr="00955906">
        <w:rPr>
          <w:rFonts w:ascii="Times New Roman" w:eastAsia="Times New Roman" w:hAnsi="Times New Roman" w:cs="Times New Roman"/>
          <w:sz w:val="24"/>
          <w:szCs w:val="24"/>
          <w:lang w:val="sq-AL"/>
        </w:rPr>
        <w:t xml:space="preserve"> MTM</w:t>
      </w:r>
      <w:r w:rsidRPr="00641640">
        <w:rPr>
          <w:rFonts w:ascii="Times New Roman" w:eastAsia="Times New Roman" w:hAnsi="Times New Roman" w:cs="Times New Roman"/>
          <w:sz w:val="24"/>
          <w:szCs w:val="24"/>
          <w:lang w:val="sq-AL"/>
        </w:rPr>
        <w:t xml:space="preserve">, </w:t>
      </w:r>
      <w:r w:rsidR="0038702A">
        <w:rPr>
          <w:rFonts w:ascii="Times New Roman" w:eastAsia="Times New Roman" w:hAnsi="Times New Roman" w:cs="Times New Roman"/>
          <w:sz w:val="24"/>
          <w:szCs w:val="24"/>
          <w:lang w:val="sq-AL"/>
        </w:rPr>
        <w:t>MIE, AEE</w:t>
      </w:r>
      <w:r w:rsidRPr="00641640">
        <w:rPr>
          <w:rFonts w:ascii="Times New Roman" w:eastAsia="Times New Roman" w:hAnsi="Times New Roman" w:cs="Times New Roman"/>
          <w:sz w:val="24"/>
          <w:szCs w:val="24"/>
          <w:lang w:val="sq-AL"/>
        </w:rPr>
        <w:t>.</w:t>
      </w:r>
    </w:p>
    <w:p w14:paraId="0CC00D2F" w14:textId="77777777" w:rsidR="00802A44" w:rsidRDefault="00802A44" w:rsidP="00802A44">
      <w:pPr>
        <w:spacing w:line="276" w:lineRule="auto"/>
        <w:jc w:val="both"/>
        <w:rPr>
          <w:rFonts w:ascii="Times New Roman" w:eastAsia="Times New Roman" w:hAnsi="Times New Roman" w:cs="Times New Roman"/>
          <w:sz w:val="24"/>
          <w:szCs w:val="24"/>
          <w:lang w:val="sq-AL"/>
        </w:rPr>
      </w:pPr>
      <w:r w:rsidRPr="00641640">
        <w:rPr>
          <w:rFonts w:ascii="Times New Roman" w:eastAsia="Times New Roman" w:hAnsi="Times New Roman" w:cs="Times New Roman"/>
          <w:b/>
          <w:bCs/>
          <w:sz w:val="24"/>
          <w:szCs w:val="24"/>
          <w:lang w:val="sq-AL"/>
        </w:rPr>
        <w:t>Institucione kontributore:</w:t>
      </w:r>
      <w:r w:rsidRPr="00641640">
        <w:rPr>
          <w:rFonts w:ascii="Times New Roman" w:eastAsia="Times New Roman" w:hAnsi="Times New Roman" w:cs="Times New Roman"/>
          <w:sz w:val="24"/>
          <w:szCs w:val="24"/>
          <w:lang w:val="sq-AL"/>
        </w:rPr>
        <w:t xml:space="preserve"> Të gjitha institucionet e administratës publike.</w:t>
      </w:r>
    </w:p>
    <w:p w14:paraId="3EC66E69" w14:textId="77777777" w:rsidR="00802A44" w:rsidRPr="00641640" w:rsidRDefault="00802A44" w:rsidP="00802A44">
      <w:pPr>
        <w:spacing w:line="276" w:lineRule="auto"/>
        <w:jc w:val="both"/>
        <w:rPr>
          <w:rFonts w:ascii="Times New Roman" w:hAnsi="Times New Roman" w:cs="Times New Roman"/>
          <w:b/>
          <w:bCs/>
          <w:sz w:val="24"/>
          <w:szCs w:val="24"/>
          <w:lang w:val="sq-AL"/>
        </w:rPr>
      </w:pPr>
      <w:r w:rsidRPr="00641640">
        <w:rPr>
          <w:rFonts w:ascii="Times New Roman" w:hAnsi="Times New Roman" w:cs="Times New Roman"/>
          <w:b/>
          <w:bCs/>
          <w:sz w:val="24"/>
          <w:szCs w:val="24"/>
          <w:lang w:val="sq-AL"/>
        </w:rPr>
        <w:t>Masat dhe aktivitetet</w:t>
      </w:r>
    </w:p>
    <w:p w14:paraId="5D867DAC" w14:textId="77777777" w:rsidR="00802A44" w:rsidRPr="00641640" w:rsidRDefault="00802A44" w:rsidP="00802A44">
      <w:pPr>
        <w:spacing w:line="276" w:lineRule="auto"/>
        <w:jc w:val="both"/>
        <w:rPr>
          <w:rFonts w:ascii="Times New Roman" w:hAnsi="Times New Roman" w:cs="Times New Roman"/>
          <w:bCs/>
          <w:sz w:val="24"/>
          <w:szCs w:val="24"/>
          <w:lang w:val="sq-AL"/>
        </w:rPr>
      </w:pPr>
      <w:r w:rsidRPr="00641640">
        <w:rPr>
          <w:rFonts w:ascii="Times New Roman" w:hAnsi="Times New Roman" w:cs="Times New Roman"/>
          <w:bCs/>
          <w:sz w:val="24"/>
          <w:szCs w:val="24"/>
          <w:lang w:val="sq-AL"/>
        </w:rPr>
        <w:t>Ky objektiv specifik do të zbatohet përmes masave të mëposhtme, teksa aktivitetet konkrete për periudhën e parë të zbatimit të SNRAP 2025-2030 mund të gjenden në Planin e Veprimit 2025-2027 (Aneksi nr. 1).</w:t>
      </w:r>
    </w:p>
    <w:tbl>
      <w:tblPr>
        <w:tblStyle w:val="TableGrid"/>
        <w:tblW w:w="0" w:type="auto"/>
        <w:tblLook w:val="04A0" w:firstRow="1" w:lastRow="0" w:firstColumn="1" w:lastColumn="0" w:noHBand="0" w:noVBand="1"/>
      </w:tblPr>
      <w:tblGrid>
        <w:gridCol w:w="1163"/>
        <w:gridCol w:w="8187"/>
      </w:tblGrid>
      <w:tr w:rsidR="00802A44" w:rsidRPr="00641640" w14:paraId="304C809E" w14:textId="77777777" w:rsidTr="00414113">
        <w:trPr>
          <w:trHeight w:val="980"/>
        </w:trPr>
        <w:tc>
          <w:tcPr>
            <w:tcW w:w="9350" w:type="dxa"/>
            <w:gridSpan w:val="2"/>
            <w:shd w:val="clear" w:color="auto" w:fill="C5E0B3" w:themeFill="accent6" w:themeFillTint="66"/>
          </w:tcPr>
          <w:p w14:paraId="0B900CEC" w14:textId="77777777" w:rsidR="00802A44" w:rsidRPr="00641640" w:rsidRDefault="00802A44" w:rsidP="00972BC3">
            <w:pPr>
              <w:spacing w:before="240" w:after="160" w:line="276" w:lineRule="auto"/>
              <w:jc w:val="center"/>
              <w:textAlignment w:val="baseline"/>
              <w:rPr>
                <w:rFonts w:ascii="Times New Roman" w:hAnsi="Times New Roman" w:cs="Times New Roman"/>
                <w:b/>
                <w:i/>
                <w:sz w:val="22"/>
                <w:szCs w:val="22"/>
                <w:lang w:val="sq-AL"/>
              </w:rPr>
            </w:pPr>
            <w:r w:rsidRPr="00641640">
              <w:rPr>
                <w:rFonts w:ascii="Times New Roman" w:hAnsi="Times New Roman" w:cs="Times New Roman"/>
                <w:b/>
                <w:i/>
                <w:sz w:val="22"/>
                <w:szCs w:val="22"/>
                <w:lang w:val="sq-AL"/>
              </w:rPr>
              <w:t xml:space="preserve">Objektivi specifik 5.1: </w:t>
            </w:r>
            <w:r w:rsidRPr="00D567BE">
              <w:rPr>
                <w:rFonts w:ascii="Times New Roman" w:hAnsi="Times New Roman" w:cs="Times New Roman"/>
                <w:b/>
                <w:bCs/>
                <w:i/>
                <w:iCs/>
                <w:sz w:val="22"/>
                <w:szCs w:val="22"/>
                <w:lang w:val="en-GB"/>
              </w:rPr>
              <w:t>Përmirësimi i performancës mjedisore të institucioneve publike në përputhje me standardet e Skemës së Eko-Menaxhimit dhe Auditimit (SEMA).</w:t>
            </w:r>
            <w:r w:rsidRPr="00641640">
              <w:rPr>
                <w:rFonts w:ascii="Times New Roman" w:hAnsi="Times New Roman" w:cs="Times New Roman"/>
                <w:sz w:val="22"/>
                <w:szCs w:val="22"/>
                <w:lang w:val="en-GB"/>
              </w:rPr>
              <w:t xml:space="preserve"> </w:t>
            </w:r>
          </w:p>
        </w:tc>
      </w:tr>
      <w:tr w:rsidR="00802A44" w:rsidRPr="00641640" w14:paraId="5EB4B22C" w14:textId="77777777" w:rsidTr="00414113">
        <w:tc>
          <w:tcPr>
            <w:tcW w:w="1163" w:type="dxa"/>
            <w:shd w:val="clear" w:color="auto" w:fill="C5E0B3" w:themeFill="accent6" w:themeFillTint="66"/>
          </w:tcPr>
          <w:p w14:paraId="01EF00CC" w14:textId="77777777" w:rsidR="00802A44" w:rsidRPr="00641640" w:rsidRDefault="00802A44" w:rsidP="00972BC3">
            <w:pPr>
              <w:spacing w:beforeAutospacing="1" w:after="160" w:line="276" w:lineRule="auto"/>
              <w:jc w:val="center"/>
              <w:textAlignment w:val="baseline"/>
              <w:rPr>
                <w:rFonts w:ascii="Times New Roman" w:hAnsi="Times New Roman" w:cs="Times New Roman"/>
                <w:b/>
                <w:sz w:val="22"/>
                <w:szCs w:val="22"/>
                <w:lang w:val="sq-AL"/>
              </w:rPr>
            </w:pPr>
            <w:r w:rsidRPr="00641640">
              <w:rPr>
                <w:rFonts w:ascii="Times New Roman" w:hAnsi="Times New Roman" w:cs="Times New Roman"/>
                <w:b/>
                <w:sz w:val="22"/>
                <w:szCs w:val="22"/>
                <w:lang w:val="sq-AL"/>
              </w:rPr>
              <w:t>Masa  5.1.1</w:t>
            </w:r>
          </w:p>
        </w:tc>
        <w:tc>
          <w:tcPr>
            <w:tcW w:w="8187" w:type="dxa"/>
            <w:shd w:val="clear" w:color="auto" w:fill="auto"/>
          </w:tcPr>
          <w:p w14:paraId="48FE4BF4" w14:textId="6AB5D4C1" w:rsidR="00802A44" w:rsidRPr="00641640" w:rsidRDefault="0047167C" w:rsidP="00972BC3">
            <w:pPr>
              <w:spacing w:beforeAutospacing="1" w:after="160" w:line="276" w:lineRule="auto"/>
              <w:jc w:val="both"/>
              <w:textAlignment w:val="baseline"/>
              <w:rPr>
                <w:rFonts w:ascii="Times New Roman" w:hAnsi="Times New Roman" w:cs="Times New Roman"/>
                <w:sz w:val="22"/>
                <w:szCs w:val="22"/>
                <w:lang w:val="en-GB"/>
              </w:rPr>
            </w:pPr>
            <w:r w:rsidRPr="0047167C">
              <w:rPr>
                <w:rFonts w:ascii="Times New Roman" w:hAnsi="Times New Roman" w:cs="Times New Roman"/>
                <w:sz w:val="22"/>
                <w:szCs w:val="22"/>
                <w:lang w:val="en-GB"/>
              </w:rPr>
              <w:t>Plotësimi i kuadrit ligjor dhe krijimi i kushteve për zbatimin e skemës se Ekomenaxhimit dhe Auditimit (SEMA)</w:t>
            </w:r>
            <w:r>
              <w:rPr>
                <w:rFonts w:ascii="Times New Roman" w:hAnsi="Times New Roman" w:cs="Times New Roman"/>
                <w:sz w:val="22"/>
                <w:szCs w:val="22"/>
                <w:lang w:val="en-GB"/>
              </w:rPr>
              <w:t>.</w:t>
            </w:r>
          </w:p>
        </w:tc>
      </w:tr>
      <w:tr w:rsidR="00802A44" w:rsidRPr="00641640" w14:paraId="0582F6F6" w14:textId="77777777" w:rsidTr="00414113">
        <w:tc>
          <w:tcPr>
            <w:tcW w:w="1163" w:type="dxa"/>
            <w:shd w:val="clear" w:color="auto" w:fill="C5E0B3" w:themeFill="accent6" w:themeFillTint="66"/>
          </w:tcPr>
          <w:p w14:paraId="55242D5B" w14:textId="77777777" w:rsidR="00802A44" w:rsidRPr="00641640" w:rsidRDefault="00802A44" w:rsidP="00972BC3">
            <w:pPr>
              <w:spacing w:beforeAutospacing="1" w:after="160" w:line="276" w:lineRule="auto"/>
              <w:jc w:val="center"/>
              <w:textAlignment w:val="baseline"/>
              <w:rPr>
                <w:rFonts w:ascii="Times New Roman" w:hAnsi="Times New Roman" w:cs="Times New Roman"/>
                <w:b/>
                <w:sz w:val="22"/>
                <w:szCs w:val="22"/>
                <w:lang w:val="sq-AL"/>
              </w:rPr>
            </w:pPr>
            <w:r w:rsidRPr="00641640">
              <w:rPr>
                <w:rFonts w:ascii="Times New Roman" w:hAnsi="Times New Roman" w:cs="Times New Roman"/>
                <w:b/>
                <w:sz w:val="22"/>
                <w:szCs w:val="22"/>
                <w:lang w:val="sq-AL"/>
              </w:rPr>
              <w:t>Masa 5.1.2</w:t>
            </w:r>
          </w:p>
        </w:tc>
        <w:tc>
          <w:tcPr>
            <w:tcW w:w="8187" w:type="dxa"/>
            <w:shd w:val="clear" w:color="auto" w:fill="auto"/>
          </w:tcPr>
          <w:p w14:paraId="67ECE10F" w14:textId="1689451A" w:rsidR="00802A44" w:rsidRPr="00641640" w:rsidRDefault="0047167C" w:rsidP="00972BC3">
            <w:pPr>
              <w:spacing w:beforeAutospacing="1" w:after="160" w:line="276" w:lineRule="auto"/>
              <w:jc w:val="both"/>
              <w:textAlignment w:val="baseline"/>
              <w:rPr>
                <w:rFonts w:ascii="Times New Roman" w:hAnsi="Times New Roman" w:cs="Times New Roman"/>
                <w:sz w:val="22"/>
                <w:szCs w:val="22"/>
                <w:lang w:val="sq-AL"/>
              </w:rPr>
            </w:pPr>
            <w:r w:rsidRPr="0047167C">
              <w:rPr>
                <w:rFonts w:ascii="Times New Roman" w:hAnsi="Times New Roman" w:cs="Times New Roman"/>
                <w:sz w:val="22"/>
                <w:szCs w:val="22"/>
                <w:lang w:val="en-GB"/>
              </w:rPr>
              <w:t>Përdorimi efiçent i burimeve natyrore në institucionet e administratës publike</w:t>
            </w:r>
            <w:r w:rsidR="00802A44" w:rsidRPr="00641640">
              <w:rPr>
                <w:rFonts w:ascii="Times New Roman" w:hAnsi="Times New Roman" w:cs="Times New Roman"/>
                <w:sz w:val="22"/>
                <w:szCs w:val="22"/>
                <w:lang w:val="en-GB"/>
              </w:rPr>
              <w:t>.</w:t>
            </w:r>
          </w:p>
        </w:tc>
      </w:tr>
      <w:tr w:rsidR="00802A44" w:rsidRPr="00641640" w14:paraId="5E1BD373" w14:textId="77777777" w:rsidTr="00414113">
        <w:tc>
          <w:tcPr>
            <w:tcW w:w="1163" w:type="dxa"/>
            <w:shd w:val="clear" w:color="auto" w:fill="C5E0B3" w:themeFill="accent6" w:themeFillTint="66"/>
          </w:tcPr>
          <w:p w14:paraId="0C48EE2C" w14:textId="77777777" w:rsidR="00802A44" w:rsidRPr="00641640" w:rsidRDefault="00802A44" w:rsidP="00972BC3">
            <w:pPr>
              <w:spacing w:beforeAutospacing="1" w:after="160" w:line="276" w:lineRule="auto"/>
              <w:jc w:val="center"/>
              <w:textAlignment w:val="baseline"/>
              <w:rPr>
                <w:rFonts w:ascii="Times New Roman" w:hAnsi="Times New Roman" w:cs="Times New Roman"/>
                <w:b/>
                <w:sz w:val="22"/>
                <w:szCs w:val="22"/>
                <w:lang w:val="sq-AL"/>
              </w:rPr>
            </w:pPr>
            <w:r w:rsidRPr="00641640">
              <w:rPr>
                <w:rFonts w:ascii="Times New Roman" w:hAnsi="Times New Roman" w:cs="Times New Roman"/>
                <w:b/>
                <w:sz w:val="22"/>
                <w:szCs w:val="22"/>
                <w:lang w:val="sq-AL"/>
              </w:rPr>
              <w:t>Masa 5.1.3</w:t>
            </w:r>
          </w:p>
        </w:tc>
        <w:tc>
          <w:tcPr>
            <w:tcW w:w="8187" w:type="dxa"/>
            <w:shd w:val="clear" w:color="auto" w:fill="auto"/>
          </w:tcPr>
          <w:p w14:paraId="64E5C74D" w14:textId="31B01BD8" w:rsidR="00802A44" w:rsidRPr="00641640" w:rsidRDefault="004447BD" w:rsidP="00972BC3">
            <w:pPr>
              <w:spacing w:beforeAutospacing="1" w:after="160" w:line="276" w:lineRule="auto"/>
              <w:jc w:val="both"/>
              <w:textAlignment w:val="baseline"/>
              <w:rPr>
                <w:rFonts w:ascii="Times New Roman" w:hAnsi="Times New Roman" w:cs="Times New Roman"/>
                <w:sz w:val="22"/>
                <w:szCs w:val="22"/>
                <w:lang w:val="en-GB"/>
              </w:rPr>
            </w:pPr>
            <w:r w:rsidRPr="004447BD">
              <w:rPr>
                <w:rFonts w:ascii="Times New Roman" w:hAnsi="Times New Roman" w:cs="Times New Roman"/>
                <w:sz w:val="22"/>
                <w:szCs w:val="22"/>
                <w:lang w:val="en-GB"/>
              </w:rPr>
              <w:t>Përmirësimi i vazhdueshëm i performancës mjedisore të institucioneve publike në përputhje me standardet e Skemës së Eko-Menaxhimit dhe Auditimit (EMAS)</w:t>
            </w:r>
            <w:r w:rsidR="00802A44" w:rsidRPr="00641640">
              <w:rPr>
                <w:rFonts w:ascii="Times New Roman" w:hAnsi="Times New Roman" w:cs="Times New Roman"/>
                <w:sz w:val="22"/>
                <w:szCs w:val="22"/>
                <w:lang w:val="en-GB"/>
              </w:rPr>
              <w:t>.</w:t>
            </w:r>
          </w:p>
        </w:tc>
      </w:tr>
      <w:tr w:rsidR="004447BD" w:rsidRPr="00641640" w14:paraId="2A80A9BE" w14:textId="77777777" w:rsidTr="00414113">
        <w:tc>
          <w:tcPr>
            <w:tcW w:w="1163" w:type="dxa"/>
            <w:shd w:val="clear" w:color="auto" w:fill="C5E0B3" w:themeFill="accent6" w:themeFillTint="66"/>
          </w:tcPr>
          <w:p w14:paraId="10BBAD30" w14:textId="1D0A87EF" w:rsidR="004447BD" w:rsidRPr="00641640" w:rsidRDefault="004447BD" w:rsidP="00972BC3">
            <w:pPr>
              <w:spacing w:beforeAutospacing="1" w:after="160" w:line="276" w:lineRule="auto"/>
              <w:jc w:val="center"/>
              <w:textAlignment w:val="baseline"/>
              <w:rPr>
                <w:rFonts w:ascii="Times New Roman" w:hAnsi="Times New Roman" w:cs="Times New Roman"/>
                <w:b/>
                <w:sz w:val="22"/>
                <w:szCs w:val="22"/>
                <w:lang w:val="sq-AL"/>
              </w:rPr>
            </w:pPr>
            <w:r>
              <w:rPr>
                <w:rFonts w:ascii="Times New Roman" w:hAnsi="Times New Roman" w:cs="Times New Roman"/>
                <w:b/>
                <w:sz w:val="22"/>
                <w:szCs w:val="22"/>
                <w:lang w:val="sq-AL"/>
              </w:rPr>
              <w:t>Masa 5.1.4</w:t>
            </w:r>
          </w:p>
        </w:tc>
        <w:tc>
          <w:tcPr>
            <w:tcW w:w="8187" w:type="dxa"/>
            <w:shd w:val="clear" w:color="auto" w:fill="auto"/>
          </w:tcPr>
          <w:p w14:paraId="0AEFBF0A" w14:textId="6DFFEA5F" w:rsidR="004447BD" w:rsidRPr="004447BD" w:rsidRDefault="00CF2234" w:rsidP="00972BC3">
            <w:pPr>
              <w:spacing w:beforeAutospacing="1" w:after="160" w:line="276" w:lineRule="auto"/>
              <w:jc w:val="both"/>
              <w:textAlignment w:val="baseline"/>
              <w:rPr>
                <w:rFonts w:ascii="Times New Roman" w:hAnsi="Times New Roman" w:cs="Times New Roman"/>
                <w:sz w:val="22"/>
                <w:szCs w:val="22"/>
                <w:lang w:val="en-GB"/>
              </w:rPr>
            </w:pPr>
            <w:r w:rsidRPr="00CF2234">
              <w:rPr>
                <w:rFonts w:ascii="Times New Roman" w:hAnsi="Times New Roman" w:cs="Times New Roman"/>
                <w:sz w:val="22"/>
                <w:szCs w:val="22"/>
                <w:lang w:val="en-GB"/>
              </w:rPr>
              <w:t>Krijimi i sistemeve dhe instrumenteve për monitorimin e performancës energjetike në institucionet publike.</w:t>
            </w:r>
          </w:p>
        </w:tc>
      </w:tr>
    </w:tbl>
    <w:p w14:paraId="4B50A2B8" w14:textId="77777777" w:rsidR="00802A44" w:rsidRPr="00641640" w:rsidRDefault="00802A44" w:rsidP="00802A44">
      <w:pPr>
        <w:spacing w:line="276" w:lineRule="auto"/>
        <w:jc w:val="both"/>
        <w:rPr>
          <w:rFonts w:ascii="Times New Roman" w:hAnsi="Times New Roman" w:cs="Times New Roman"/>
          <w:b/>
          <w:bCs/>
          <w:sz w:val="22"/>
          <w:szCs w:val="22"/>
          <w:lang w:val="sq-AL"/>
        </w:rPr>
      </w:pPr>
      <w:r w:rsidRPr="00641640">
        <w:rPr>
          <w:rFonts w:ascii="Times New Roman" w:hAnsi="Times New Roman" w:cs="Times New Roman"/>
          <w:b/>
          <w:bCs/>
          <w:sz w:val="22"/>
          <w:szCs w:val="22"/>
          <w:lang w:val="sq-AL"/>
        </w:rPr>
        <w:lastRenderedPageBreak/>
        <w:t>Lidhja e treguesve kryesorë të performancës më Qëllimin e Politikës V, Objektivin Specifik 5.1 dhe institucionet përgjegjëse.</w:t>
      </w:r>
    </w:p>
    <w:tbl>
      <w:tblPr>
        <w:tblStyle w:val="TableGrid"/>
        <w:tblW w:w="93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2"/>
        <w:gridCol w:w="2250"/>
        <w:gridCol w:w="1890"/>
        <w:gridCol w:w="2340"/>
        <w:gridCol w:w="1890"/>
      </w:tblGrid>
      <w:tr w:rsidR="00802A44" w:rsidRPr="00641640" w14:paraId="03B92E98" w14:textId="77777777" w:rsidTr="00E424B4">
        <w:trPr>
          <w:trHeight w:val="15"/>
        </w:trPr>
        <w:tc>
          <w:tcPr>
            <w:tcW w:w="982" w:type="dxa"/>
            <w:shd w:val="clear" w:color="auto" w:fill="C5E0B3" w:themeFill="accent6" w:themeFillTint="66"/>
            <w:tcMar>
              <w:top w:w="15" w:type="dxa"/>
              <w:left w:w="75" w:type="dxa"/>
              <w:bottom w:w="15" w:type="dxa"/>
              <w:right w:w="75" w:type="dxa"/>
            </w:tcMar>
          </w:tcPr>
          <w:p w14:paraId="6F7F58F6" w14:textId="77777777" w:rsidR="00802A44" w:rsidRPr="00641640" w:rsidRDefault="00802A44" w:rsidP="00972BC3">
            <w:pPr>
              <w:spacing w:line="276" w:lineRule="auto"/>
              <w:jc w:val="center"/>
              <w:rPr>
                <w:rFonts w:ascii="Times New Roman" w:eastAsia="Arial" w:hAnsi="Times New Roman" w:cs="Times New Roman"/>
                <w:b/>
                <w:bCs/>
                <w:sz w:val="22"/>
                <w:szCs w:val="22"/>
                <w:lang w:val="it-IT"/>
              </w:rPr>
            </w:pPr>
          </w:p>
          <w:p w14:paraId="0384D9B2" w14:textId="77777777" w:rsidR="00802A44" w:rsidRPr="00641640" w:rsidRDefault="00802A44" w:rsidP="00972BC3">
            <w:pPr>
              <w:spacing w:line="276" w:lineRule="auto"/>
              <w:jc w:val="center"/>
              <w:rPr>
                <w:rFonts w:ascii="Times New Roman" w:eastAsia="Arial" w:hAnsi="Times New Roman" w:cs="Times New Roman"/>
                <w:b/>
                <w:bCs/>
                <w:sz w:val="22"/>
                <w:szCs w:val="22"/>
              </w:rPr>
            </w:pPr>
            <w:r w:rsidRPr="00641640">
              <w:rPr>
                <w:rFonts w:ascii="Times New Roman" w:eastAsia="Arial" w:hAnsi="Times New Roman" w:cs="Times New Roman"/>
                <w:b/>
                <w:bCs/>
                <w:sz w:val="22"/>
                <w:szCs w:val="22"/>
              </w:rPr>
              <w:t>Lloji i treguesit</w:t>
            </w:r>
          </w:p>
        </w:tc>
        <w:tc>
          <w:tcPr>
            <w:tcW w:w="2250" w:type="dxa"/>
            <w:shd w:val="clear" w:color="auto" w:fill="C5E0B3" w:themeFill="accent6" w:themeFillTint="66"/>
            <w:tcMar>
              <w:top w:w="15" w:type="dxa"/>
              <w:left w:w="75" w:type="dxa"/>
              <w:bottom w:w="15" w:type="dxa"/>
              <w:right w:w="75" w:type="dxa"/>
            </w:tcMar>
          </w:tcPr>
          <w:p w14:paraId="1AA02CC0" w14:textId="77777777" w:rsidR="00802A44" w:rsidRPr="00641640" w:rsidRDefault="00802A44" w:rsidP="00972BC3">
            <w:pPr>
              <w:spacing w:line="276" w:lineRule="auto"/>
              <w:jc w:val="center"/>
              <w:rPr>
                <w:rFonts w:ascii="Times New Roman" w:eastAsia="Arial" w:hAnsi="Times New Roman" w:cs="Times New Roman"/>
                <w:b/>
                <w:bCs/>
                <w:sz w:val="22"/>
                <w:szCs w:val="22"/>
              </w:rPr>
            </w:pPr>
          </w:p>
          <w:p w14:paraId="0DE1863D" w14:textId="77777777" w:rsidR="00802A44" w:rsidRPr="00641640" w:rsidRDefault="00802A44" w:rsidP="00972BC3">
            <w:pPr>
              <w:spacing w:line="276" w:lineRule="auto"/>
              <w:jc w:val="center"/>
              <w:rPr>
                <w:rFonts w:ascii="Times New Roman" w:eastAsia="Arial" w:hAnsi="Times New Roman" w:cs="Times New Roman"/>
                <w:b/>
                <w:bCs/>
                <w:sz w:val="22"/>
                <w:szCs w:val="22"/>
              </w:rPr>
            </w:pPr>
            <w:r w:rsidRPr="00641640">
              <w:rPr>
                <w:rFonts w:ascii="Times New Roman" w:eastAsia="Arial" w:hAnsi="Times New Roman" w:cs="Times New Roman"/>
                <w:b/>
                <w:bCs/>
                <w:sz w:val="22"/>
                <w:szCs w:val="22"/>
              </w:rPr>
              <w:t>Emërtimi i treguesit të performancës</w:t>
            </w:r>
          </w:p>
          <w:p w14:paraId="1FE78663" w14:textId="77777777" w:rsidR="00802A44" w:rsidRPr="00641640" w:rsidRDefault="00802A44" w:rsidP="00972BC3">
            <w:pPr>
              <w:spacing w:line="276" w:lineRule="auto"/>
              <w:jc w:val="center"/>
              <w:rPr>
                <w:rFonts w:ascii="Times New Roman" w:eastAsia="Arial" w:hAnsi="Times New Roman" w:cs="Times New Roman"/>
                <w:sz w:val="22"/>
                <w:szCs w:val="22"/>
              </w:rPr>
            </w:pPr>
          </w:p>
        </w:tc>
        <w:tc>
          <w:tcPr>
            <w:tcW w:w="1890" w:type="dxa"/>
            <w:shd w:val="clear" w:color="auto" w:fill="C5E0B3" w:themeFill="accent6" w:themeFillTint="66"/>
          </w:tcPr>
          <w:p w14:paraId="101B4E99" w14:textId="77777777" w:rsidR="00802A44" w:rsidRPr="00641640" w:rsidRDefault="00802A44" w:rsidP="00972BC3">
            <w:pPr>
              <w:spacing w:line="276" w:lineRule="auto"/>
              <w:jc w:val="center"/>
              <w:rPr>
                <w:rFonts w:ascii="Times New Roman" w:eastAsia="Arial" w:hAnsi="Times New Roman" w:cs="Times New Roman"/>
                <w:b/>
                <w:bCs/>
                <w:sz w:val="22"/>
                <w:szCs w:val="22"/>
              </w:rPr>
            </w:pPr>
          </w:p>
          <w:p w14:paraId="02A2F3C4" w14:textId="77777777" w:rsidR="00802A44" w:rsidRPr="00641640" w:rsidRDefault="00802A44" w:rsidP="00972BC3">
            <w:pPr>
              <w:spacing w:line="276" w:lineRule="auto"/>
              <w:jc w:val="center"/>
              <w:rPr>
                <w:rFonts w:ascii="Times New Roman" w:eastAsia="Arial" w:hAnsi="Times New Roman" w:cs="Times New Roman"/>
                <w:b/>
                <w:bCs/>
                <w:sz w:val="22"/>
                <w:szCs w:val="22"/>
              </w:rPr>
            </w:pPr>
            <w:r w:rsidRPr="00641640">
              <w:rPr>
                <w:rFonts w:ascii="Times New Roman" w:eastAsia="Arial" w:hAnsi="Times New Roman" w:cs="Times New Roman"/>
                <w:b/>
                <w:bCs/>
                <w:sz w:val="22"/>
                <w:szCs w:val="22"/>
              </w:rPr>
              <w:t>Lidhja me Qëllimin e Politikës</w:t>
            </w:r>
          </w:p>
        </w:tc>
        <w:tc>
          <w:tcPr>
            <w:tcW w:w="2340" w:type="dxa"/>
            <w:shd w:val="clear" w:color="auto" w:fill="C5E0B3" w:themeFill="accent6" w:themeFillTint="66"/>
          </w:tcPr>
          <w:p w14:paraId="406E51D0" w14:textId="77777777" w:rsidR="00802A44" w:rsidRPr="00641640" w:rsidRDefault="00802A44" w:rsidP="00972BC3">
            <w:pPr>
              <w:spacing w:line="276" w:lineRule="auto"/>
              <w:jc w:val="center"/>
              <w:rPr>
                <w:rFonts w:ascii="Times New Roman" w:eastAsia="Arial" w:hAnsi="Times New Roman" w:cs="Times New Roman"/>
                <w:b/>
                <w:bCs/>
                <w:sz w:val="22"/>
                <w:szCs w:val="22"/>
              </w:rPr>
            </w:pPr>
          </w:p>
          <w:p w14:paraId="63456776" w14:textId="77777777" w:rsidR="00802A44" w:rsidRPr="00641640" w:rsidRDefault="00802A44" w:rsidP="00972BC3">
            <w:pPr>
              <w:spacing w:line="276" w:lineRule="auto"/>
              <w:jc w:val="center"/>
              <w:rPr>
                <w:rFonts w:ascii="Times New Roman" w:eastAsia="Arial" w:hAnsi="Times New Roman" w:cs="Times New Roman"/>
                <w:b/>
                <w:bCs/>
                <w:sz w:val="22"/>
                <w:szCs w:val="22"/>
              </w:rPr>
            </w:pPr>
            <w:r w:rsidRPr="00641640">
              <w:rPr>
                <w:rFonts w:ascii="Times New Roman" w:eastAsia="Arial" w:hAnsi="Times New Roman" w:cs="Times New Roman"/>
                <w:b/>
                <w:bCs/>
                <w:sz w:val="22"/>
                <w:szCs w:val="22"/>
              </w:rPr>
              <w:t>Lidhja me Objektivin Specifik</w:t>
            </w:r>
          </w:p>
        </w:tc>
        <w:tc>
          <w:tcPr>
            <w:tcW w:w="1890" w:type="dxa"/>
            <w:shd w:val="clear" w:color="auto" w:fill="C5E0B3" w:themeFill="accent6" w:themeFillTint="66"/>
            <w:tcMar>
              <w:top w:w="15" w:type="dxa"/>
              <w:left w:w="75" w:type="dxa"/>
              <w:bottom w:w="15" w:type="dxa"/>
              <w:right w:w="75" w:type="dxa"/>
            </w:tcMar>
          </w:tcPr>
          <w:p w14:paraId="789F14F9" w14:textId="77777777" w:rsidR="00802A44" w:rsidRPr="00641640" w:rsidRDefault="00802A44" w:rsidP="00972BC3">
            <w:pPr>
              <w:spacing w:line="276" w:lineRule="auto"/>
              <w:jc w:val="center"/>
              <w:rPr>
                <w:rFonts w:ascii="Times New Roman" w:eastAsia="Arial" w:hAnsi="Times New Roman" w:cs="Times New Roman"/>
                <w:sz w:val="22"/>
                <w:szCs w:val="22"/>
              </w:rPr>
            </w:pPr>
          </w:p>
          <w:p w14:paraId="09F47F02" w14:textId="77777777" w:rsidR="00802A44" w:rsidRPr="00641640" w:rsidRDefault="00802A44" w:rsidP="00972BC3">
            <w:pPr>
              <w:spacing w:line="276" w:lineRule="auto"/>
              <w:jc w:val="center"/>
              <w:rPr>
                <w:rFonts w:ascii="Times New Roman" w:eastAsia="Arial" w:hAnsi="Times New Roman" w:cs="Times New Roman"/>
                <w:b/>
                <w:bCs/>
                <w:sz w:val="22"/>
                <w:szCs w:val="22"/>
              </w:rPr>
            </w:pPr>
            <w:r w:rsidRPr="00641640">
              <w:rPr>
                <w:rFonts w:ascii="Times New Roman" w:eastAsia="Arial" w:hAnsi="Times New Roman" w:cs="Times New Roman"/>
                <w:b/>
                <w:bCs/>
                <w:sz w:val="22"/>
                <w:szCs w:val="22"/>
              </w:rPr>
              <w:t>Institucioni përgjegjës</w:t>
            </w:r>
          </w:p>
        </w:tc>
      </w:tr>
      <w:tr w:rsidR="00802A44" w:rsidRPr="00641640" w14:paraId="47242014" w14:textId="77777777" w:rsidTr="00972BC3">
        <w:trPr>
          <w:trHeight w:val="965"/>
        </w:trPr>
        <w:tc>
          <w:tcPr>
            <w:tcW w:w="982" w:type="dxa"/>
            <w:shd w:val="clear" w:color="auto" w:fill="auto"/>
            <w:tcMar>
              <w:top w:w="15" w:type="dxa"/>
              <w:left w:w="75" w:type="dxa"/>
              <w:bottom w:w="15" w:type="dxa"/>
              <w:right w:w="75" w:type="dxa"/>
            </w:tcMar>
          </w:tcPr>
          <w:p w14:paraId="723D3FE7" w14:textId="39943544" w:rsidR="00802A44" w:rsidRPr="00936253" w:rsidRDefault="00936253" w:rsidP="00972BC3">
            <w:pPr>
              <w:spacing w:line="276" w:lineRule="auto"/>
              <w:rPr>
                <w:rFonts w:ascii="Times New Roman" w:hAnsi="Times New Roman" w:cs="Times New Roman"/>
                <w:bCs/>
                <w:sz w:val="22"/>
                <w:szCs w:val="22"/>
                <w:lang w:val="sq-AL"/>
              </w:rPr>
            </w:pPr>
            <w:r w:rsidRPr="00936253">
              <w:rPr>
                <w:rFonts w:ascii="Times New Roman" w:hAnsi="Times New Roman" w:cs="Times New Roman"/>
                <w:bCs/>
                <w:sz w:val="22"/>
                <w:szCs w:val="22"/>
                <w:lang w:val="sq-AL"/>
              </w:rPr>
              <w:t>Rezultati</w:t>
            </w:r>
          </w:p>
        </w:tc>
        <w:tc>
          <w:tcPr>
            <w:tcW w:w="2250" w:type="dxa"/>
            <w:shd w:val="clear" w:color="auto" w:fill="auto"/>
            <w:tcMar>
              <w:top w:w="15" w:type="dxa"/>
              <w:left w:w="75" w:type="dxa"/>
              <w:bottom w:w="15" w:type="dxa"/>
              <w:right w:w="75" w:type="dxa"/>
            </w:tcMar>
          </w:tcPr>
          <w:p w14:paraId="32C97415" w14:textId="615D8E08" w:rsidR="00802A44" w:rsidRPr="00936253" w:rsidRDefault="00936253" w:rsidP="00972BC3">
            <w:pPr>
              <w:spacing w:line="276" w:lineRule="auto"/>
              <w:rPr>
                <w:rFonts w:ascii="Times New Roman" w:hAnsi="Times New Roman" w:cs="Times New Roman"/>
                <w:sz w:val="22"/>
                <w:szCs w:val="22"/>
              </w:rPr>
            </w:pPr>
            <w:r>
              <w:rPr>
                <w:rFonts w:ascii="Times New Roman" w:hAnsi="Times New Roman" w:cs="Times New Roman"/>
                <w:sz w:val="22"/>
                <w:szCs w:val="22"/>
              </w:rPr>
              <w:t xml:space="preserve">5.1.1 </w:t>
            </w:r>
            <w:r w:rsidR="004A1E54" w:rsidRPr="004A1E54">
              <w:rPr>
                <w:rFonts w:ascii="Times New Roman" w:hAnsi="Times New Roman" w:cs="Times New Roman"/>
                <w:sz w:val="22"/>
                <w:szCs w:val="22"/>
              </w:rPr>
              <w:t>Ulja e konsumit të burimeve natyrore (energjis</w:t>
            </w:r>
            <w:r w:rsidR="00A32BD2">
              <w:rPr>
                <w:rFonts w:ascii="Times New Roman" w:hAnsi="Times New Roman" w:cs="Times New Roman"/>
                <w:sz w:val="22"/>
                <w:szCs w:val="22"/>
              </w:rPr>
              <w:t>ë</w:t>
            </w:r>
            <w:r w:rsidR="004A1E54" w:rsidRPr="004A1E54">
              <w:rPr>
                <w:rFonts w:ascii="Times New Roman" w:hAnsi="Times New Roman" w:cs="Times New Roman"/>
                <w:sz w:val="22"/>
                <w:szCs w:val="22"/>
              </w:rPr>
              <w:t xml:space="preserve"> dhe ujit) nga institucionet qendrore</w:t>
            </w:r>
            <w:r w:rsidR="00802A44" w:rsidRPr="00641640">
              <w:rPr>
                <w:rFonts w:ascii="Times New Roman" w:hAnsi="Times New Roman" w:cs="Times New Roman"/>
                <w:sz w:val="22"/>
                <w:szCs w:val="22"/>
              </w:rPr>
              <w:t>.</w:t>
            </w:r>
          </w:p>
        </w:tc>
        <w:tc>
          <w:tcPr>
            <w:tcW w:w="1890" w:type="dxa"/>
            <w:shd w:val="clear" w:color="auto" w:fill="auto"/>
          </w:tcPr>
          <w:p w14:paraId="75772A82" w14:textId="00336747" w:rsidR="00802A44" w:rsidRPr="00641640" w:rsidRDefault="00972BC3" w:rsidP="00972BC3">
            <w:pPr>
              <w:spacing w:line="276" w:lineRule="auto"/>
              <w:rPr>
                <w:rFonts w:ascii="Times New Roman" w:eastAsia="Arial" w:hAnsi="Times New Roman" w:cs="Times New Roman"/>
                <w:sz w:val="22"/>
                <w:szCs w:val="22"/>
                <w:lang w:val="it-IT"/>
              </w:rPr>
            </w:pPr>
            <w:r w:rsidRPr="00641640">
              <w:rPr>
                <w:rFonts w:ascii="Times New Roman" w:eastAsia="Arial" w:hAnsi="Times New Roman" w:cs="Times New Roman"/>
                <w:sz w:val="22"/>
                <w:szCs w:val="22"/>
                <w:lang w:val="it-IT"/>
              </w:rPr>
              <w:t>Administrata e Gjelb</w:t>
            </w:r>
            <w:r w:rsidR="00641640" w:rsidRPr="00641640">
              <w:rPr>
                <w:rFonts w:ascii="Times New Roman" w:eastAsia="Arial" w:hAnsi="Times New Roman" w:cs="Times New Roman"/>
                <w:sz w:val="22"/>
                <w:szCs w:val="22"/>
                <w:lang w:val="it-IT"/>
              </w:rPr>
              <w:t>ë</w:t>
            </w:r>
            <w:r w:rsidRPr="00641640">
              <w:rPr>
                <w:rFonts w:ascii="Times New Roman" w:eastAsia="Arial" w:hAnsi="Times New Roman" w:cs="Times New Roman"/>
                <w:sz w:val="22"/>
                <w:szCs w:val="22"/>
                <w:lang w:val="it-IT"/>
              </w:rPr>
              <w:t>r</w:t>
            </w:r>
          </w:p>
        </w:tc>
        <w:tc>
          <w:tcPr>
            <w:tcW w:w="2340" w:type="dxa"/>
            <w:shd w:val="clear" w:color="auto" w:fill="auto"/>
          </w:tcPr>
          <w:p w14:paraId="2AFA84DD" w14:textId="77777777" w:rsidR="00802A44" w:rsidRDefault="00841905" w:rsidP="00972BC3">
            <w:pPr>
              <w:spacing w:line="276" w:lineRule="auto"/>
              <w:rPr>
                <w:rFonts w:ascii="Times New Roman" w:hAnsi="Times New Roman" w:cs="Times New Roman"/>
                <w:sz w:val="22"/>
                <w:szCs w:val="22"/>
                <w:lang w:val="en-GB"/>
              </w:rPr>
            </w:pPr>
            <w:r w:rsidRPr="00841905">
              <w:rPr>
                <w:rFonts w:ascii="Times New Roman" w:hAnsi="Times New Roman" w:cs="Times New Roman"/>
                <w:sz w:val="22"/>
                <w:szCs w:val="22"/>
                <w:lang w:val="en-GB"/>
              </w:rPr>
              <w:t>5.1: Përmirësimi i performancës mjedisore të institucioneve publike në përputhje me standardet e Skemës së Eko-Menaxhimit dhe Auditimit (SEMA).</w:t>
            </w:r>
          </w:p>
          <w:p w14:paraId="77A6B81B" w14:textId="628D2EC9" w:rsidR="00D81897" w:rsidRPr="00641640" w:rsidRDefault="00D81897" w:rsidP="00972BC3">
            <w:pPr>
              <w:spacing w:line="276" w:lineRule="auto"/>
              <w:rPr>
                <w:rFonts w:ascii="Times New Roman" w:eastAsia="Arial" w:hAnsi="Times New Roman" w:cs="Times New Roman"/>
                <w:sz w:val="22"/>
                <w:szCs w:val="22"/>
                <w:lang w:val="it-IT"/>
              </w:rPr>
            </w:pPr>
          </w:p>
        </w:tc>
        <w:tc>
          <w:tcPr>
            <w:tcW w:w="1890" w:type="dxa"/>
            <w:shd w:val="clear" w:color="auto" w:fill="auto"/>
            <w:tcMar>
              <w:top w:w="15" w:type="dxa"/>
              <w:left w:w="75" w:type="dxa"/>
              <w:bottom w:w="15" w:type="dxa"/>
              <w:right w:w="75" w:type="dxa"/>
            </w:tcMar>
          </w:tcPr>
          <w:p w14:paraId="51F1DFD0" w14:textId="27AE657E" w:rsidR="00802A44" w:rsidRPr="00641640" w:rsidRDefault="00841905" w:rsidP="00972BC3">
            <w:pPr>
              <w:spacing w:line="276" w:lineRule="auto"/>
              <w:jc w:val="center"/>
              <w:rPr>
                <w:rFonts w:ascii="Times New Roman" w:eastAsia="Arial" w:hAnsi="Times New Roman" w:cs="Times New Roman"/>
                <w:sz w:val="22"/>
                <w:szCs w:val="22"/>
                <w:highlight w:val="red"/>
                <w:lang w:val="it-IT"/>
              </w:rPr>
            </w:pPr>
            <w:r>
              <w:rPr>
                <w:rFonts w:ascii="Times New Roman" w:eastAsia="Arial" w:hAnsi="Times New Roman" w:cs="Times New Roman"/>
                <w:sz w:val="22"/>
                <w:szCs w:val="22"/>
                <w:lang w:val="it-IT"/>
              </w:rPr>
              <w:t>MIE</w:t>
            </w:r>
            <w:r w:rsidR="00A366A2">
              <w:rPr>
                <w:rFonts w:ascii="Times New Roman" w:eastAsia="Arial" w:hAnsi="Times New Roman" w:cs="Times New Roman"/>
                <w:sz w:val="22"/>
                <w:szCs w:val="22"/>
                <w:lang w:val="it-IT"/>
              </w:rPr>
              <w:t>, AEE</w:t>
            </w:r>
          </w:p>
        </w:tc>
      </w:tr>
      <w:tr w:rsidR="00802A44" w:rsidRPr="00641640" w14:paraId="28EEBCB9" w14:textId="77777777" w:rsidTr="00D30B7D">
        <w:trPr>
          <w:trHeight w:val="1145"/>
        </w:trPr>
        <w:tc>
          <w:tcPr>
            <w:tcW w:w="982" w:type="dxa"/>
            <w:shd w:val="clear" w:color="auto" w:fill="auto"/>
            <w:tcMar>
              <w:top w:w="15" w:type="dxa"/>
              <w:left w:w="75" w:type="dxa"/>
              <w:bottom w:w="15" w:type="dxa"/>
              <w:right w:w="75" w:type="dxa"/>
            </w:tcMar>
          </w:tcPr>
          <w:p w14:paraId="4FEF8039" w14:textId="12F14379" w:rsidR="00802A44" w:rsidRPr="00936253" w:rsidRDefault="00936253" w:rsidP="00972BC3">
            <w:pPr>
              <w:spacing w:line="276" w:lineRule="auto"/>
              <w:rPr>
                <w:rFonts w:ascii="Times New Roman" w:hAnsi="Times New Roman" w:cs="Times New Roman"/>
                <w:bCs/>
                <w:sz w:val="22"/>
                <w:szCs w:val="22"/>
                <w:lang w:val="sq-AL"/>
              </w:rPr>
            </w:pPr>
            <w:r>
              <w:rPr>
                <w:rFonts w:ascii="Times New Roman" w:hAnsi="Times New Roman" w:cs="Times New Roman"/>
                <w:bCs/>
                <w:sz w:val="22"/>
                <w:szCs w:val="22"/>
                <w:lang w:val="sq-AL"/>
              </w:rPr>
              <w:t>Produkti</w:t>
            </w:r>
          </w:p>
          <w:p w14:paraId="3216E632" w14:textId="77777777" w:rsidR="00802A44" w:rsidRPr="00641640" w:rsidRDefault="00802A44" w:rsidP="00972BC3">
            <w:pPr>
              <w:spacing w:line="276" w:lineRule="auto"/>
              <w:rPr>
                <w:rFonts w:ascii="Times New Roman" w:hAnsi="Times New Roman" w:cs="Times New Roman"/>
                <w:color w:val="ED7D31" w:themeColor="accent2"/>
                <w:sz w:val="22"/>
                <w:szCs w:val="22"/>
                <w:lang w:val="sq-AL"/>
              </w:rPr>
            </w:pPr>
          </w:p>
        </w:tc>
        <w:tc>
          <w:tcPr>
            <w:tcW w:w="2250" w:type="dxa"/>
            <w:shd w:val="clear" w:color="auto" w:fill="auto"/>
            <w:tcMar>
              <w:top w:w="15" w:type="dxa"/>
              <w:left w:w="75" w:type="dxa"/>
              <w:bottom w:w="15" w:type="dxa"/>
              <w:right w:w="75" w:type="dxa"/>
            </w:tcMar>
          </w:tcPr>
          <w:p w14:paraId="3389DDB0" w14:textId="7477977C" w:rsidR="00802A44" w:rsidRPr="00641640" w:rsidRDefault="00936253" w:rsidP="00972BC3">
            <w:pPr>
              <w:spacing w:line="276" w:lineRule="auto"/>
              <w:rPr>
                <w:rFonts w:ascii="Times New Roman" w:hAnsi="Times New Roman" w:cs="Times New Roman"/>
                <w:sz w:val="22"/>
                <w:szCs w:val="22"/>
              </w:rPr>
            </w:pPr>
            <w:r>
              <w:rPr>
                <w:rFonts w:ascii="Times New Roman" w:hAnsi="Times New Roman" w:cs="Times New Roman"/>
                <w:sz w:val="22"/>
                <w:szCs w:val="22"/>
              </w:rPr>
              <w:t xml:space="preserve">5.1.2 </w:t>
            </w:r>
            <w:r w:rsidR="00984E67">
              <w:rPr>
                <w:rFonts w:ascii="Times New Roman" w:hAnsi="Times New Roman" w:cs="Times New Roman"/>
                <w:sz w:val="22"/>
                <w:szCs w:val="22"/>
              </w:rPr>
              <w:t xml:space="preserve">Numri i akteve </w:t>
            </w:r>
            <w:r w:rsidR="00223C5E" w:rsidRPr="00223C5E">
              <w:rPr>
                <w:rFonts w:ascii="Times New Roman" w:hAnsi="Times New Roman" w:cs="Times New Roman"/>
                <w:sz w:val="22"/>
                <w:szCs w:val="22"/>
              </w:rPr>
              <w:t>nënligjore të miratuara në fushën e SEMA</w:t>
            </w:r>
            <w:r w:rsidR="00802A44" w:rsidRPr="00641640">
              <w:rPr>
                <w:rFonts w:ascii="Times New Roman" w:hAnsi="Times New Roman" w:cs="Times New Roman"/>
                <w:sz w:val="22"/>
                <w:szCs w:val="22"/>
              </w:rPr>
              <w:t>.</w:t>
            </w:r>
          </w:p>
          <w:p w14:paraId="6B1FF6CB" w14:textId="77777777" w:rsidR="00802A44" w:rsidRPr="00641640" w:rsidRDefault="00802A44" w:rsidP="00972BC3">
            <w:pPr>
              <w:pStyle w:val="T-number"/>
              <w:spacing w:line="276" w:lineRule="auto"/>
              <w:ind w:left="0"/>
              <w:jc w:val="both"/>
              <w:rPr>
                <w:rFonts w:ascii="Times New Roman" w:eastAsiaTheme="minorHAnsi" w:hAnsi="Times New Roman" w:cs="Times New Roman"/>
                <w:b/>
                <w:bCs/>
                <w:sz w:val="22"/>
                <w:szCs w:val="22"/>
                <w:lang w:val="it-IT"/>
              </w:rPr>
            </w:pPr>
            <w:r w:rsidRPr="00641640">
              <w:rPr>
                <w:rFonts w:ascii="Times New Roman" w:eastAsiaTheme="minorHAnsi" w:hAnsi="Times New Roman" w:cs="Times New Roman"/>
                <w:sz w:val="22"/>
                <w:szCs w:val="22"/>
                <w:lang w:val="it-IT"/>
              </w:rPr>
              <w:t>të</w:t>
            </w:r>
          </w:p>
        </w:tc>
        <w:tc>
          <w:tcPr>
            <w:tcW w:w="1890" w:type="dxa"/>
            <w:shd w:val="clear" w:color="auto" w:fill="auto"/>
          </w:tcPr>
          <w:p w14:paraId="28561AA2" w14:textId="70332CFC" w:rsidR="00802A44" w:rsidRPr="00641640" w:rsidRDefault="00972BC3" w:rsidP="00972BC3">
            <w:pPr>
              <w:spacing w:line="276" w:lineRule="auto"/>
              <w:rPr>
                <w:rFonts w:ascii="Times New Roman" w:eastAsia="Arial" w:hAnsi="Times New Roman" w:cs="Times New Roman"/>
                <w:b/>
                <w:bCs/>
                <w:sz w:val="22"/>
                <w:szCs w:val="22"/>
                <w:lang w:val="it-IT"/>
              </w:rPr>
            </w:pPr>
            <w:r w:rsidRPr="00641640">
              <w:rPr>
                <w:rFonts w:ascii="Times New Roman" w:eastAsia="Arial" w:hAnsi="Times New Roman" w:cs="Times New Roman"/>
                <w:sz w:val="22"/>
                <w:szCs w:val="22"/>
                <w:lang w:val="it-IT"/>
              </w:rPr>
              <w:t>Administrata e Gjelb</w:t>
            </w:r>
            <w:r w:rsidR="00641640" w:rsidRPr="00641640">
              <w:rPr>
                <w:rFonts w:ascii="Times New Roman" w:eastAsia="Arial" w:hAnsi="Times New Roman" w:cs="Times New Roman"/>
                <w:sz w:val="22"/>
                <w:szCs w:val="22"/>
                <w:lang w:val="it-IT"/>
              </w:rPr>
              <w:t>ë</w:t>
            </w:r>
            <w:r w:rsidRPr="00641640">
              <w:rPr>
                <w:rFonts w:ascii="Times New Roman" w:eastAsia="Arial" w:hAnsi="Times New Roman" w:cs="Times New Roman"/>
                <w:sz w:val="22"/>
                <w:szCs w:val="22"/>
                <w:lang w:val="it-IT"/>
              </w:rPr>
              <w:t>r</w:t>
            </w:r>
          </w:p>
        </w:tc>
        <w:tc>
          <w:tcPr>
            <w:tcW w:w="2340" w:type="dxa"/>
            <w:shd w:val="clear" w:color="auto" w:fill="auto"/>
          </w:tcPr>
          <w:p w14:paraId="19F76717" w14:textId="0A48DFC3" w:rsidR="00802A44" w:rsidRPr="00641640" w:rsidRDefault="00841905" w:rsidP="00972BC3">
            <w:pPr>
              <w:spacing w:line="276" w:lineRule="auto"/>
              <w:rPr>
                <w:rFonts w:ascii="Times New Roman" w:eastAsia="Arial" w:hAnsi="Times New Roman" w:cs="Times New Roman"/>
                <w:sz w:val="22"/>
                <w:szCs w:val="22"/>
                <w:lang w:val="it-IT"/>
              </w:rPr>
            </w:pPr>
            <w:r w:rsidRPr="00841905">
              <w:rPr>
                <w:rFonts w:ascii="Times New Roman" w:hAnsi="Times New Roman" w:cs="Times New Roman"/>
                <w:sz w:val="22"/>
                <w:szCs w:val="22"/>
                <w:lang w:val="en-GB"/>
              </w:rPr>
              <w:t>5.1: Përmirësimi i performancës mjedisore të institucioneve publike në përputhje me standardet e Skemës së Eko-Menaxhimit dhe Auditimit (SEMA).</w:t>
            </w:r>
          </w:p>
        </w:tc>
        <w:tc>
          <w:tcPr>
            <w:tcW w:w="1890" w:type="dxa"/>
            <w:shd w:val="clear" w:color="auto" w:fill="auto"/>
            <w:tcMar>
              <w:top w:w="15" w:type="dxa"/>
              <w:left w:w="75" w:type="dxa"/>
              <w:bottom w:w="15" w:type="dxa"/>
              <w:right w:w="75" w:type="dxa"/>
            </w:tcMar>
          </w:tcPr>
          <w:p w14:paraId="3D8776DD" w14:textId="3AF23D85" w:rsidR="00802A44" w:rsidRPr="00641640" w:rsidRDefault="00D30B7D" w:rsidP="00972BC3">
            <w:pPr>
              <w:spacing w:line="276" w:lineRule="auto"/>
              <w:jc w:val="center"/>
              <w:rPr>
                <w:rFonts w:ascii="Times New Roman" w:eastAsia="Arial" w:hAnsi="Times New Roman" w:cs="Times New Roman"/>
                <w:b/>
                <w:bCs/>
                <w:sz w:val="22"/>
                <w:szCs w:val="22"/>
                <w:lang w:val="it-IT"/>
              </w:rPr>
            </w:pPr>
            <w:r>
              <w:rPr>
                <w:rFonts w:ascii="Times New Roman" w:eastAsia="Arial" w:hAnsi="Times New Roman" w:cs="Times New Roman"/>
                <w:sz w:val="22"/>
                <w:szCs w:val="22"/>
                <w:lang w:val="it-IT"/>
              </w:rPr>
              <w:t>MTM</w:t>
            </w:r>
          </w:p>
          <w:p w14:paraId="10E7D54E" w14:textId="77777777" w:rsidR="00802A44" w:rsidRPr="00641640" w:rsidRDefault="00802A44" w:rsidP="00972BC3">
            <w:pPr>
              <w:spacing w:line="276" w:lineRule="auto"/>
              <w:jc w:val="center"/>
              <w:rPr>
                <w:rFonts w:ascii="Times New Roman" w:eastAsia="Arial" w:hAnsi="Times New Roman" w:cs="Times New Roman"/>
                <w:sz w:val="22"/>
                <w:szCs w:val="22"/>
                <w:lang w:val="it-IT"/>
              </w:rPr>
            </w:pPr>
          </w:p>
        </w:tc>
      </w:tr>
    </w:tbl>
    <w:p w14:paraId="2FBBB0E9" w14:textId="77777777" w:rsidR="00802A44" w:rsidRPr="00641640" w:rsidRDefault="00802A44" w:rsidP="00802A44">
      <w:pPr>
        <w:spacing w:line="276" w:lineRule="auto"/>
        <w:rPr>
          <w:rFonts w:ascii="Times New Roman" w:hAnsi="Times New Roman" w:cs="Times New Roman"/>
          <w:b/>
          <w:bCs/>
          <w:color w:val="4472C4" w:themeColor="accent1"/>
          <w:sz w:val="24"/>
          <w:szCs w:val="24"/>
          <w:lang w:val="sq-AL"/>
        </w:rPr>
      </w:pPr>
    </w:p>
    <w:p w14:paraId="4E7EAE57" w14:textId="77777777" w:rsidR="00802A44" w:rsidRPr="00641640" w:rsidRDefault="00802A44" w:rsidP="00802A44">
      <w:pPr>
        <w:spacing w:line="276" w:lineRule="auto"/>
        <w:jc w:val="both"/>
        <w:rPr>
          <w:rFonts w:ascii="Times New Roman" w:hAnsi="Times New Roman" w:cs="Times New Roman"/>
          <w:b/>
          <w:bCs/>
          <w:i/>
          <w:iCs/>
          <w:sz w:val="24"/>
          <w:szCs w:val="24"/>
          <w:lang w:val="sq-AL"/>
        </w:rPr>
      </w:pPr>
      <w:r w:rsidRPr="00641640">
        <w:rPr>
          <w:rFonts w:ascii="Times New Roman" w:hAnsi="Times New Roman" w:cs="Times New Roman"/>
          <w:b/>
          <w:bCs/>
          <w:i/>
          <w:iCs/>
          <w:sz w:val="24"/>
          <w:szCs w:val="24"/>
          <w:lang w:val="sq-AL"/>
        </w:rPr>
        <w:t>Komponenti 5.2: Partneriteti për administratën e gjelbër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E4"/>
        <w:tblLook w:val="04A0" w:firstRow="1" w:lastRow="0" w:firstColumn="1" w:lastColumn="0" w:noHBand="0" w:noVBand="1"/>
      </w:tblPr>
      <w:tblGrid>
        <w:gridCol w:w="535"/>
        <w:gridCol w:w="8815"/>
      </w:tblGrid>
      <w:tr w:rsidR="00802A44" w:rsidRPr="00641640" w14:paraId="5F69F178" w14:textId="77777777" w:rsidTr="00972BC3">
        <w:tc>
          <w:tcPr>
            <w:tcW w:w="535" w:type="dxa"/>
            <w:shd w:val="clear" w:color="auto" w:fill="EAF4E4"/>
          </w:tcPr>
          <w:p w14:paraId="6CF31552" w14:textId="77777777" w:rsidR="00802A44" w:rsidRPr="00BA4AB1" w:rsidRDefault="00802A44" w:rsidP="00972BC3">
            <w:pPr>
              <w:spacing w:line="276" w:lineRule="auto"/>
              <w:jc w:val="both"/>
              <w:rPr>
                <w:rFonts w:ascii="Times New Roman" w:hAnsi="Times New Roman" w:cs="Times New Roman"/>
                <w:b/>
                <w:bCs/>
                <w:color w:val="003300"/>
                <w:sz w:val="24"/>
                <w:szCs w:val="24"/>
                <w:lang w:val="sq-AL"/>
              </w:rPr>
            </w:pPr>
            <w:r w:rsidRPr="00BA4AB1">
              <w:rPr>
                <w:rFonts w:ascii="Times New Roman" w:hAnsi="Times New Roman" w:cs="Times New Roman"/>
                <w:b/>
                <w:bCs/>
                <w:color w:val="003300"/>
                <w:sz w:val="24"/>
                <w:szCs w:val="24"/>
                <w:lang w:val="sq-AL"/>
              </w:rPr>
              <w:t>5.2</w:t>
            </w:r>
          </w:p>
        </w:tc>
        <w:tc>
          <w:tcPr>
            <w:tcW w:w="8815" w:type="dxa"/>
            <w:shd w:val="clear" w:color="auto" w:fill="EAF4E4"/>
          </w:tcPr>
          <w:p w14:paraId="4485E333" w14:textId="77777777" w:rsidR="00802A44" w:rsidRPr="00BA4AB1" w:rsidRDefault="00802A44" w:rsidP="00972BC3">
            <w:pPr>
              <w:spacing w:line="276" w:lineRule="auto"/>
              <w:jc w:val="both"/>
              <w:rPr>
                <w:rFonts w:ascii="Times New Roman" w:hAnsi="Times New Roman" w:cs="Times New Roman"/>
                <w:b/>
                <w:bCs/>
                <w:color w:val="003300"/>
                <w:sz w:val="24"/>
                <w:szCs w:val="24"/>
                <w:lang w:val="sq-AL"/>
              </w:rPr>
            </w:pPr>
            <w:r w:rsidRPr="00BA4AB1">
              <w:rPr>
                <w:rFonts w:ascii="Times New Roman" w:hAnsi="Times New Roman" w:cs="Times New Roman"/>
                <w:b/>
                <w:bCs/>
                <w:color w:val="003300"/>
                <w:sz w:val="24"/>
                <w:szCs w:val="24"/>
                <w:lang w:val="sq-AL"/>
              </w:rPr>
              <w:t>Objektivi specifik 5.2: Forcimi i partneritetit ndërsektorial për zbatimin e nismave të gjelbra në administratën publike</w:t>
            </w:r>
          </w:p>
        </w:tc>
      </w:tr>
    </w:tbl>
    <w:p w14:paraId="7E616F8B" w14:textId="77777777" w:rsidR="00802A44" w:rsidRPr="00641640" w:rsidRDefault="00802A44" w:rsidP="00802A44">
      <w:pPr>
        <w:shd w:val="clear" w:color="auto" w:fill="FFFFFF" w:themeFill="background1"/>
        <w:spacing w:beforeAutospacing="1" w:after="0" w:line="276" w:lineRule="auto"/>
        <w:jc w:val="both"/>
        <w:textAlignment w:val="baseline"/>
        <w:rPr>
          <w:rFonts w:ascii="Times New Roman" w:hAnsi="Times New Roman" w:cs="Times New Roman"/>
          <w:b/>
          <w:bCs/>
          <w:color w:val="000000" w:themeColor="text1"/>
          <w:sz w:val="24"/>
          <w:szCs w:val="24"/>
          <w:lang w:val="sq-AL"/>
        </w:rPr>
      </w:pPr>
      <w:r w:rsidRPr="00641640">
        <w:rPr>
          <w:rFonts w:ascii="Times New Roman" w:hAnsi="Times New Roman" w:cs="Times New Roman"/>
          <w:b/>
          <w:bCs/>
          <w:color w:val="000000" w:themeColor="text1"/>
          <w:sz w:val="24"/>
          <w:szCs w:val="24"/>
          <w:lang w:val="sq-AL"/>
        </w:rPr>
        <w:t>Prioritetet</w:t>
      </w:r>
    </w:p>
    <w:p w14:paraId="7B01175C" w14:textId="77777777" w:rsidR="00802A44" w:rsidRPr="00641640" w:rsidRDefault="00802A44" w:rsidP="00802A44">
      <w:pPr>
        <w:spacing w:before="100" w:beforeAutospacing="1" w:after="100" w:afterAutospacing="1" w:line="276" w:lineRule="auto"/>
        <w:jc w:val="both"/>
        <w:rPr>
          <w:rFonts w:ascii="Times New Roman" w:eastAsia="Times New Roman" w:hAnsi="Times New Roman" w:cs="Times New Roman"/>
          <w:sz w:val="24"/>
          <w:szCs w:val="24"/>
        </w:rPr>
      </w:pPr>
      <w:r w:rsidRPr="00641640">
        <w:rPr>
          <w:rFonts w:ascii="Times New Roman" w:eastAsia="Times New Roman" w:hAnsi="Times New Roman" w:cs="Times New Roman"/>
          <w:bCs/>
          <w:sz w:val="24"/>
          <w:szCs w:val="24"/>
        </w:rPr>
        <w:t>Ky Objektiv Specifik</w:t>
      </w:r>
      <w:r w:rsidRPr="00641640">
        <w:rPr>
          <w:rFonts w:ascii="Times New Roman" w:eastAsia="Times New Roman" w:hAnsi="Times New Roman" w:cs="Times New Roman"/>
          <w:sz w:val="24"/>
          <w:szCs w:val="24"/>
        </w:rPr>
        <w:t xml:space="preserve"> fokusohet në forcimin e partneriteteve ndërsektoriale për implementimin e nismave të gjelbra në administratën publike. Masat e parashikuara synojnë ndërtimin e bashkëpunimit midis administratës publike, sektorit privat, organizatave të shoqërisë civile (OSHC) dhe organizatave ndërkombëtare, me qëllim përshpejtimin e integrimit të praktikave të qëndrueshme në proceset administrative. Këto partneritete do të ndihmojnë në ndarjen e burimeve dhe eksperiencave më të mira, duke krijuar mundësi për përmirësimin e administratës së gjelbër dhe promovimin e qëndrueshmërisë në shërbimet publike.</w:t>
      </w:r>
    </w:p>
    <w:p w14:paraId="73EA2BF7" w14:textId="1F0A139E" w:rsidR="00802A44" w:rsidRPr="00641640" w:rsidRDefault="00802A44" w:rsidP="00802A44">
      <w:pPr>
        <w:spacing w:before="100" w:beforeAutospacing="1" w:after="100" w:afterAutospacing="1" w:line="276" w:lineRule="auto"/>
        <w:jc w:val="both"/>
        <w:rPr>
          <w:rFonts w:ascii="Times New Roman" w:eastAsia="Times New Roman" w:hAnsi="Times New Roman" w:cs="Times New Roman"/>
          <w:sz w:val="24"/>
          <w:szCs w:val="24"/>
        </w:rPr>
      </w:pPr>
      <w:r w:rsidRPr="00641640">
        <w:rPr>
          <w:rFonts w:ascii="Times New Roman" w:eastAsia="Times New Roman" w:hAnsi="Times New Roman" w:cs="Times New Roman"/>
          <w:sz w:val="24"/>
          <w:szCs w:val="24"/>
        </w:rPr>
        <w:t xml:space="preserve">Një aspekt kyç i këtij komponenti është angazhimi i komunitetit dhe përfshirja e qytetarëve, bizneseve dhe grupeve të interesit në proceset vendimmarrëse lidhur me politikat e gjelbra. Kjo do të realizohet përmes organizimit të aktiviteteve si </w:t>
      </w:r>
      <w:r w:rsidR="00540E34">
        <w:rPr>
          <w:rFonts w:ascii="Times New Roman" w:eastAsia="Times New Roman" w:hAnsi="Times New Roman" w:cs="Times New Roman"/>
          <w:sz w:val="24"/>
          <w:szCs w:val="24"/>
        </w:rPr>
        <w:t>w</w:t>
      </w:r>
      <w:r w:rsidRPr="00641640">
        <w:rPr>
          <w:rFonts w:ascii="Times New Roman" w:eastAsia="Times New Roman" w:hAnsi="Times New Roman" w:cs="Times New Roman"/>
          <w:sz w:val="24"/>
          <w:szCs w:val="24"/>
        </w:rPr>
        <w:t xml:space="preserve">orkshop-e, konferenca dhe seminare për ndarjen e njohurive dhe praktikave më të mira të administratës së gjelbër. Gjithashtu, do të </w:t>
      </w:r>
      <w:r w:rsidRPr="00641640">
        <w:rPr>
          <w:rFonts w:ascii="Times New Roman" w:eastAsia="Times New Roman" w:hAnsi="Times New Roman" w:cs="Times New Roman"/>
          <w:sz w:val="24"/>
          <w:szCs w:val="24"/>
        </w:rPr>
        <w:lastRenderedPageBreak/>
        <w:t>shpërndahen materiale ndërgjegjësuese për të rritur informimin dhe mbështetjen e nismave mjedisore.</w:t>
      </w:r>
    </w:p>
    <w:p w14:paraId="79A59332" w14:textId="77777777" w:rsidR="00802A44" w:rsidRPr="00641640" w:rsidRDefault="00802A44" w:rsidP="00802A44">
      <w:pPr>
        <w:spacing w:before="100" w:beforeAutospacing="1" w:after="100" w:afterAutospacing="1" w:line="276" w:lineRule="auto"/>
        <w:jc w:val="both"/>
        <w:rPr>
          <w:rFonts w:ascii="Times New Roman" w:eastAsia="Times New Roman" w:hAnsi="Times New Roman" w:cs="Times New Roman"/>
          <w:sz w:val="24"/>
          <w:szCs w:val="24"/>
        </w:rPr>
      </w:pPr>
      <w:r w:rsidRPr="00641640">
        <w:rPr>
          <w:rFonts w:ascii="Times New Roman" w:eastAsia="Times New Roman" w:hAnsi="Times New Roman" w:cs="Times New Roman"/>
          <w:sz w:val="24"/>
          <w:szCs w:val="24"/>
        </w:rPr>
        <w:t xml:space="preserve">Për më tepër, rritja e bashkëpunimit me administratat në rajon dhe Bashkimin Evropian do të luajë një rol të rëndësishëm. Kjo përfshin shkëmbimin e praktikave më të mira dhe përmirësimin e proceseve të gjelbra administrative, duke siguruar që administrata publike të adoptojë dhe zbatojë praktika të reja për menaxhimin e burimeve dhe energjisë në mënyrë më efikase dhe të qëndrueshme, veçanërisht në kuadër të rrugës së Shqipërisë drejt Bashkimit Evropian. </w:t>
      </w:r>
    </w:p>
    <w:p w14:paraId="600CD7BA" w14:textId="77777777" w:rsidR="00802A44" w:rsidRPr="00641640" w:rsidRDefault="00802A44" w:rsidP="00802A44">
      <w:pPr>
        <w:spacing w:before="100" w:beforeAutospacing="1" w:after="100" w:afterAutospacing="1" w:line="276" w:lineRule="auto"/>
        <w:jc w:val="both"/>
        <w:rPr>
          <w:rFonts w:ascii="Times New Roman" w:eastAsia="Times New Roman" w:hAnsi="Times New Roman" w:cs="Times New Roman"/>
          <w:sz w:val="24"/>
          <w:szCs w:val="24"/>
        </w:rPr>
      </w:pPr>
      <w:r w:rsidRPr="00641640">
        <w:rPr>
          <w:rFonts w:ascii="Times New Roman" w:eastAsia="Times New Roman" w:hAnsi="Times New Roman" w:cs="Times New Roman"/>
          <w:sz w:val="24"/>
          <w:szCs w:val="24"/>
        </w:rPr>
        <w:t>Këto masa do të mbështeten nga indikatorë të matshëm si numri i aktiviteteve të organizuara, përfshirja e palëve të interesuara në konsultime dhe përmirësimi i praktikave të gjelbra, për të siguruar që administrata publike të avancojë në rrugën drejt qëndrueshmërisë mjedisore dhe të angazhohet në mënyrë aktive në përmbushjen e qëllimeve të saj.</w:t>
      </w:r>
    </w:p>
    <w:p w14:paraId="67BCF06E" w14:textId="77777777" w:rsidR="00802A44" w:rsidRPr="00641640" w:rsidRDefault="00802A44" w:rsidP="00802A44">
      <w:pPr>
        <w:spacing w:line="276" w:lineRule="auto"/>
        <w:jc w:val="both"/>
        <w:rPr>
          <w:rFonts w:ascii="Times New Roman" w:eastAsia="Times New Roman" w:hAnsi="Times New Roman" w:cs="Times New Roman"/>
          <w:b/>
          <w:bCs/>
          <w:sz w:val="24"/>
          <w:szCs w:val="24"/>
          <w:lang w:val="sq-AL"/>
        </w:rPr>
      </w:pPr>
      <w:r w:rsidRPr="00641640">
        <w:rPr>
          <w:rFonts w:ascii="Times New Roman" w:eastAsia="Times New Roman" w:hAnsi="Times New Roman" w:cs="Times New Roman"/>
          <w:b/>
          <w:bCs/>
          <w:sz w:val="24"/>
          <w:szCs w:val="24"/>
          <w:lang w:val="sq-AL"/>
        </w:rPr>
        <w:t>Rezultatet e pritshme nga zbatimi i masave që lidhen me Objektivin Specifik</w:t>
      </w:r>
    </w:p>
    <w:p w14:paraId="5660A173" w14:textId="77777777" w:rsidR="00802A44" w:rsidRPr="00641640" w:rsidRDefault="00802A44" w:rsidP="00802A44">
      <w:pPr>
        <w:spacing w:line="276" w:lineRule="auto"/>
        <w:jc w:val="both"/>
        <w:rPr>
          <w:rFonts w:ascii="Times New Roman" w:eastAsia="Times New Roman" w:hAnsi="Times New Roman" w:cs="Times New Roman"/>
          <w:sz w:val="24"/>
          <w:szCs w:val="24"/>
          <w:lang w:val="sq-AL"/>
        </w:rPr>
      </w:pPr>
      <w:r w:rsidRPr="00641640">
        <w:rPr>
          <w:rFonts w:ascii="Times New Roman" w:eastAsia="Times New Roman" w:hAnsi="Times New Roman" w:cs="Times New Roman"/>
          <w:sz w:val="24"/>
          <w:szCs w:val="24"/>
          <w:lang w:val="sq-AL"/>
        </w:rPr>
        <w:t>Objektivi Specifik 5.2, duke patur si synim forcimin e partneritetit ndërsektorial për administratën e gjelbër, pritet të ketë këto rezultate:</w:t>
      </w:r>
    </w:p>
    <w:p w14:paraId="541E8B6C" w14:textId="77777777" w:rsidR="00802A44" w:rsidRPr="00641640" w:rsidRDefault="00802A44" w:rsidP="00802A44">
      <w:pPr>
        <w:spacing w:line="276" w:lineRule="auto"/>
        <w:jc w:val="both"/>
        <w:rPr>
          <w:rFonts w:ascii="Times New Roman" w:eastAsiaTheme="minorHAnsi" w:hAnsi="Times New Roman" w:cs="Times New Roman"/>
          <w:sz w:val="24"/>
          <w:szCs w:val="24"/>
          <w:lang w:val="it-IT"/>
        </w:rPr>
      </w:pPr>
      <w:r w:rsidRPr="00641640">
        <w:rPr>
          <w:rFonts w:ascii="Times New Roman" w:eastAsia="Times New Roman" w:hAnsi="Times New Roman" w:cs="Times New Roman"/>
          <w:b/>
          <w:bCs/>
          <w:sz w:val="24"/>
          <w:szCs w:val="24"/>
          <w:lang w:val="sq-AL"/>
        </w:rPr>
        <w:t>Rezultati 1:</w:t>
      </w:r>
      <w:r w:rsidRPr="00641640">
        <w:rPr>
          <w:rFonts w:ascii="Times New Roman" w:eastAsia="Times New Roman" w:hAnsi="Times New Roman" w:cs="Times New Roman"/>
          <w:sz w:val="24"/>
          <w:szCs w:val="24"/>
          <w:lang w:val="sq-AL"/>
        </w:rPr>
        <w:t xml:space="preserve"> </w:t>
      </w:r>
      <w:r w:rsidRPr="00641640">
        <w:rPr>
          <w:rFonts w:ascii="Times New Roman" w:hAnsi="Times New Roman" w:cs="Times New Roman"/>
          <w:bCs/>
          <w:sz w:val="24"/>
          <w:szCs w:val="24"/>
          <w:lang w:val="sq-AL"/>
        </w:rPr>
        <w:t>Rritja e angazhimit komunitar për zbatimin e politikave të gjelbra në administratën publike.</w:t>
      </w:r>
    </w:p>
    <w:p w14:paraId="32D7957D" w14:textId="77777777" w:rsidR="00802A44" w:rsidRPr="003F2FAB" w:rsidRDefault="00802A44" w:rsidP="00802A44">
      <w:pPr>
        <w:spacing w:line="276" w:lineRule="auto"/>
        <w:jc w:val="both"/>
        <w:rPr>
          <w:rStyle w:val="Strong"/>
          <w:rFonts w:ascii="Times New Roman" w:eastAsiaTheme="majorEastAsia" w:hAnsi="Times New Roman" w:cs="Times New Roman"/>
          <w:b w:val="0"/>
          <w:bCs w:val="0"/>
          <w:sz w:val="24"/>
          <w:szCs w:val="24"/>
        </w:rPr>
      </w:pPr>
      <w:r w:rsidRPr="00641640">
        <w:rPr>
          <w:rFonts w:ascii="Times New Roman" w:eastAsia="Times New Roman" w:hAnsi="Times New Roman" w:cs="Times New Roman"/>
          <w:b/>
          <w:bCs/>
          <w:sz w:val="24"/>
          <w:szCs w:val="24"/>
          <w:lang w:val="sq-AL"/>
        </w:rPr>
        <w:t>Rezultati 2:</w:t>
      </w:r>
      <w:r w:rsidRPr="00641640">
        <w:rPr>
          <w:rFonts w:ascii="Times New Roman" w:eastAsia="Times New Roman" w:hAnsi="Times New Roman" w:cs="Times New Roman"/>
          <w:sz w:val="24"/>
          <w:szCs w:val="24"/>
          <w:lang w:val="sq-AL"/>
        </w:rPr>
        <w:t xml:space="preserve"> </w:t>
      </w:r>
      <w:r w:rsidRPr="003F2FAB">
        <w:rPr>
          <w:rStyle w:val="Strong"/>
          <w:rFonts w:ascii="Times New Roman" w:eastAsiaTheme="majorEastAsia" w:hAnsi="Times New Roman" w:cs="Times New Roman"/>
          <w:b w:val="0"/>
          <w:bCs w:val="0"/>
          <w:sz w:val="24"/>
          <w:szCs w:val="24"/>
        </w:rPr>
        <w:t>Rritja e bashkëpunimit me administratat në rajon dhe Bashkimin Evropian për ndarjen e praktikave dhe përmirësimin e proceseve të gjelbra administrative.</w:t>
      </w:r>
    </w:p>
    <w:p w14:paraId="138E9B6E" w14:textId="2EB61C84" w:rsidR="00802A44" w:rsidRPr="00641640" w:rsidRDefault="00802A44" w:rsidP="00802A44">
      <w:pPr>
        <w:spacing w:line="276" w:lineRule="auto"/>
        <w:jc w:val="both"/>
        <w:rPr>
          <w:rFonts w:ascii="Times New Roman" w:eastAsia="Times New Roman" w:hAnsi="Times New Roman" w:cs="Times New Roman"/>
          <w:sz w:val="24"/>
          <w:szCs w:val="24"/>
          <w:lang w:val="sq-AL"/>
        </w:rPr>
      </w:pPr>
      <w:r w:rsidRPr="00641640">
        <w:rPr>
          <w:rFonts w:ascii="Times New Roman" w:eastAsia="Times New Roman" w:hAnsi="Times New Roman" w:cs="Times New Roman"/>
          <w:b/>
          <w:bCs/>
          <w:sz w:val="24"/>
          <w:szCs w:val="24"/>
          <w:lang w:val="sq-AL"/>
        </w:rPr>
        <w:t>Institucione kryesore:</w:t>
      </w:r>
      <w:r w:rsidRPr="00641640">
        <w:rPr>
          <w:rFonts w:ascii="Times New Roman" w:eastAsia="Times New Roman" w:hAnsi="Times New Roman" w:cs="Times New Roman"/>
          <w:sz w:val="24"/>
          <w:szCs w:val="24"/>
          <w:lang w:val="sq-AL"/>
        </w:rPr>
        <w:t xml:space="preserve"> MAPA,</w:t>
      </w:r>
      <w:r w:rsidR="00745F40">
        <w:rPr>
          <w:rFonts w:ascii="Times New Roman" w:eastAsia="Times New Roman" w:hAnsi="Times New Roman" w:cs="Times New Roman"/>
          <w:sz w:val="24"/>
          <w:szCs w:val="24"/>
          <w:lang w:val="sq-AL"/>
        </w:rPr>
        <w:t xml:space="preserve"> </w:t>
      </w:r>
      <w:r w:rsidRPr="00641640">
        <w:rPr>
          <w:rFonts w:ascii="Times New Roman" w:eastAsia="Times New Roman" w:hAnsi="Times New Roman" w:cs="Times New Roman"/>
          <w:sz w:val="24"/>
          <w:szCs w:val="24"/>
          <w:lang w:val="sq-AL"/>
        </w:rPr>
        <w:t>DAP</w:t>
      </w:r>
      <w:r w:rsidR="000C107E">
        <w:rPr>
          <w:rFonts w:ascii="Times New Roman" w:eastAsia="Times New Roman" w:hAnsi="Times New Roman" w:cs="Times New Roman"/>
          <w:sz w:val="24"/>
          <w:szCs w:val="24"/>
          <w:lang w:val="sq-AL"/>
        </w:rPr>
        <w:t>, ASPA</w:t>
      </w:r>
      <w:r w:rsidRPr="00641640">
        <w:rPr>
          <w:rFonts w:ascii="Times New Roman" w:eastAsia="Times New Roman" w:hAnsi="Times New Roman" w:cs="Times New Roman"/>
          <w:sz w:val="24"/>
          <w:szCs w:val="24"/>
          <w:lang w:val="sq-AL"/>
        </w:rPr>
        <w:t>.</w:t>
      </w:r>
    </w:p>
    <w:p w14:paraId="60ED7538" w14:textId="77777777" w:rsidR="00802A44" w:rsidRPr="00641640" w:rsidRDefault="00802A44" w:rsidP="00802A44">
      <w:pPr>
        <w:spacing w:line="276" w:lineRule="auto"/>
        <w:jc w:val="both"/>
        <w:rPr>
          <w:rFonts w:ascii="Times New Roman" w:eastAsia="Times New Roman" w:hAnsi="Times New Roman" w:cs="Times New Roman"/>
          <w:color w:val="FF0000"/>
          <w:sz w:val="24"/>
          <w:szCs w:val="24"/>
          <w:lang w:val="sq-AL"/>
        </w:rPr>
      </w:pPr>
      <w:r w:rsidRPr="00641640">
        <w:rPr>
          <w:rFonts w:ascii="Times New Roman" w:eastAsia="Times New Roman" w:hAnsi="Times New Roman" w:cs="Times New Roman"/>
          <w:b/>
          <w:bCs/>
          <w:sz w:val="24"/>
          <w:szCs w:val="24"/>
          <w:lang w:val="sq-AL"/>
        </w:rPr>
        <w:t>Institucione kontributore:</w:t>
      </w:r>
      <w:r w:rsidRPr="00641640">
        <w:rPr>
          <w:rFonts w:ascii="Times New Roman" w:eastAsia="Times New Roman" w:hAnsi="Times New Roman" w:cs="Times New Roman"/>
          <w:sz w:val="24"/>
          <w:szCs w:val="24"/>
          <w:lang w:val="sq-AL"/>
        </w:rPr>
        <w:t xml:space="preserve"> </w:t>
      </w:r>
      <w:r w:rsidRPr="00641640">
        <w:rPr>
          <w:rFonts w:ascii="Times New Roman" w:eastAsia="Arial" w:hAnsi="Times New Roman" w:cs="Times New Roman"/>
          <w:bCs/>
          <w:sz w:val="24"/>
          <w:szCs w:val="24"/>
          <w:lang w:val="it-IT"/>
        </w:rPr>
        <w:t>Të gjitha institucionet e administratës publike.</w:t>
      </w:r>
    </w:p>
    <w:p w14:paraId="10B6D045" w14:textId="77777777" w:rsidR="00802A44" w:rsidRPr="00641640" w:rsidRDefault="00802A44" w:rsidP="00802A44">
      <w:pPr>
        <w:spacing w:line="276" w:lineRule="auto"/>
        <w:jc w:val="both"/>
        <w:rPr>
          <w:rFonts w:ascii="Times New Roman" w:hAnsi="Times New Roman" w:cs="Times New Roman"/>
          <w:b/>
          <w:bCs/>
          <w:sz w:val="24"/>
          <w:szCs w:val="24"/>
          <w:lang w:val="sq-AL"/>
        </w:rPr>
      </w:pPr>
      <w:r w:rsidRPr="00641640">
        <w:rPr>
          <w:rFonts w:ascii="Times New Roman" w:hAnsi="Times New Roman" w:cs="Times New Roman"/>
          <w:b/>
          <w:bCs/>
          <w:sz w:val="24"/>
          <w:szCs w:val="24"/>
          <w:lang w:val="sq-AL"/>
        </w:rPr>
        <w:t>Masat dhe aktivitetet</w:t>
      </w:r>
    </w:p>
    <w:p w14:paraId="5060A242" w14:textId="77777777" w:rsidR="00802A44" w:rsidRPr="00641640" w:rsidRDefault="00802A44" w:rsidP="00802A44">
      <w:pPr>
        <w:spacing w:line="276" w:lineRule="auto"/>
        <w:jc w:val="both"/>
        <w:rPr>
          <w:rFonts w:ascii="Times New Roman" w:hAnsi="Times New Roman" w:cs="Times New Roman"/>
          <w:sz w:val="24"/>
          <w:szCs w:val="24"/>
          <w:lang w:val="sq-AL"/>
        </w:rPr>
      </w:pPr>
      <w:r w:rsidRPr="00641640">
        <w:rPr>
          <w:rFonts w:ascii="Times New Roman" w:hAnsi="Times New Roman" w:cs="Times New Roman"/>
          <w:bCs/>
          <w:sz w:val="24"/>
          <w:szCs w:val="24"/>
          <w:lang w:val="sq-AL"/>
        </w:rPr>
        <w:t>Ky objektiv specifik do të zbatohet përmes masave të mëposhtme, teksa aktivitetet konkrete për periudhën e parë të zbatimit të SNRAP 2025-2030 mund të gjenden në Planin e Veprimit 2025-2027 (Aneksi nr. 1).</w:t>
      </w:r>
    </w:p>
    <w:tbl>
      <w:tblPr>
        <w:tblStyle w:val="TableGrid"/>
        <w:tblW w:w="0" w:type="auto"/>
        <w:tblLook w:val="04A0" w:firstRow="1" w:lastRow="0" w:firstColumn="1" w:lastColumn="0" w:noHBand="0" w:noVBand="1"/>
      </w:tblPr>
      <w:tblGrid>
        <w:gridCol w:w="1163"/>
        <w:gridCol w:w="8187"/>
      </w:tblGrid>
      <w:tr w:rsidR="00802A44" w:rsidRPr="00641640" w14:paraId="19121D34" w14:textId="77777777" w:rsidTr="00D81897">
        <w:trPr>
          <w:trHeight w:val="878"/>
        </w:trPr>
        <w:tc>
          <w:tcPr>
            <w:tcW w:w="9350" w:type="dxa"/>
            <w:gridSpan w:val="2"/>
            <w:shd w:val="clear" w:color="auto" w:fill="C5E0B3" w:themeFill="accent6" w:themeFillTint="66"/>
          </w:tcPr>
          <w:p w14:paraId="263DAAD9" w14:textId="77777777" w:rsidR="00802A44" w:rsidRPr="00641640" w:rsidRDefault="00802A44" w:rsidP="00972BC3">
            <w:pPr>
              <w:spacing w:line="276" w:lineRule="auto"/>
              <w:jc w:val="center"/>
              <w:textAlignment w:val="baseline"/>
              <w:rPr>
                <w:rFonts w:ascii="Times New Roman" w:hAnsi="Times New Roman" w:cs="Times New Roman"/>
                <w:b/>
                <w:i/>
                <w:sz w:val="22"/>
                <w:szCs w:val="22"/>
                <w:lang w:val="sq-AL"/>
              </w:rPr>
            </w:pPr>
          </w:p>
          <w:p w14:paraId="5CAACAFD" w14:textId="312FD5FF" w:rsidR="00802A44" w:rsidRDefault="00802A44" w:rsidP="00972BC3">
            <w:pPr>
              <w:spacing w:line="276" w:lineRule="auto"/>
              <w:jc w:val="center"/>
              <w:textAlignment w:val="baseline"/>
              <w:rPr>
                <w:rFonts w:ascii="Times New Roman" w:hAnsi="Times New Roman" w:cs="Times New Roman"/>
                <w:b/>
                <w:i/>
                <w:sz w:val="22"/>
                <w:szCs w:val="22"/>
                <w:lang w:val="sq-AL"/>
              </w:rPr>
            </w:pPr>
            <w:r w:rsidRPr="00641640">
              <w:rPr>
                <w:rFonts w:ascii="Times New Roman" w:hAnsi="Times New Roman" w:cs="Times New Roman"/>
                <w:b/>
                <w:i/>
                <w:sz w:val="22"/>
                <w:szCs w:val="22"/>
                <w:lang w:val="sq-AL"/>
              </w:rPr>
              <w:t>Objektivi Specifik 5.2: Forcimi i partneritetit ndërsektorial për zbatimin e nismave të gjelbra në administratën publike</w:t>
            </w:r>
          </w:p>
          <w:p w14:paraId="26D01DC0" w14:textId="77777777" w:rsidR="00D3174C" w:rsidRPr="00641640" w:rsidRDefault="00D3174C" w:rsidP="00972BC3">
            <w:pPr>
              <w:spacing w:line="276" w:lineRule="auto"/>
              <w:jc w:val="center"/>
              <w:textAlignment w:val="baseline"/>
              <w:rPr>
                <w:rFonts w:ascii="Times New Roman" w:hAnsi="Times New Roman" w:cs="Times New Roman"/>
                <w:b/>
                <w:i/>
                <w:sz w:val="22"/>
                <w:szCs w:val="22"/>
                <w:lang w:val="sq-AL"/>
              </w:rPr>
            </w:pPr>
          </w:p>
        </w:tc>
      </w:tr>
      <w:tr w:rsidR="00802A44" w:rsidRPr="00641640" w14:paraId="16635FBB" w14:textId="77777777" w:rsidTr="00D81897">
        <w:tc>
          <w:tcPr>
            <w:tcW w:w="1163" w:type="dxa"/>
            <w:shd w:val="clear" w:color="auto" w:fill="C5E0B3" w:themeFill="accent6" w:themeFillTint="66"/>
          </w:tcPr>
          <w:p w14:paraId="66F70E2F" w14:textId="25BA85EF" w:rsidR="00802A44" w:rsidRPr="00641640" w:rsidRDefault="00802A44" w:rsidP="00972BC3">
            <w:pPr>
              <w:spacing w:beforeAutospacing="1" w:line="276" w:lineRule="auto"/>
              <w:jc w:val="center"/>
              <w:textAlignment w:val="baseline"/>
              <w:rPr>
                <w:rFonts w:ascii="Times New Roman" w:hAnsi="Times New Roman" w:cs="Times New Roman"/>
                <w:b/>
                <w:sz w:val="22"/>
                <w:szCs w:val="22"/>
                <w:lang w:val="sq-AL"/>
              </w:rPr>
            </w:pPr>
            <w:r w:rsidRPr="00641640">
              <w:rPr>
                <w:rFonts w:ascii="Times New Roman" w:hAnsi="Times New Roman" w:cs="Times New Roman"/>
                <w:b/>
                <w:sz w:val="22"/>
                <w:szCs w:val="22"/>
                <w:lang w:val="sq-AL"/>
              </w:rPr>
              <w:t xml:space="preserve">Masa  </w:t>
            </w:r>
            <w:r w:rsidR="00385FCC">
              <w:rPr>
                <w:rFonts w:ascii="Times New Roman" w:hAnsi="Times New Roman" w:cs="Times New Roman"/>
                <w:b/>
                <w:sz w:val="22"/>
                <w:szCs w:val="22"/>
                <w:lang w:val="sq-AL"/>
              </w:rPr>
              <w:t>5</w:t>
            </w:r>
            <w:r w:rsidRPr="00641640">
              <w:rPr>
                <w:rFonts w:ascii="Times New Roman" w:hAnsi="Times New Roman" w:cs="Times New Roman"/>
                <w:b/>
                <w:sz w:val="22"/>
                <w:szCs w:val="22"/>
                <w:lang w:val="sq-AL"/>
              </w:rPr>
              <w:t>.2.1</w:t>
            </w:r>
          </w:p>
        </w:tc>
        <w:tc>
          <w:tcPr>
            <w:tcW w:w="8187" w:type="dxa"/>
            <w:shd w:val="clear" w:color="auto" w:fill="auto"/>
          </w:tcPr>
          <w:p w14:paraId="2EE8070E" w14:textId="77777777" w:rsidR="00802A44" w:rsidRPr="00641640" w:rsidRDefault="00802A44" w:rsidP="00972BC3">
            <w:pPr>
              <w:spacing w:beforeAutospacing="1" w:line="276" w:lineRule="auto"/>
              <w:jc w:val="both"/>
              <w:textAlignment w:val="baseline"/>
              <w:rPr>
                <w:rFonts w:ascii="Times New Roman" w:hAnsi="Times New Roman" w:cs="Times New Roman"/>
                <w:sz w:val="22"/>
                <w:szCs w:val="22"/>
                <w:lang w:val="it-IT"/>
              </w:rPr>
            </w:pPr>
            <w:r w:rsidRPr="00641640">
              <w:rPr>
                <w:rFonts w:ascii="Times New Roman" w:hAnsi="Times New Roman" w:cs="Times New Roman"/>
                <w:sz w:val="22"/>
                <w:szCs w:val="22"/>
                <w:lang w:val="it-IT"/>
              </w:rPr>
              <w:t>Rritja e angazhimit komunitar për zbatimin e politikave të gjelbra në administratën publike.</w:t>
            </w:r>
          </w:p>
        </w:tc>
      </w:tr>
      <w:tr w:rsidR="00802A44" w:rsidRPr="00641640" w14:paraId="35B497AA" w14:textId="77777777" w:rsidTr="00D81897">
        <w:trPr>
          <w:trHeight w:val="665"/>
        </w:trPr>
        <w:tc>
          <w:tcPr>
            <w:tcW w:w="1163" w:type="dxa"/>
            <w:shd w:val="clear" w:color="auto" w:fill="C5E0B3" w:themeFill="accent6" w:themeFillTint="66"/>
          </w:tcPr>
          <w:p w14:paraId="7D5C52E2" w14:textId="3FCB276F" w:rsidR="00802A44" w:rsidRPr="00641640" w:rsidRDefault="00802A44" w:rsidP="00972BC3">
            <w:pPr>
              <w:spacing w:beforeAutospacing="1" w:line="276" w:lineRule="auto"/>
              <w:jc w:val="center"/>
              <w:textAlignment w:val="baseline"/>
              <w:rPr>
                <w:rFonts w:ascii="Times New Roman" w:hAnsi="Times New Roman" w:cs="Times New Roman"/>
                <w:b/>
                <w:sz w:val="22"/>
                <w:szCs w:val="22"/>
                <w:lang w:val="sq-AL"/>
              </w:rPr>
            </w:pPr>
            <w:r w:rsidRPr="00641640">
              <w:rPr>
                <w:rFonts w:ascii="Times New Roman" w:hAnsi="Times New Roman" w:cs="Times New Roman"/>
                <w:b/>
                <w:sz w:val="22"/>
                <w:szCs w:val="22"/>
                <w:lang w:val="sq-AL"/>
              </w:rPr>
              <w:t xml:space="preserve">Masa </w:t>
            </w:r>
            <w:r w:rsidR="00385FCC">
              <w:rPr>
                <w:rFonts w:ascii="Times New Roman" w:hAnsi="Times New Roman" w:cs="Times New Roman"/>
                <w:b/>
                <w:sz w:val="22"/>
                <w:szCs w:val="22"/>
                <w:lang w:val="sq-AL"/>
              </w:rPr>
              <w:t>5</w:t>
            </w:r>
            <w:r w:rsidRPr="00641640">
              <w:rPr>
                <w:rFonts w:ascii="Times New Roman" w:hAnsi="Times New Roman" w:cs="Times New Roman"/>
                <w:b/>
                <w:sz w:val="22"/>
                <w:szCs w:val="22"/>
                <w:lang w:val="sq-AL"/>
              </w:rPr>
              <w:t>.2.2</w:t>
            </w:r>
          </w:p>
        </w:tc>
        <w:tc>
          <w:tcPr>
            <w:tcW w:w="8187" w:type="dxa"/>
            <w:shd w:val="clear" w:color="auto" w:fill="auto"/>
          </w:tcPr>
          <w:p w14:paraId="59E4B304" w14:textId="42889C35" w:rsidR="00802A44" w:rsidRPr="00641640" w:rsidRDefault="00936253" w:rsidP="00972BC3">
            <w:pPr>
              <w:spacing w:beforeAutospacing="1" w:line="276" w:lineRule="auto"/>
              <w:jc w:val="both"/>
              <w:textAlignment w:val="baseline"/>
              <w:rPr>
                <w:rFonts w:ascii="Times New Roman" w:hAnsi="Times New Roman" w:cs="Times New Roman"/>
                <w:sz w:val="22"/>
                <w:szCs w:val="22"/>
                <w:lang w:val="sq-AL"/>
              </w:rPr>
            </w:pPr>
            <w:r w:rsidRPr="00936253">
              <w:rPr>
                <w:rFonts w:ascii="Times New Roman" w:hAnsi="Times New Roman" w:cs="Times New Roman"/>
                <w:sz w:val="22"/>
                <w:szCs w:val="22"/>
                <w:lang w:val="sq-AL"/>
              </w:rPr>
              <w:t>Rritja e bashkëpunimit me administratat në rajon dhe Bashkimin Evropian për ndarjen e praktikave dhe përmirësimin e proceseve të gjelbra administrative</w:t>
            </w:r>
            <w:r w:rsidR="00802A44" w:rsidRPr="00641640">
              <w:rPr>
                <w:rFonts w:ascii="Times New Roman" w:hAnsi="Times New Roman" w:cs="Times New Roman"/>
                <w:sz w:val="22"/>
                <w:szCs w:val="22"/>
                <w:lang w:val="sq-AL"/>
              </w:rPr>
              <w:t>.</w:t>
            </w:r>
          </w:p>
        </w:tc>
      </w:tr>
    </w:tbl>
    <w:p w14:paraId="6C2B2E38" w14:textId="77777777" w:rsidR="00802A44" w:rsidRPr="00641640" w:rsidRDefault="00802A44" w:rsidP="00802A44">
      <w:pPr>
        <w:spacing w:line="276" w:lineRule="auto"/>
        <w:jc w:val="both"/>
        <w:rPr>
          <w:rFonts w:ascii="Times New Roman" w:hAnsi="Times New Roman" w:cs="Times New Roman"/>
          <w:b/>
          <w:bCs/>
          <w:color w:val="FF0000"/>
          <w:sz w:val="24"/>
          <w:szCs w:val="24"/>
          <w:lang w:val="sq-AL"/>
        </w:rPr>
      </w:pPr>
    </w:p>
    <w:p w14:paraId="4F9915E6" w14:textId="77777777" w:rsidR="00802A44" w:rsidRPr="00641640" w:rsidRDefault="00802A44" w:rsidP="00802A44">
      <w:pPr>
        <w:spacing w:line="276" w:lineRule="auto"/>
        <w:jc w:val="both"/>
        <w:rPr>
          <w:rFonts w:ascii="Times New Roman" w:hAnsi="Times New Roman" w:cs="Times New Roman"/>
          <w:b/>
          <w:bCs/>
          <w:sz w:val="24"/>
          <w:szCs w:val="24"/>
          <w:lang w:val="sq-AL"/>
        </w:rPr>
      </w:pPr>
      <w:r w:rsidRPr="00641640">
        <w:rPr>
          <w:rFonts w:ascii="Times New Roman" w:hAnsi="Times New Roman" w:cs="Times New Roman"/>
          <w:b/>
          <w:bCs/>
          <w:sz w:val="24"/>
          <w:szCs w:val="24"/>
          <w:lang w:val="sq-AL"/>
        </w:rPr>
        <w:lastRenderedPageBreak/>
        <w:t>Lidhja e treguesve kryesorë të performancës më Qëllimin e Politikës V, Objektivin Specifik 5.2 dhe institucionet përgjegjëse.</w:t>
      </w:r>
    </w:p>
    <w:tbl>
      <w:tblPr>
        <w:tblStyle w:val="TableGrid"/>
        <w:tblW w:w="93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2"/>
        <w:gridCol w:w="1980"/>
        <w:gridCol w:w="2160"/>
        <w:gridCol w:w="2340"/>
        <w:gridCol w:w="1890"/>
      </w:tblGrid>
      <w:tr w:rsidR="00802A44" w:rsidRPr="00641640" w14:paraId="0F0B4E9D" w14:textId="77777777" w:rsidTr="00D81897">
        <w:trPr>
          <w:trHeight w:val="15"/>
        </w:trPr>
        <w:tc>
          <w:tcPr>
            <w:tcW w:w="982" w:type="dxa"/>
            <w:shd w:val="clear" w:color="auto" w:fill="C5E0B3" w:themeFill="accent6" w:themeFillTint="66"/>
            <w:tcMar>
              <w:top w:w="15" w:type="dxa"/>
              <w:left w:w="75" w:type="dxa"/>
              <w:bottom w:w="15" w:type="dxa"/>
              <w:right w:w="75" w:type="dxa"/>
            </w:tcMar>
          </w:tcPr>
          <w:p w14:paraId="3EEA06A0" w14:textId="77777777" w:rsidR="00802A44" w:rsidRPr="00641640" w:rsidRDefault="00802A44" w:rsidP="00972BC3">
            <w:pPr>
              <w:spacing w:line="276" w:lineRule="auto"/>
              <w:jc w:val="center"/>
              <w:rPr>
                <w:rFonts w:ascii="Times New Roman" w:eastAsia="Arial" w:hAnsi="Times New Roman" w:cs="Times New Roman"/>
                <w:b/>
                <w:bCs/>
                <w:sz w:val="22"/>
                <w:szCs w:val="22"/>
                <w:lang w:val="it-IT"/>
              </w:rPr>
            </w:pPr>
          </w:p>
          <w:p w14:paraId="330CFB72" w14:textId="77777777" w:rsidR="00802A44" w:rsidRPr="00641640" w:rsidRDefault="00802A44" w:rsidP="00972BC3">
            <w:pPr>
              <w:spacing w:line="276" w:lineRule="auto"/>
              <w:jc w:val="center"/>
              <w:rPr>
                <w:rFonts w:ascii="Times New Roman" w:eastAsia="Arial" w:hAnsi="Times New Roman" w:cs="Times New Roman"/>
                <w:b/>
                <w:bCs/>
                <w:sz w:val="22"/>
                <w:szCs w:val="22"/>
              </w:rPr>
            </w:pPr>
            <w:r w:rsidRPr="00641640">
              <w:rPr>
                <w:rFonts w:ascii="Times New Roman" w:eastAsia="Arial" w:hAnsi="Times New Roman" w:cs="Times New Roman"/>
                <w:b/>
                <w:bCs/>
                <w:sz w:val="22"/>
                <w:szCs w:val="22"/>
              </w:rPr>
              <w:t>Lloji i treguesit</w:t>
            </w:r>
          </w:p>
        </w:tc>
        <w:tc>
          <w:tcPr>
            <w:tcW w:w="1980" w:type="dxa"/>
            <w:shd w:val="clear" w:color="auto" w:fill="C5E0B3" w:themeFill="accent6" w:themeFillTint="66"/>
            <w:tcMar>
              <w:top w:w="15" w:type="dxa"/>
              <w:left w:w="75" w:type="dxa"/>
              <w:bottom w:w="15" w:type="dxa"/>
              <w:right w:w="75" w:type="dxa"/>
            </w:tcMar>
          </w:tcPr>
          <w:p w14:paraId="14171DA8" w14:textId="77777777" w:rsidR="00802A44" w:rsidRPr="00641640" w:rsidRDefault="00802A44" w:rsidP="00972BC3">
            <w:pPr>
              <w:spacing w:line="276" w:lineRule="auto"/>
              <w:jc w:val="center"/>
              <w:rPr>
                <w:rFonts w:ascii="Times New Roman" w:eastAsia="Arial" w:hAnsi="Times New Roman" w:cs="Times New Roman"/>
                <w:b/>
                <w:bCs/>
                <w:sz w:val="22"/>
                <w:szCs w:val="22"/>
              </w:rPr>
            </w:pPr>
          </w:p>
          <w:p w14:paraId="55D97652" w14:textId="77777777" w:rsidR="00802A44" w:rsidRPr="00641640" w:rsidRDefault="00802A44" w:rsidP="00972BC3">
            <w:pPr>
              <w:spacing w:line="276" w:lineRule="auto"/>
              <w:jc w:val="center"/>
              <w:rPr>
                <w:rFonts w:ascii="Times New Roman" w:eastAsia="Arial" w:hAnsi="Times New Roman" w:cs="Times New Roman"/>
                <w:b/>
                <w:bCs/>
                <w:sz w:val="22"/>
                <w:szCs w:val="22"/>
              </w:rPr>
            </w:pPr>
            <w:r w:rsidRPr="00641640">
              <w:rPr>
                <w:rFonts w:ascii="Times New Roman" w:eastAsia="Arial" w:hAnsi="Times New Roman" w:cs="Times New Roman"/>
                <w:b/>
                <w:bCs/>
                <w:sz w:val="22"/>
                <w:szCs w:val="22"/>
              </w:rPr>
              <w:t>Emërtimi i treguesit të performancës</w:t>
            </w:r>
          </w:p>
          <w:p w14:paraId="129CFBC9" w14:textId="77777777" w:rsidR="00802A44" w:rsidRPr="00641640" w:rsidRDefault="00802A44" w:rsidP="00972BC3">
            <w:pPr>
              <w:spacing w:line="276" w:lineRule="auto"/>
              <w:jc w:val="center"/>
              <w:rPr>
                <w:rFonts w:ascii="Times New Roman" w:eastAsia="Arial" w:hAnsi="Times New Roman" w:cs="Times New Roman"/>
                <w:sz w:val="22"/>
                <w:szCs w:val="22"/>
              </w:rPr>
            </w:pPr>
          </w:p>
        </w:tc>
        <w:tc>
          <w:tcPr>
            <w:tcW w:w="2160" w:type="dxa"/>
            <w:shd w:val="clear" w:color="auto" w:fill="C5E0B3" w:themeFill="accent6" w:themeFillTint="66"/>
          </w:tcPr>
          <w:p w14:paraId="2B741940" w14:textId="77777777" w:rsidR="00802A44" w:rsidRPr="00641640" w:rsidRDefault="00802A44" w:rsidP="00972BC3">
            <w:pPr>
              <w:spacing w:line="276" w:lineRule="auto"/>
              <w:jc w:val="center"/>
              <w:rPr>
                <w:rFonts w:ascii="Times New Roman" w:eastAsia="Arial" w:hAnsi="Times New Roman" w:cs="Times New Roman"/>
                <w:b/>
                <w:bCs/>
                <w:sz w:val="22"/>
                <w:szCs w:val="22"/>
              </w:rPr>
            </w:pPr>
          </w:p>
          <w:p w14:paraId="1FF96DD1" w14:textId="77777777" w:rsidR="00802A44" w:rsidRPr="00641640" w:rsidRDefault="00802A44" w:rsidP="00972BC3">
            <w:pPr>
              <w:spacing w:line="276" w:lineRule="auto"/>
              <w:jc w:val="center"/>
              <w:rPr>
                <w:rFonts w:ascii="Times New Roman" w:eastAsia="Arial" w:hAnsi="Times New Roman" w:cs="Times New Roman"/>
                <w:b/>
                <w:bCs/>
                <w:sz w:val="22"/>
                <w:szCs w:val="22"/>
              </w:rPr>
            </w:pPr>
            <w:r w:rsidRPr="00641640">
              <w:rPr>
                <w:rFonts w:ascii="Times New Roman" w:eastAsia="Arial" w:hAnsi="Times New Roman" w:cs="Times New Roman"/>
                <w:b/>
                <w:bCs/>
                <w:sz w:val="22"/>
                <w:szCs w:val="22"/>
              </w:rPr>
              <w:t>Lidhja me Qëllimin e Politikës</w:t>
            </w:r>
          </w:p>
        </w:tc>
        <w:tc>
          <w:tcPr>
            <w:tcW w:w="2340" w:type="dxa"/>
            <w:shd w:val="clear" w:color="auto" w:fill="C5E0B3" w:themeFill="accent6" w:themeFillTint="66"/>
          </w:tcPr>
          <w:p w14:paraId="3EF69BEE" w14:textId="77777777" w:rsidR="00802A44" w:rsidRPr="00641640" w:rsidRDefault="00802A44" w:rsidP="00972BC3">
            <w:pPr>
              <w:spacing w:line="276" w:lineRule="auto"/>
              <w:jc w:val="center"/>
              <w:rPr>
                <w:rFonts w:ascii="Times New Roman" w:eastAsia="Arial" w:hAnsi="Times New Roman" w:cs="Times New Roman"/>
                <w:b/>
                <w:bCs/>
                <w:sz w:val="22"/>
                <w:szCs w:val="22"/>
              </w:rPr>
            </w:pPr>
          </w:p>
          <w:p w14:paraId="15C8CB5C" w14:textId="77777777" w:rsidR="00802A44" w:rsidRPr="00641640" w:rsidRDefault="00802A44" w:rsidP="00972BC3">
            <w:pPr>
              <w:spacing w:line="276" w:lineRule="auto"/>
              <w:jc w:val="center"/>
              <w:rPr>
                <w:rFonts w:ascii="Times New Roman" w:eastAsia="Arial" w:hAnsi="Times New Roman" w:cs="Times New Roman"/>
                <w:b/>
                <w:bCs/>
                <w:sz w:val="22"/>
                <w:szCs w:val="22"/>
              </w:rPr>
            </w:pPr>
            <w:r w:rsidRPr="00641640">
              <w:rPr>
                <w:rFonts w:ascii="Times New Roman" w:eastAsia="Arial" w:hAnsi="Times New Roman" w:cs="Times New Roman"/>
                <w:b/>
                <w:bCs/>
                <w:sz w:val="22"/>
                <w:szCs w:val="22"/>
              </w:rPr>
              <w:t>Lidhja me Objektivin Specifik</w:t>
            </w:r>
          </w:p>
        </w:tc>
        <w:tc>
          <w:tcPr>
            <w:tcW w:w="1890" w:type="dxa"/>
            <w:shd w:val="clear" w:color="auto" w:fill="C5E0B3" w:themeFill="accent6" w:themeFillTint="66"/>
            <w:tcMar>
              <w:top w:w="15" w:type="dxa"/>
              <w:left w:w="75" w:type="dxa"/>
              <w:bottom w:w="15" w:type="dxa"/>
              <w:right w:w="75" w:type="dxa"/>
            </w:tcMar>
          </w:tcPr>
          <w:p w14:paraId="532E505A" w14:textId="77777777" w:rsidR="00802A44" w:rsidRPr="00641640" w:rsidRDefault="00802A44" w:rsidP="00972BC3">
            <w:pPr>
              <w:spacing w:line="276" w:lineRule="auto"/>
              <w:jc w:val="center"/>
              <w:rPr>
                <w:rFonts w:ascii="Times New Roman" w:eastAsia="Arial" w:hAnsi="Times New Roman" w:cs="Times New Roman"/>
                <w:sz w:val="22"/>
                <w:szCs w:val="22"/>
              </w:rPr>
            </w:pPr>
          </w:p>
          <w:p w14:paraId="32CD74EC" w14:textId="77777777" w:rsidR="00802A44" w:rsidRPr="00641640" w:rsidRDefault="00802A44" w:rsidP="00972BC3">
            <w:pPr>
              <w:spacing w:line="276" w:lineRule="auto"/>
              <w:jc w:val="center"/>
              <w:rPr>
                <w:rFonts w:ascii="Times New Roman" w:eastAsia="Arial" w:hAnsi="Times New Roman" w:cs="Times New Roman"/>
                <w:b/>
                <w:bCs/>
                <w:sz w:val="22"/>
                <w:szCs w:val="22"/>
              </w:rPr>
            </w:pPr>
            <w:r w:rsidRPr="00641640">
              <w:rPr>
                <w:rFonts w:ascii="Times New Roman" w:eastAsia="Arial" w:hAnsi="Times New Roman" w:cs="Times New Roman"/>
                <w:b/>
                <w:bCs/>
                <w:sz w:val="22"/>
                <w:szCs w:val="22"/>
              </w:rPr>
              <w:t>Institucioni përgjegjës</w:t>
            </w:r>
          </w:p>
        </w:tc>
      </w:tr>
      <w:tr w:rsidR="00802A44" w:rsidRPr="00641640" w14:paraId="68AF8EE1" w14:textId="77777777" w:rsidTr="00972BC3">
        <w:trPr>
          <w:trHeight w:val="965"/>
        </w:trPr>
        <w:tc>
          <w:tcPr>
            <w:tcW w:w="982" w:type="dxa"/>
            <w:shd w:val="clear" w:color="auto" w:fill="auto"/>
            <w:tcMar>
              <w:top w:w="15" w:type="dxa"/>
              <w:left w:w="75" w:type="dxa"/>
              <w:bottom w:w="15" w:type="dxa"/>
              <w:right w:w="75" w:type="dxa"/>
            </w:tcMar>
          </w:tcPr>
          <w:p w14:paraId="3FD39E73" w14:textId="1445875D" w:rsidR="00802A44" w:rsidRPr="00641640" w:rsidRDefault="00023385" w:rsidP="00972BC3">
            <w:pPr>
              <w:spacing w:line="276" w:lineRule="auto"/>
              <w:rPr>
                <w:rFonts w:ascii="Times New Roman" w:hAnsi="Times New Roman" w:cs="Times New Roman"/>
                <w:sz w:val="22"/>
                <w:szCs w:val="22"/>
                <w:lang w:val="sq-AL"/>
              </w:rPr>
            </w:pPr>
            <w:r w:rsidRPr="00641640">
              <w:rPr>
                <w:rFonts w:ascii="Times New Roman" w:hAnsi="Times New Roman" w:cs="Times New Roman"/>
                <w:sz w:val="22"/>
                <w:szCs w:val="22"/>
                <w:lang w:val="sq-AL"/>
              </w:rPr>
              <w:t>Rezultati</w:t>
            </w:r>
          </w:p>
        </w:tc>
        <w:tc>
          <w:tcPr>
            <w:tcW w:w="1980" w:type="dxa"/>
            <w:shd w:val="clear" w:color="auto" w:fill="auto"/>
            <w:tcMar>
              <w:top w:w="15" w:type="dxa"/>
              <w:left w:w="75" w:type="dxa"/>
              <w:bottom w:w="15" w:type="dxa"/>
              <w:right w:w="75" w:type="dxa"/>
            </w:tcMar>
          </w:tcPr>
          <w:p w14:paraId="34726B35" w14:textId="0FB77DB2" w:rsidR="00802A44" w:rsidRPr="00641640" w:rsidRDefault="006E0138" w:rsidP="00972BC3">
            <w:pPr>
              <w:spacing w:line="276" w:lineRule="auto"/>
              <w:rPr>
                <w:rFonts w:ascii="Times New Roman" w:hAnsi="Times New Roman" w:cs="Times New Roman"/>
                <w:sz w:val="22"/>
                <w:szCs w:val="22"/>
                <w:lang w:val="it-IT"/>
              </w:rPr>
            </w:pPr>
            <w:r w:rsidRPr="006E0138">
              <w:rPr>
                <w:rFonts w:ascii="Times New Roman" w:hAnsi="Times New Roman" w:cs="Times New Roman"/>
                <w:sz w:val="22"/>
                <w:szCs w:val="22"/>
                <w:lang w:val="it-IT"/>
              </w:rPr>
              <w:t>5.2.1 Rritja e kapaciteteve institucionale mbi zbatimin e nismave të gjelbra</w:t>
            </w:r>
            <w:r w:rsidR="00023385" w:rsidRPr="00641640">
              <w:rPr>
                <w:rFonts w:ascii="Times New Roman" w:hAnsi="Times New Roman" w:cs="Times New Roman"/>
                <w:sz w:val="22"/>
                <w:szCs w:val="22"/>
                <w:lang w:val="it-IT"/>
              </w:rPr>
              <w:t>.</w:t>
            </w:r>
          </w:p>
        </w:tc>
        <w:tc>
          <w:tcPr>
            <w:tcW w:w="2160" w:type="dxa"/>
            <w:shd w:val="clear" w:color="auto" w:fill="auto"/>
          </w:tcPr>
          <w:p w14:paraId="2487AA65" w14:textId="14FA7B62" w:rsidR="00802A44" w:rsidRPr="00641640" w:rsidRDefault="00972BC3" w:rsidP="00972BC3">
            <w:pPr>
              <w:spacing w:line="276" w:lineRule="auto"/>
              <w:rPr>
                <w:rFonts w:ascii="Times New Roman" w:eastAsia="Arial" w:hAnsi="Times New Roman" w:cs="Times New Roman"/>
                <w:sz w:val="22"/>
                <w:szCs w:val="22"/>
                <w:lang w:val="it-IT"/>
              </w:rPr>
            </w:pPr>
            <w:r w:rsidRPr="00641640">
              <w:rPr>
                <w:rFonts w:ascii="Times New Roman" w:eastAsia="Arial" w:hAnsi="Times New Roman" w:cs="Times New Roman"/>
                <w:sz w:val="22"/>
                <w:szCs w:val="22"/>
                <w:lang w:val="it-IT"/>
              </w:rPr>
              <w:t>Administrata e Gjelb</w:t>
            </w:r>
            <w:r w:rsidR="00641640" w:rsidRPr="00641640">
              <w:rPr>
                <w:rFonts w:ascii="Times New Roman" w:eastAsia="Arial" w:hAnsi="Times New Roman" w:cs="Times New Roman"/>
                <w:sz w:val="22"/>
                <w:szCs w:val="22"/>
                <w:lang w:val="it-IT"/>
              </w:rPr>
              <w:t>ë</w:t>
            </w:r>
            <w:r w:rsidRPr="00641640">
              <w:rPr>
                <w:rFonts w:ascii="Times New Roman" w:eastAsia="Arial" w:hAnsi="Times New Roman" w:cs="Times New Roman"/>
                <w:sz w:val="22"/>
                <w:szCs w:val="22"/>
                <w:lang w:val="it-IT"/>
              </w:rPr>
              <w:t>r</w:t>
            </w:r>
          </w:p>
        </w:tc>
        <w:tc>
          <w:tcPr>
            <w:tcW w:w="2340" w:type="dxa"/>
            <w:shd w:val="clear" w:color="auto" w:fill="auto"/>
          </w:tcPr>
          <w:p w14:paraId="03A0ABE1" w14:textId="055BC58A" w:rsidR="00802A44" w:rsidRPr="003437DF" w:rsidRDefault="003437DF" w:rsidP="00972BC3">
            <w:pPr>
              <w:spacing w:line="276" w:lineRule="auto"/>
              <w:rPr>
                <w:rFonts w:ascii="Times New Roman" w:eastAsia="Arial" w:hAnsi="Times New Roman" w:cs="Times New Roman"/>
                <w:bCs/>
                <w:iCs/>
                <w:sz w:val="22"/>
                <w:szCs w:val="22"/>
                <w:lang w:val="it-IT"/>
              </w:rPr>
            </w:pPr>
            <w:r w:rsidRPr="003437DF">
              <w:rPr>
                <w:rFonts w:ascii="Times New Roman" w:hAnsi="Times New Roman" w:cs="Times New Roman"/>
                <w:bCs/>
                <w:iCs/>
                <w:sz w:val="22"/>
                <w:szCs w:val="22"/>
                <w:lang w:val="sq-AL"/>
              </w:rPr>
              <w:t xml:space="preserve">5.2 </w:t>
            </w:r>
            <w:r w:rsidR="00972BC3" w:rsidRPr="003437DF">
              <w:rPr>
                <w:rFonts w:ascii="Times New Roman" w:hAnsi="Times New Roman" w:cs="Times New Roman"/>
                <w:bCs/>
                <w:iCs/>
                <w:sz w:val="22"/>
                <w:szCs w:val="22"/>
                <w:lang w:val="sq-AL"/>
              </w:rPr>
              <w:t>Forcimi i partneritetit ndërsektorial për zbatimin e nismave të gjelbra në administratën publike.</w:t>
            </w:r>
          </w:p>
        </w:tc>
        <w:tc>
          <w:tcPr>
            <w:tcW w:w="1890" w:type="dxa"/>
            <w:shd w:val="clear" w:color="auto" w:fill="auto"/>
            <w:tcMar>
              <w:top w:w="15" w:type="dxa"/>
              <w:left w:w="75" w:type="dxa"/>
              <w:bottom w:w="15" w:type="dxa"/>
              <w:right w:w="75" w:type="dxa"/>
            </w:tcMar>
          </w:tcPr>
          <w:p w14:paraId="45EE7948" w14:textId="5886EBF6" w:rsidR="00802A44" w:rsidRPr="00641640" w:rsidRDefault="003437DF" w:rsidP="00972BC3">
            <w:pPr>
              <w:spacing w:line="276" w:lineRule="auto"/>
              <w:jc w:val="center"/>
              <w:rPr>
                <w:rFonts w:ascii="Times New Roman" w:eastAsia="Arial" w:hAnsi="Times New Roman" w:cs="Times New Roman"/>
                <w:sz w:val="22"/>
                <w:szCs w:val="22"/>
                <w:lang w:val="it-IT"/>
              </w:rPr>
            </w:pPr>
            <w:r>
              <w:rPr>
                <w:rFonts w:ascii="Times New Roman" w:eastAsia="Arial" w:hAnsi="Times New Roman" w:cs="Times New Roman"/>
                <w:sz w:val="22"/>
                <w:szCs w:val="22"/>
                <w:lang w:val="it-IT"/>
              </w:rPr>
              <w:t>ASPA</w:t>
            </w:r>
          </w:p>
        </w:tc>
      </w:tr>
    </w:tbl>
    <w:p w14:paraId="6D372E71" w14:textId="77777777" w:rsidR="00802A44" w:rsidRDefault="00802A44" w:rsidP="00802A44">
      <w:pPr>
        <w:spacing w:after="0" w:line="240" w:lineRule="auto"/>
        <w:jc w:val="both"/>
        <w:rPr>
          <w:rFonts w:ascii="Times New Roman" w:eastAsia="Times New Roman" w:hAnsi="Times New Roman" w:cs="Times New Roman"/>
          <w:sz w:val="24"/>
          <w:szCs w:val="24"/>
        </w:rPr>
      </w:pPr>
    </w:p>
    <w:p w14:paraId="6700C08A" w14:textId="77777777" w:rsidR="008D7CA1" w:rsidRPr="00E04668" w:rsidRDefault="008D7CA1" w:rsidP="008D7CA1">
      <w:pPr>
        <w:pStyle w:val="T-normal"/>
        <w:spacing w:after="240" w:line="276" w:lineRule="auto"/>
        <w:jc w:val="both"/>
        <w:rPr>
          <w:rFonts w:ascii="Times New Roman" w:hAnsi="Times New Roman" w:cs="Times New Roman"/>
          <w:b/>
          <w:iCs/>
          <w:color w:val="C45911" w:themeColor="accent2" w:themeShade="BF"/>
          <w:sz w:val="6"/>
          <w:szCs w:val="6"/>
          <w:lang w:val="en-GB"/>
        </w:rPr>
      </w:pPr>
    </w:p>
    <w:p w14:paraId="03B3462C" w14:textId="27DFBE7C" w:rsidR="008D7CA1" w:rsidRDefault="008D7CA1" w:rsidP="008D7CA1">
      <w:pPr>
        <w:pStyle w:val="T-normal"/>
        <w:spacing w:after="240" w:line="276" w:lineRule="auto"/>
        <w:jc w:val="both"/>
        <w:rPr>
          <w:rFonts w:ascii="Times New Roman" w:hAnsi="Times New Roman" w:cs="Times New Roman"/>
          <w:b/>
          <w:i/>
          <w:sz w:val="24"/>
          <w:szCs w:val="24"/>
          <w:lang w:val="en-GB"/>
        </w:rPr>
      </w:pPr>
      <w:r w:rsidRPr="00641640">
        <w:rPr>
          <w:rFonts w:ascii="Times New Roman" w:hAnsi="Times New Roman" w:cs="Times New Roman"/>
          <w:b/>
          <w:bCs/>
          <w:i/>
          <w:iCs/>
          <w:sz w:val="24"/>
          <w:szCs w:val="24"/>
          <w:lang w:val="sq-AL"/>
        </w:rPr>
        <w:t>Komponenti 5.</w:t>
      </w:r>
      <w:r w:rsidR="00A73BCF">
        <w:rPr>
          <w:rFonts w:ascii="Times New Roman" w:hAnsi="Times New Roman" w:cs="Times New Roman"/>
          <w:b/>
          <w:bCs/>
          <w:i/>
          <w:iCs/>
          <w:sz w:val="24"/>
          <w:szCs w:val="24"/>
          <w:lang w:val="sq-AL"/>
        </w:rPr>
        <w:t>3</w:t>
      </w:r>
      <w:r w:rsidRPr="008D7CA1">
        <w:rPr>
          <w:rFonts w:ascii="Times New Roman" w:hAnsi="Times New Roman" w:cs="Times New Roman"/>
          <w:b/>
          <w:bCs/>
          <w:i/>
          <w:iCs/>
          <w:sz w:val="24"/>
          <w:szCs w:val="24"/>
          <w:lang w:val="sq-AL"/>
        </w:rPr>
        <w:t xml:space="preserve">: </w:t>
      </w:r>
      <w:r w:rsidRPr="008D7CA1">
        <w:rPr>
          <w:rFonts w:ascii="Times New Roman" w:hAnsi="Times New Roman" w:cs="Times New Roman"/>
          <w:b/>
          <w:i/>
          <w:sz w:val="24"/>
          <w:szCs w:val="24"/>
          <w:lang w:val="en-GB"/>
        </w:rPr>
        <w:t>Gjelbërimi i kapitalit njerëzor në administratën publike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E4"/>
        <w:tblLook w:val="04A0" w:firstRow="1" w:lastRow="0" w:firstColumn="1" w:lastColumn="0" w:noHBand="0" w:noVBand="1"/>
      </w:tblPr>
      <w:tblGrid>
        <w:gridCol w:w="535"/>
        <w:gridCol w:w="8815"/>
      </w:tblGrid>
      <w:tr w:rsidR="00C673BE" w:rsidRPr="00641640" w14:paraId="1FAAC1ED" w14:textId="77777777" w:rsidTr="00EF7B8D">
        <w:tc>
          <w:tcPr>
            <w:tcW w:w="535" w:type="dxa"/>
            <w:shd w:val="clear" w:color="auto" w:fill="EAF4E4"/>
          </w:tcPr>
          <w:p w14:paraId="7DEC9A51" w14:textId="1333BC7D" w:rsidR="00C673BE" w:rsidRPr="00CA378E" w:rsidRDefault="00C673BE" w:rsidP="00EF7B8D">
            <w:pPr>
              <w:spacing w:line="276" w:lineRule="auto"/>
              <w:jc w:val="both"/>
              <w:rPr>
                <w:rFonts w:ascii="Times New Roman" w:hAnsi="Times New Roman" w:cs="Times New Roman"/>
                <w:b/>
                <w:bCs/>
                <w:color w:val="003300"/>
                <w:sz w:val="24"/>
                <w:szCs w:val="24"/>
                <w:lang w:val="sq-AL"/>
              </w:rPr>
            </w:pPr>
            <w:r w:rsidRPr="00CA378E">
              <w:rPr>
                <w:rFonts w:ascii="Times New Roman" w:hAnsi="Times New Roman" w:cs="Times New Roman"/>
                <w:b/>
                <w:bCs/>
                <w:color w:val="003300"/>
                <w:sz w:val="24"/>
                <w:szCs w:val="24"/>
                <w:lang w:val="sq-AL"/>
              </w:rPr>
              <w:t>5.3</w:t>
            </w:r>
          </w:p>
        </w:tc>
        <w:tc>
          <w:tcPr>
            <w:tcW w:w="8815" w:type="dxa"/>
            <w:shd w:val="clear" w:color="auto" w:fill="EAF4E4"/>
          </w:tcPr>
          <w:p w14:paraId="78E90D28" w14:textId="2FBF1AAE" w:rsidR="00C673BE" w:rsidRPr="00CA378E" w:rsidRDefault="00C673BE" w:rsidP="00EF7B8D">
            <w:pPr>
              <w:spacing w:line="276" w:lineRule="auto"/>
              <w:jc w:val="both"/>
              <w:rPr>
                <w:rFonts w:ascii="Times New Roman" w:hAnsi="Times New Roman" w:cs="Times New Roman"/>
                <w:b/>
                <w:bCs/>
                <w:color w:val="003300"/>
                <w:sz w:val="24"/>
                <w:szCs w:val="24"/>
                <w:lang w:val="sq-AL"/>
              </w:rPr>
            </w:pPr>
            <w:r w:rsidRPr="00CA378E">
              <w:rPr>
                <w:rFonts w:ascii="Times New Roman" w:hAnsi="Times New Roman" w:cs="Times New Roman"/>
                <w:b/>
                <w:bCs/>
                <w:color w:val="003300"/>
                <w:sz w:val="24"/>
                <w:szCs w:val="24"/>
                <w:lang w:val="sq-AL"/>
              </w:rPr>
              <w:t xml:space="preserve">Objektivi specifik 5.3: </w:t>
            </w:r>
            <w:r w:rsidR="00CA378E" w:rsidRPr="00CA378E">
              <w:rPr>
                <w:rStyle w:val="Strong"/>
                <w:rFonts w:ascii="Times New Roman" w:hAnsi="Times New Roman" w:cs="Times New Roman"/>
                <w:color w:val="003300"/>
                <w:sz w:val="24"/>
                <w:szCs w:val="24"/>
              </w:rPr>
              <w:t>Transformimi i kapitalit njerëzor të sektorit publik për tranzicionin ekologjik</w:t>
            </w:r>
          </w:p>
        </w:tc>
      </w:tr>
    </w:tbl>
    <w:p w14:paraId="389E4765" w14:textId="77777777" w:rsidR="00CA378E" w:rsidRDefault="00CA378E" w:rsidP="00802A44">
      <w:pPr>
        <w:pStyle w:val="Heading4"/>
        <w:jc w:val="both"/>
        <w:rPr>
          <w:rStyle w:val="Strong"/>
          <w:rFonts w:ascii="Times New Roman" w:hAnsi="Times New Roman" w:cs="Times New Roman"/>
          <w:color w:val="auto"/>
          <w:sz w:val="24"/>
          <w:szCs w:val="24"/>
        </w:rPr>
      </w:pPr>
    </w:p>
    <w:p w14:paraId="714B665A" w14:textId="516F5F0D" w:rsidR="00802A44" w:rsidRPr="00641640" w:rsidRDefault="00802A44" w:rsidP="00802A44">
      <w:pPr>
        <w:pStyle w:val="Heading4"/>
        <w:jc w:val="both"/>
        <w:rPr>
          <w:rFonts w:ascii="Times New Roman" w:hAnsi="Times New Roman" w:cs="Times New Roman"/>
          <w:color w:val="auto"/>
          <w:sz w:val="24"/>
          <w:szCs w:val="24"/>
        </w:rPr>
      </w:pPr>
      <w:r w:rsidRPr="00641640">
        <w:rPr>
          <w:rStyle w:val="Strong"/>
          <w:rFonts w:ascii="Times New Roman" w:hAnsi="Times New Roman" w:cs="Times New Roman"/>
          <w:color w:val="auto"/>
          <w:sz w:val="24"/>
          <w:szCs w:val="24"/>
        </w:rPr>
        <w:t>Prioritetet</w:t>
      </w:r>
    </w:p>
    <w:p w14:paraId="74A28E1E" w14:textId="77777777" w:rsidR="00802A44" w:rsidRPr="00641640" w:rsidRDefault="00802A44" w:rsidP="00802A44">
      <w:pPr>
        <w:spacing w:before="100" w:beforeAutospacing="1" w:after="100" w:afterAutospacing="1"/>
        <w:jc w:val="both"/>
        <w:rPr>
          <w:rFonts w:ascii="Times New Roman" w:hAnsi="Times New Roman" w:cs="Times New Roman"/>
          <w:sz w:val="24"/>
          <w:szCs w:val="24"/>
        </w:rPr>
      </w:pPr>
      <w:r w:rsidRPr="00641640">
        <w:rPr>
          <w:rFonts w:ascii="Times New Roman" w:hAnsi="Times New Roman" w:cs="Times New Roman"/>
          <w:sz w:val="24"/>
          <w:szCs w:val="24"/>
        </w:rPr>
        <w:t xml:space="preserve">Kapitali njerëzor është një faktor thelbësor për realizimin me sukses të një administrate publike të gjelbër. Për këtë arsye, Shqipëria do të vendosë në qendër të prioriteteve të saj </w:t>
      </w:r>
      <w:r w:rsidRPr="009127B5">
        <w:rPr>
          <w:rStyle w:val="Strong"/>
          <w:rFonts w:ascii="Times New Roman" w:hAnsi="Times New Roman" w:cs="Times New Roman"/>
          <w:b w:val="0"/>
          <w:bCs w:val="0"/>
          <w:sz w:val="24"/>
          <w:szCs w:val="24"/>
        </w:rPr>
        <w:t>transformimin e shërbimit civil</w:t>
      </w:r>
      <w:r w:rsidRPr="009127B5">
        <w:rPr>
          <w:rFonts w:ascii="Times New Roman" w:hAnsi="Times New Roman" w:cs="Times New Roman"/>
          <w:sz w:val="24"/>
          <w:szCs w:val="24"/>
        </w:rPr>
        <w:t>, duke integruar kompetencat e gjelbra në proceset e rekruti</w:t>
      </w:r>
      <w:r w:rsidRPr="00641640">
        <w:rPr>
          <w:rFonts w:ascii="Times New Roman" w:hAnsi="Times New Roman" w:cs="Times New Roman"/>
          <w:sz w:val="24"/>
          <w:szCs w:val="24"/>
        </w:rPr>
        <w:t>mit, trajnimit dhe zhvillimit të lidershipit. Ky transformim është thelbësor për të ndërtuar një brez të ri nëpunësish publikë të aftë për të udhëhequr dhe zbatuar tranzicionin ekologjik.</w:t>
      </w:r>
    </w:p>
    <w:p w14:paraId="1B3305D1" w14:textId="77777777" w:rsidR="00802A44" w:rsidRPr="00641640" w:rsidRDefault="00802A44" w:rsidP="00802A44">
      <w:pPr>
        <w:spacing w:before="100" w:beforeAutospacing="1" w:after="100" w:afterAutospacing="1"/>
        <w:jc w:val="both"/>
        <w:rPr>
          <w:rFonts w:ascii="Times New Roman" w:hAnsi="Times New Roman" w:cs="Times New Roman"/>
          <w:sz w:val="24"/>
          <w:szCs w:val="24"/>
        </w:rPr>
      </w:pPr>
      <w:r w:rsidRPr="00641640">
        <w:rPr>
          <w:rFonts w:ascii="Times New Roman" w:hAnsi="Times New Roman" w:cs="Times New Roman"/>
          <w:sz w:val="24"/>
          <w:szCs w:val="24"/>
        </w:rPr>
        <w:t xml:space="preserve">Trajnimet e detyrueshme për të gjithë nëpunësit e rinj dhe programet e vazhdueshme për stafin ekzistues do të ndihmojnë në ndërtimin e njohurive dhe në formimin e sjelljeve të qëndrueshme në të gjitha institucionet. </w:t>
      </w:r>
      <w:r w:rsidRPr="00FB7581">
        <w:rPr>
          <w:rStyle w:val="Strong"/>
          <w:rFonts w:ascii="Times New Roman" w:hAnsi="Times New Roman" w:cs="Times New Roman"/>
          <w:b w:val="0"/>
          <w:bCs w:val="0"/>
          <w:sz w:val="24"/>
          <w:szCs w:val="24"/>
        </w:rPr>
        <w:t>Akademia e Lidershipit për Qëndrueshmërinë</w:t>
      </w:r>
      <w:r w:rsidRPr="00641640">
        <w:rPr>
          <w:rFonts w:ascii="Times New Roman" w:hAnsi="Times New Roman" w:cs="Times New Roman"/>
          <w:sz w:val="24"/>
          <w:szCs w:val="24"/>
        </w:rPr>
        <w:t xml:space="preserve"> do të fuqizojë drejtuesit e lartë për të qenë promotorë të reformave mjedisore dhe për të udhëhequr ndryshimin strategjik. Në vlerësimin e performancës së menaxherëve të nivelit të lartë do të integrohen </w:t>
      </w:r>
      <w:r w:rsidRPr="00FB7581">
        <w:rPr>
          <w:rStyle w:val="Strong"/>
          <w:rFonts w:ascii="Times New Roman" w:hAnsi="Times New Roman" w:cs="Times New Roman"/>
          <w:b w:val="0"/>
          <w:bCs w:val="0"/>
          <w:sz w:val="24"/>
          <w:szCs w:val="24"/>
        </w:rPr>
        <w:t>tregues të performancës të lidhur me objektivat mjedisore</w:t>
      </w:r>
      <w:r w:rsidRPr="00641640">
        <w:rPr>
          <w:rFonts w:ascii="Times New Roman" w:hAnsi="Times New Roman" w:cs="Times New Roman"/>
          <w:sz w:val="24"/>
          <w:szCs w:val="24"/>
        </w:rPr>
        <w:t>, për të garantuar përputhjen e lidershipit me qëllimet e qëndrueshmërisë.</w:t>
      </w:r>
    </w:p>
    <w:p w14:paraId="0F72F294" w14:textId="77777777" w:rsidR="00802A44" w:rsidRPr="00955906" w:rsidRDefault="00802A44" w:rsidP="00802A44">
      <w:pPr>
        <w:spacing w:before="100" w:beforeAutospacing="1" w:after="100" w:afterAutospacing="1"/>
        <w:jc w:val="both"/>
        <w:rPr>
          <w:rFonts w:ascii="Times New Roman" w:hAnsi="Times New Roman" w:cs="Times New Roman"/>
          <w:sz w:val="24"/>
          <w:szCs w:val="24"/>
        </w:rPr>
      </w:pPr>
      <w:r w:rsidRPr="00641640">
        <w:rPr>
          <w:rFonts w:ascii="Times New Roman" w:hAnsi="Times New Roman" w:cs="Times New Roman"/>
          <w:sz w:val="24"/>
          <w:szCs w:val="24"/>
        </w:rPr>
        <w:t>Nëpërmjet këtyre përpjekjeve, Shqipëria synon të ndërtojë një administratë publike të vetëdijshme, të aftë dhe të angazhuar për avancimin e zhvillimit të qëndrueshëm në të gjitha fushat e politikave publike.</w:t>
      </w:r>
    </w:p>
    <w:p w14:paraId="28ADE7DD" w14:textId="77777777" w:rsidR="00ED4717" w:rsidRPr="00955906" w:rsidRDefault="00ED4717" w:rsidP="00ED4717">
      <w:pPr>
        <w:spacing w:line="276" w:lineRule="auto"/>
        <w:jc w:val="both"/>
        <w:rPr>
          <w:rFonts w:ascii="Times New Roman" w:eastAsia="Times New Roman" w:hAnsi="Times New Roman" w:cs="Times New Roman"/>
          <w:b/>
          <w:bCs/>
          <w:sz w:val="24"/>
          <w:szCs w:val="24"/>
          <w:lang w:val="sq-AL"/>
        </w:rPr>
      </w:pPr>
      <w:r w:rsidRPr="00955906">
        <w:rPr>
          <w:rFonts w:ascii="Times New Roman" w:eastAsia="Times New Roman" w:hAnsi="Times New Roman" w:cs="Times New Roman"/>
          <w:b/>
          <w:bCs/>
          <w:sz w:val="24"/>
          <w:szCs w:val="24"/>
          <w:lang w:val="sq-AL"/>
        </w:rPr>
        <w:lastRenderedPageBreak/>
        <w:t>Rezultatet e pritshme nga zbatimi i masave që lidhen me Objektivin Specifik</w:t>
      </w:r>
    </w:p>
    <w:p w14:paraId="32A4E11A" w14:textId="497CC0B0" w:rsidR="00ED4717" w:rsidRPr="00955906" w:rsidRDefault="00ED4717" w:rsidP="00ED4717">
      <w:pPr>
        <w:spacing w:line="276" w:lineRule="auto"/>
        <w:jc w:val="both"/>
        <w:rPr>
          <w:rFonts w:ascii="Times New Roman" w:eastAsia="Times New Roman" w:hAnsi="Times New Roman" w:cs="Times New Roman"/>
          <w:sz w:val="24"/>
          <w:szCs w:val="24"/>
          <w:lang w:val="sq-AL"/>
        </w:rPr>
      </w:pPr>
      <w:r w:rsidRPr="00955906">
        <w:rPr>
          <w:rFonts w:ascii="Times New Roman" w:eastAsia="Times New Roman" w:hAnsi="Times New Roman" w:cs="Times New Roman"/>
          <w:sz w:val="24"/>
          <w:szCs w:val="24"/>
          <w:lang w:val="sq-AL"/>
        </w:rPr>
        <w:t>Objektivi Specifik 5.</w:t>
      </w:r>
      <w:r w:rsidR="00E82E2E" w:rsidRPr="00955906">
        <w:rPr>
          <w:rFonts w:ascii="Times New Roman" w:eastAsia="Times New Roman" w:hAnsi="Times New Roman" w:cs="Times New Roman"/>
          <w:sz w:val="24"/>
          <w:szCs w:val="24"/>
          <w:lang w:val="sq-AL"/>
        </w:rPr>
        <w:t>3</w:t>
      </w:r>
      <w:r w:rsidRPr="00955906">
        <w:rPr>
          <w:rFonts w:ascii="Times New Roman" w:eastAsia="Times New Roman" w:hAnsi="Times New Roman" w:cs="Times New Roman"/>
          <w:sz w:val="24"/>
          <w:szCs w:val="24"/>
          <w:lang w:val="sq-AL"/>
        </w:rPr>
        <w:t xml:space="preserve">, duke patur si synim </w:t>
      </w:r>
      <w:r w:rsidR="00E82E2E" w:rsidRPr="00955906">
        <w:rPr>
          <w:rFonts w:ascii="Times New Roman" w:eastAsia="Times New Roman" w:hAnsi="Times New Roman" w:cs="Times New Roman"/>
          <w:sz w:val="24"/>
          <w:szCs w:val="24"/>
          <w:lang w:val="sq-AL"/>
        </w:rPr>
        <w:t>trasformimin e kapitalit njerëzor të sektorit publik për tranzicionin ekologjik</w:t>
      </w:r>
      <w:r w:rsidRPr="00955906">
        <w:rPr>
          <w:rFonts w:ascii="Times New Roman" w:eastAsia="Times New Roman" w:hAnsi="Times New Roman" w:cs="Times New Roman"/>
          <w:sz w:val="24"/>
          <w:szCs w:val="24"/>
          <w:lang w:val="sq-AL"/>
        </w:rPr>
        <w:t>, pritet të ketë këto rezultate:</w:t>
      </w:r>
    </w:p>
    <w:p w14:paraId="7A5C77C9" w14:textId="0354F0DA" w:rsidR="00ED4717" w:rsidRPr="00955906" w:rsidRDefault="00ED4717" w:rsidP="00ED4717">
      <w:pPr>
        <w:spacing w:line="276" w:lineRule="auto"/>
        <w:jc w:val="both"/>
        <w:rPr>
          <w:rFonts w:ascii="Times New Roman" w:eastAsiaTheme="minorHAnsi" w:hAnsi="Times New Roman" w:cs="Times New Roman"/>
          <w:sz w:val="24"/>
          <w:szCs w:val="24"/>
          <w:lang w:val="it-IT"/>
        </w:rPr>
      </w:pPr>
      <w:r w:rsidRPr="00955906">
        <w:rPr>
          <w:rFonts w:ascii="Times New Roman" w:eastAsia="Times New Roman" w:hAnsi="Times New Roman" w:cs="Times New Roman"/>
          <w:b/>
          <w:bCs/>
          <w:sz w:val="24"/>
          <w:szCs w:val="24"/>
          <w:lang w:val="sq-AL"/>
        </w:rPr>
        <w:t>Rezultati 1:</w:t>
      </w:r>
      <w:r w:rsidRPr="00955906">
        <w:rPr>
          <w:rFonts w:ascii="Times New Roman" w:eastAsia="Times New Roman" w:hAnsi="Times New Roman" w:cs="Times New Roman"/>
          <w:sz w:val="24"/>
          <w:szCs w:val="24"/>
          <w:lang w:val="sq-AL"/>
        </w:rPr>
        <w:t xml:space="preserve"> </w:t>
      </w:r>
      <w:r w:rsidR="0025119B" w:rsidRPr="00955906">
        <w:rPr>
          <w:rFonts w:ascii="Times New Roman" w:hAnsi="Times New Roman" w:cs="Times New Roman"/>
          <w:bCs/>
          <w:sz w:val="24"/>
          <w:szCs w:val="24"/>
          <w:lang w:val="sq-AL"/>
        </w:rPr>
        <w:t>Rritja e kapaciteteve t</w:t>
      </w:r>
      <w:r w:rsidR="001441D2" w:rsidRPr="00955906">
        <w:rPr>
          <w:rFonts w:ascii="Times New Roman" w:hAnsi="Times New Roman" w:cs="Times New Roman"/>
          <w:bCs/>
          <w:sz w:val="24"/>
          <w:szCs w:val="24"/>
          <w:lang w:val="sq-AL"/>
        </w:rPr>
        <w:t>ë</w:t>
      </w:r>
      <w:r w:rsidR="0025119B" w:rsidRPr="00955906">
        <w:rPr>
          <w:rFonts w:ascii="Times New Roman" w:hAnsi="Times New Roman" w:cs="Times New Roman"/>
          <w:bCs/>
          <w:sz w:val="24"/>
          <w:szCs w:val="24"/>
          <w:lang w:val="sq-AL"/>
        </w:rPr>
        <w:t xml:space="preserve"> punonj</w:t>
      </w:r>
      <w:r w:rsidR="001441D2" w:rsidRPr="00955906">
        <w:rPr>
          <w:rFonts w:ascii="Times New Roman" w:hAnsi="Times New Roman" w:cs="Times New Roman"/>
          <w:bCs/>
          <w:sz w:val="24"/>
          <w:szCs w:val="24"/>
          <w:lang w:val="sq-AL"/>
        </w:rPr>
        <w:t>ë</w:t>
      </w:r>
      <w:r w:rsidR="0025119B" w:rsidRPr="00955906">
        <w:rPr>
          <w:rFonts w:ascii="Times New Roman" w:hAnsi="Times New Roman" w:cs="Times New Roman"/>
          <w:bCs/>
          <w:sz w:val="24"/>
          <w:szCs w:val="24"/>
          <w:lang w:val="sq-AL"/>
        </w:rPr>
        <w:t>sve t</w:t>
      </w:r>
      <w:r w:rsidR="001441D2" w:rsidRPr="00955906">
        <w:rPr>
          <w:rFonts w:ascii="Times New Roman" w:hAnsi="Times New Roman" w:cs="Times New Roman"/>
          <w:bCs/>
          <w:sz w:val="24"/>
          <w:szCs w:val="24"/>
          <w:lang w:val="sq-AL"/>
        </w:rPr>
        <w:t>ë</w:t>
      </w:r>
      <w:r w:rsidR="0025119B" w:rsidRPr="00955906">
        <w:rPr>
          <w:rFonts w:ascii="Times New Roman" w:hAnsi="Times New Roman" w:cs="Times New Roman"/>
          <w:bCs/>
          <w:sz w:val="24"/>
          <w:szCs w:val="24"/>
          <w:lang w:val="sq-AL"/>
        </w:rPr>
        <w:t xml:space="preserve"> administrat</w:t>
      </w:r>
      <w:r w:rsidR="001441D2" w:rsidRPr="00955906">
        <w:rPr>
          <w:rFonts w:ascii="Times New Roman" w:hAnsi="Times New Roman" w:cs="Times New Roman"/>
          <w:bCs/>
          <w:sz w:val="24"/>
          <w:szCs w:val="24"/>
          <w:lang w:val="sq-AL"/>
        </w:rPr>
        <w:t>ë</w:t>
      </w:r>
      <w:r w:rsidR="0025119B" w:rsidRPr="00955906">
        <w:rPr>
          <w:rFonts w:ascii="Times New Roman" w:hAnsi="Times New Roman" w:cs="Times New Roman"/>
          <w:bCs/>
          <w:sz w:val="24"/>
          <w:szCs w:val="24"/>
          <w:lang w:val="sq-AL"/>
        </w:rPr>
        <w:t>s publike</w:t>
      </w:r>
      <w:r w:rsidR="00AB1B83" w:rsidRPr="00955906">
        <w:rPr>
          <w:rFonts w:ascii="Times New Roman" w:hAnsi="Times New Roman" w:cs="Times New Roman"/>
          <w:bCs/>
          <w:sz w:val="24"/>
          <w:szCs w:val="24"/>
          <w:lang w:val="sq-AL"/>
        </w:rPr>
        <w:t xml:space="preserve"> p</w:t>
      </w:r>
      <w:r w:rsidR="001441D2" w:rsidRPr="00955906">
        <w:rPr>
          <w:rFonts w:ascii="Times New Roman" w:hAnsi="Times New Roman" w:cs="Times New Roman"/>
          <w:bCs/>
          <w:sz w:val="24"/>
          <w:szCs w:val="24"/>
          <w:lang w:val="sq-AL"/>
        </w:rPr>
        <w:t>ë</w:t>
      </w:r>
      <w:r w:rsidR="00AB1B83" w:rsidRPr="00955906">
        <w:rPr>
          <w:rFonts w:ascii="Times New Roman" w:hAnsi="Times New Roman" w:cs="Times New Roman"/>
          <w:bCs/>
          <w:sz w:val="24"/>
          <w:szCs w:val="24"/>
          <w:lang w:val="sq-AL"/>
        </w:rPr>
        <w:t>r tranzicionin ekologjik</w:t>
      </w:r>
      <w:r w:rsidRPr="00955906">
        <w:rPr>
          <w:rFonts w:ascii="Times New Roman" w:hAnsi="Times New Roman" w:cs="Times New Roman"/>
          <w:bCs/>
          <w:sz w:val="24"/>
          <w:szCs w:val="24"/>
          <w:lang w:val="sq-AL"/>
        </w:rPr>
        <w:t>.</w:t>
      </w:r>
    </w:p>
    <w:p w14:paraId="486C55F3" w14:textId="4F84A559" w:rsidR="00ED4717" w:rsidRPr="00955906" w:rsidRDefault="00ED4717" w:rsidP="00ED4717">
      <w:pPr>
        <w:spacing w:line="276" w:lineRule="auto"/>
        <w:jc w:val="both"/>
        <w:rPr>
          <w:rStyle w:val="Strong"/>
          <w:rFonts w:ascii="Times New Roman" w:eastAsiaTheme="majorEastAsia" w:hAnsi="Times New Roman" w:cs="Times New Roman"/>
          <w:b w:val="0"/>
          <w:sz w:val="24"/>
          <w:szCs w:val="24"/>
        </w:rPr>
      </w:pPr>
      <w:r w:rsidRPr="00955906">
        <w:rPr>
          <w:rFonts w:ascii="Times New Roman" w:eastAsia="Times New Roman" w:hAnsi="Times New Roman" w:cs="Times New Roman"/>
          <w:b/>
          <w:bCs/>
          <w:sz w:val="24"/>
          <w:szCs w:val="24"/>
          <w:lang w:val="sq-AL"/>
        </w:rPr>
        <w:t>Rezultati 2:</w:t>
      </w:r>
      <w:r w:rsidR="00AB1B83" w:rsidRPr="00955906">
        <w:rPr>
          <w:rStyle w:val="Strong"/>
          <w:rFonts w:ascii="Times New Roman" w:eastAsiaTheme="majorEastAsia" w:hAnsi="Times New Roman" w:cs="Times New Roman"/>
          <w:sz w:val="24"/>
          <w:szCs w:val="24"/>
        </w:rPr>
        <w:t xml:space="preserve"> </w:t>
      </w:r>
      <w:r w:rsidR="0092664F" w:rsidRPr="00955906">
        <w:rPr>
          <w:rStyle w:val="Strong"/>
          <w:rFonts w:ascii="Times New Roman" w:eastAsiaTheme="majorEastAsia" w:hAnsi="Times New Roman" w:cs="Times New Roman"/>
          <w:b w:val="0"/>
          <w:bCs w:val="0"/>
          <w:sz w:val="24"/>
          <w:szCs w:val="24"/>
        </w:rPr>
        <w:t>Hartimi dhe miratimi i programeve</w:t>
      </w:r>
      <w:r w:rsidR="001441D2" w:rsidRPr="00955906">
        <w:rPr>
          <w:rStyle w:val="Strong"/>
          <w:rFonts w:ascii="Times New Roman" w:eastAsiaTheme="majorEastAsia" w:hAnsi="Times New Roman" w:cs="Times New Roman"/>
          <w:b w:val="0"/>
          <w:bCs w:val="0"/>
          <w:sz w:val="24"/>
          <w:szCs w:val="24"/>
        </w:rPr>
        <w:t>/kurrikulave</w:t>
      </w:r>
      <w:r w:rsidR="0092664F" w:rsidRPr="00955906">
        <w:rPr>
          <w:rStyle w:val="Strong"/>
          <w:rFonts w:ascii="Times New Roman" w:eastAsiaTheme="majorEastAsia" w:hAnsi="Times New Roman" w:cs="Times New Roman"/>
          <w:b w:val="0"/>
          <w:bCs w:val="0"/>
          <w:sz w:val="24"/>
          <w:szCs w:val="24"/>
        </w:rPr>
        <w:t xml:space="preserve"> t</w:t>
      </w:r>
      <w:r w:rsidR="001441D2" w:rsidRPr="00955906">
        <w:rPr>
          <w:rStyle w:val="Strong"/>
          <w:rFonts w:ascii="Times New Roman" w:eastAsiaTheme="majorEastAsia" w:hAnsi="Times New Roman" w:cs="Times New Roman"/>
          <w:b w:val="0"/>
          <w:bCs w:val="0"/>
          <w:sz w:val="24"/>
          <w:szCs w:val="24"/>
        </w:rPr>
        <w:t>ë</w:t>
      </w:r>
      <w:r w:rsidR="0092664F" w:rsidRPr="00955906">
        <w:rPr>
          <w:rStyle w:val="Strong"/>
          <w:rFonts w:ascii="Times New Roman" w:eastAsiaTheme="majorEastAsia" w:hAnsi="Times New Roman" w:cs="Times New Roman"/>
          <w:b w:val="0"/>
          <w:bCs w:val="0"/>
          <w:sz w:val="24"/>
          <w:szCs w:val="24"/>
        </w:rPr>
        <w:t xml:space="preserve"> ve</w:t>
      </w:r>
      <w:r w:rsidR="001441D2" w:rsidRPr="00955906">
        <w:rPr>
          <w:rStyle w:val="Strong"/>
          <w:rFonts w:ascii="Times New Roman" w:eastAsiaTheme="majorEastAsia" w:hAnsi="Times New Roman" w:cs="Times New Roman"/>
          <w:b w:val="0"/>
          <w:bCs w:val="0"/>
          <w:sz w:val="24"/>
          <w:szCs w:val="24"/>
        </w:rPr>
        <w:t>ç</w:t>
      </w:r>
      <w:r w:rsidR="0092664F" w:rsidRPr="00955906">
        <w:rPr>
          <w:rStyle w:val="Strong"/>
          <w:rFonts w:ascii="Times New Roman" w:eastAsiaTheme="majorEastAsia" w:hAnsi="Times New Roman" w:cs="Times New Roman"/>
          <w:b w:val="0"/>
          <w:bCs w:val="0"/>
          <w:sz w:val="24"/>
          <w:szCs w:val="24"/>
        </w:rPr>
        <w:t xml:space="preserve">anta </w:t>
      </w:r>
      <w:r w:rsidR="001441D2" w:rsidRPr="00955906">
        <w:rPr>
          <w:rStyle w:val="Strong"/>
          <w:rFonts w:ascii="Times New Roman" w:eastAsiaTheme="majorEastAsia" w:hAnsi="Times New Roman" w:cs="Times New Roman"/>
          <w:b w:val="0"/>
          <w:bCs w:val="0"/>
          <w:sz w:val="24"/>
          <w:szCs w:val="24"/>
        </w:rPr>
        <w:t>për tranzicionin ekologjik</w:t>
      </w:r>
      <w:r w:rsidRPr="00955906">
        <w:rPr>
          <w:rStyle w:val="Strong"/>
          <w:rFonts w:ascii="Times New Roman" w:eastAsiaTheme="majorEastAsia" w:hAnsi="Times New Roman" w:cs="Times New Roman"/>
          <w:b w:val="0"/>
          <w:bCs w:val="0"/>
          <w:sz w:val="24"/>
          <w:szCs w:val="24"/>
        </w:rPr>
        <w:t>.</w:t>
      </w:r>
    </w:p>
    <w:p w14:paraId="7F2A35E6" w14:textId="58D9E43A" w:rsidR="00ED4717" w:rsidRPr="00955906" w:rsidRDefault="00ED4717" w:rsidP="00ED4717">
      <w:pPr>
        <w:spacing w:line="276" w:lineRule="auto"/>
        <w:jc w:val="both"/>
        <w:rPr>
          <w:rFonts w:ascii="Times New Roman" w:eastAsia="Times New Roman" w:hAnsi="Times New Roman" w:cs="Times New Roman"/>
          <w:sz w:val="24"/>
          <w:szCs w:val="24"/>
          <w:lang w:val="sq-AL"/>
        </w:rPr>
      </w:pPr>
      <w:r w:rsidRPr="00955906">
        <w:rPr>
          <w:rFonts w:ascii="Times New Roman" w:eastAsia="Times New Roman" w:hAnsi="Times New Roman" w:cs="Times New Roman"/>
          <w:b/>
          <w:bCs/>
          <w:sz w:val="24"/>
          <w:szCs w:val="24"/>
          <w:lang w:val="sq-AL"/>
        </w:rPr>
        <w:t>Institucione kryesore:</w:t>
      </w:r>
      <w:r w:rsidRPr="00955906">
        <w:rPr>
          <w:rFonts w:ascii="Times New Roman" w:eastAsia="Times New Roman" w:hAnsi="Times New Roman" w:cs="Times New Roman"/>
          <w:sz w:val="24"/>
          <w:szCs w:val="24"/>
          <w:lang w:val="sq-AL"/>
        </w:rPr>
        <w:t xml:space="preserve"> DAP, ASPA.</w:t>
      </w:r>
    </w:p>
    <w:p w14:paraId="1162A49B" w14:textId="75B9ACDA" w:rsidR="00ED4717" w:rsidRPr="00955906" w:rsidRDefault="00ED4717" w:rsidP="00ED4717">
      <w:pPr>
        <w:spacing w:line="276" w:lineRule="auto"/>
        <w:jc w:val="both"/>
        <w:rPr>
          <w:rFonts w:ascii="Times New Roman" w:eastAsia="Times New Roman" w:hAnsi="Times New Roman" w:cs="Times New Roman"/>
          <w:sz w:val="24"/>
          <w:szCs w:val="24"/>
          <w:lang w:val="sq-AL"/>
        </w:rPr>
      </w:pPr>
      <w:r w:rsidRPr="00955906">
        <w:rPr>
          <w:rFonts w:ascii="Times New Roman" w:eastAsia="Times New Roman" w:hAnsi="Times New Roman" w:cs="Times New Roman"/>
          <w:b/>
          <w:bCs/>
          <w:sz w:val="24"/>
          <w:szCs w:val="24"/>
          <w:lang w:val="sq-AL"/>
        </w:rPr>
        <w:t>Institucione kontributore:</w:t>
      </w:r>
      <w:r w:rsidRPr="00955906">
        <w:rPr>
          <w:rFonts w:ascii="Times New Roman" w:eastAsia="Times New Roman" w:hAnsi="Times New Roman" w:cs="Times New Roman"/>
          <w:sz w:val="24"/>
          <w:szCs w:val="24"/>
          <w:lang w:val="sq-AL"/>
        </w:rPr>
        <w:t xml:space="preserve"> </w:t>
      </w:r>
      <w:r w:rsidRPr="00955906">
        <w:rPr>
          <w:rFonts w:ascii="Times New Roman" w:eastAsia="Arial" w:hAnsi="Times New Roman" w:cs="Times New Roman"/>
          <w:bCs/>
          <w:sz w:val="24"/>
          <w:szCs w:val="24"/>
          <w:lang w:val="it-IT"/>
        </w:rPr>
        <w:t>Të gjitha institucionet.</w:t>
      </w:r>
    </w:p>
    <w:p w14:paraId="136D3C51" w14:textId="77777777" w:rsidR="006801C2" w:rsidRPr="00955906" w:rsidRDefault="006801C2" w:rsidP="00ED4717">
      <w:pPr>
        <w:spacing w:line="276" w:lineRule="auto"/>
        <w:jc w:val="both"/>
        <w:rPr>
          <w:rFonts w:ascii="Times New Roman" w:hAnsi="Times New Roman" w:cs="Times New Roman"/>
          <w:b/>
          <w:bCs/>
          <w:sz w:val="2"/>
          <w:szCs w:val="2"/>
          <w:lang w:val="sq-AL"/>
        </w:rPr>
      </w:pPr>
    </w:p>
    <w:p w14:paraId="10517F17" w14:textId="79A393E2" w:rsidR="00ED4717" w:rsidRPr="00955906" w:rsidRDefault="00ED4717" w:rsidP="00ED4717">
      <w:pPr>
        <w:spacing w:line="276" w:lineRule="auto"/>
        <w:jc w:val="both"/>
        <w:rPr>
          <w:rFonts w:ascii="Times New Roman" w:hAnsi="Times New Roman" w:cs="Times New Roman"/>
          <w:b/>
          <w:bCs/>
          <w:sz w:val="24"/>
          <w:szCs w:val="24"/>
          <w:lang w:val="sq-AL"/>
        </w:rPr>
      </w:pPr>
      <w:r w:rsidRPr="00955906">
        <w:rPr>
          <w:rFonts w:ascii="Times New Roman" w:hAnsi="Times New Roman" w:cs="Times New Roman"/>
          <w:b/>
          <w:bCs/>
          <w:sz w:val="24"/>
          <w:szCs w:val="24"/>
          <w:lang w:val="sq-AL"/>
        </w:rPr>
        <w:t>Masat dhe aktivitetet</w:t>
      </w:r>
    </w:p>
    <w:p w14:paraId="1CF2C64B" w14:textId="13A21DC5" w:rsidR="00ED4717" w:rsidRPr="00955906" w:rsidRDefault="00ED4717" w:rsidP="00ED4717">
      <w:pPr>
        <w:spacing w:line="276" w:lineRule="auto"/>
        <w:jc w:val="both"/>
        <w:rPr>
          <w:rFonts w:ascii="Times New Roman" w:hAnsi="Times New Roman" w:cs="Times New Roman"/>
          <w:bCs/>
          <w:sz w:val="24"/>
          <w:szCs w:val="24"/>
          <w:lang w:val="sq-AL"/>
        </w:rPr>
      </w:pPr>
      <w:r w:rsidRPr="00955906">
        <w:rPr>
          <w:rFonts w:ascii="Times New Roman" w:hAnsi="Times New Roman" w:cs="Times New Roman"/>
          <w:bCs/>
          <w:sz w:val="24"/>
          <w:szCs w:val="24"/>
          <w:lang w:val="sq-AL"/>
        </w:rPr>
        <w:t>Ky objektiv specifik do të zbatohet përmes masave të mëposhtme, teksa aktivitetet konkrete për periudhën e parë të zbatimit të SNRAP 2025-2030 mund të gjenden në Planin e Veprimit 2025-2027 (Aneksi nr. 1).</w:t>
      </w:r>
    </w:p>
    <w:tbl>
      <w:tblPr>
        <w:tblStyle w:val="TableGrid"/>
        <w:tblW w:w="0" w:type="auto"/>
        <w:tblLook w:val="04A0" w:firstRow="1" w:lastRow="0" w:firstColumn="1" w:lastColumn="0" w:noHBand="0" w:noVBand="1"/>
      </w:tblPr>
      <w:tblGrid>
        <w:gridCol w:w="1163"/>
        <w:gridCol w:w="8187"/>
      </w:tblGrid>
      <w:tr w:rsidR="006801C2" w:rsidRPr="00641640" w14:paraId="08904951" w14:textId="77777777" w:rsidTr="00EF7B8D">
        <w:trPr>
          <w:trHeight w:val="878"/>
        </w:trPr>
        <w:tc>
          <w:tcPr>
            <w:tcW w:w="9350" w:type="dxa"/>
            <w:gridSpan w:val="2"/>
            <w:shd w:val="clear" w:color="auto" w:fill="C5E0B3" w:themeFill="accent6" w:themeFillTint="66"/>
          </w:tcPr>
          <w:p w14:paraId="69CE4BEF" w14:textId="77777777" w:rsidR="006801C2" w:rsidRPr="00641640" w:rsidRDefault="006801C2" w:rsidP="00EF7B8D">
            <w:pPr>
              <w:spacing w:line="276" w:lineRule="auto"/>
              <w:jc w:val="center"/>
              <w:textAlignment w:val="baseline"/>
              <w:rPr>
                <w:rFonts w:ascii="Times New Roman" w:hAnsi="Times New Roman" w:cs="Times New Roman"/>
                <w:b/>
                <w:i/>
                <w:sz w:val="22"/>
                <w:szCs w:val="22"/>
                <w:lang w:val="sq-AL"/>
              </w:rPr>
            </w:pPr>
          </w:p>
          <w:p w14:paraId="2A44095C" w14:textId="4B655281" w:rsidR="006801C2" w:rsidRPr="006801C2" w:rsidRDefault="006801C2" w:rsidP="00EF7B8D">
            <w:pPr>
              <w:spacing w:line="276" w:lineRule="auto"/>
              <w:jc w:val="center"/>
              <w:textAlignment w:val="baseline"/>
              <w:rPr>
                <w:rFonts w:ascii="Times New Roman" w:hAnsi="Times New Roman" w:cs="Times New Roman"/>
                <w:b/>
                <w:bCs/>
                <w:i/>
                <w:sz w:val="22"/>
                <w:szCs w:val="22"/>
                <w:lang w:val="sq-AL"/>
              </w:rPr>
            </w:pPr>
            <w:r w:rsidRPr="006801C2">
              <w:rPr>
                <w:rFonts w:ascii="Times New Roman" w:eastAsia="Times New Roman" w:hAnsi="Times New Roman" w:cs="Times New Roman"/>
                <w:b/>
                <w:bCs/>
                <w:i/>
                <w:iCs/>
                <w:sz w:val="24"/>
                <w:szCs w:val="24"/>
              </w:rPr>
              <w:t>Objektivi Specifik 5.3: Transformimi i kapitalit njerëzor të sektorit publik për tranzicionin ekologjik</w:t>
            </w:r>
          </w:p>
          <w:p w14:paraId="0F27E531" w14:textId="77777777" w:rsidR="006801C2" w:rsidRPr="00641640" w:rsidRDefault="006801C2" w:rsidP="00EF7B8D">
            <w:pPr>
              <w:spacing w:line="276" w:lineRule="auto"/>
              <w:jc w:val="center"/>
              <w:textAlignment w:val="baseline"/>
              <w:rPr>
                <w:rFonts w:ascii="Times New Roman" w:hAnsi="Times New Roman" w:cs="Times New Roman"/>
                <w:b/>
                <w:i/>
                <w:sz w:val="22"/>
                <w:szCs w:val="22"/>
                <w:lang w:val="sq-AL"/>
              </w:rPr>
            </w:pPr>
          </w:p>
        </w:tc>
      </w:tr>
      <w:tr w:rsidR="006801C2" w:rsidRPr="00641640" w14:paraId="70796444" w14:textId="77777777" w:rsidTr="00EF7B8D">
        <w:tc>
          <w:tcPr>
            <w:tcW w:w="1163" w:type="dxa"/>
            <w:shd w:val="clear" w:color="auto" w:fill="C5E0B3" w:themeFill="accent6" w:themeFillTint="66"/>
          </w:tcPr>
          <w:p w14:paraId="22596AF7" w14:textId="34D225E5" w:rsidR="006801C2" w:rsidRPr="00641640" w:rsidRDefault="006801C2" w:rsidP="00EF7B8D">
            <w:pPr>
              <w:spacing w:beforeAutospacing="1" w:line="276" w:lineRule="auto"/>
              <w:jc w:val="center"/>
              <w:textAlignment w:val="baseline"/>
              <w:rPr>
                <w:rFonts w:ascii="Times New Roman" w:hAnsi="Times New Roman" w:cs="Times New Roman"/>
                <w:b/>
                <w:sz w:val="22"/>
                <w:szCs w:val="22"/>
                <w:lang w:val="sq-AL"/>
              </w:rPr>
            </w:pPr>
            <w:r w:rsidRPr="00641640">
              <w:rPr>
                <w:rFonts w:ascii="Times New Roman" w:hAnsi="Times New Roman" w:cs="Times New Roman"/>
                <w:b/>
                <w:sz w:val="22"/>
                <w:szCs w:val="22"/>
                <w:lang w:val="sq-AL"/>
              </w:rPr>
              <w:t xml:space="preserve">Masa  </w:t>
            </w:r>
            <w:r>
              <w:rPr>
                <w:rFonts w:ascii="Times New Roman" w:hAnsi="Times New Roman" w:cs="Times New Roman"/>
                <w:b/>
                <w:sz w:val="22"/>
                <w:szCs w:val="22"/>
                <w:lang w:val="sq-AL"/>
              </w:rPr>
              <w:t>5</w:t>
            </w:r>
            <w:r w:rsidRPr="00641640">
              <w:rPr>
                <w:rFonts w:ascii="Times New Roman" w:hAnsi="Times New Roman" w:cs="Times New Roman"/>
                <w:b/>
                <w:sz w:val="22"/>
                <w:szCs w:val="22"/>
                <w:lang w:val="sq-AL"/>
              </w:rPr>
              <w:t>.</w:t>
            </w:r>
            <w:r>
              <w:rPr>
                <w:rFonts w:ascii="Times New Roman" w:hAnsi="Times New Roman" w:cs="Times New Roman"/>
                <w:b/>
                <w:sz w:val="22"/>
                <w:szCs w:val="22"/>
                <w:lang w:val="sq-AL"/>
              </w:rPr>
              <w:t>3</w:t>
            </w:r>
            <w:r w:rsidRPr="00641640">
              <w:rPr>
                <w:rFonts w:ascii="Times New Roman" w:hAnsi="Times New Roman" w:cs="Times New Roman"/>
                <w:b/>
                <w:sz w:val="22"/>
                <w:szCs w:val="22"/>
                <w:lang w:val="sq-AL"/>
              </w:rPr>
              <w:t>.1</w:t>
            </w:r>
          </w:p>
        </w:tc>
        <w:tc>
          <w:tcPr>
            <w:tcW w:w="8187" w:type="dxa"/>
            <w:shd w:val="clear" w:color="auto" w:fill="auto"/>
          </w:tcPr>
          <w:p w14:paraId="5B694498" w14:textId="3067892C" w:rsidR="006801C2" w:rsidRPr="00641640" w:rsidRDefault="006801C2" w:rsidP="00EF7B8D">
            <w:pPr>
              <w:spacing w:beforeAutospacing="1" w:line="276" w:lineRule="auto"/>
              <w:jc w:val="both"/>
              <w:textAlignment w:val="baseline"/>
              <w:rPr>
                <w:rFonts w:ascii="Times New Roman" w:hAnsi="Times New Roman" w:cs="Times New Roman"/>
                <w:sz w:val="22"/>
                <w:szCs w:val="22"/>
                <w:lang w:val="it-IT"/>
              </w:rPr>
            </w:pPr>
            <w:r w:rsidRPr="00641640">
              <w:rPr>
                <w:rFonts w:ascii="Times New Roman" w:eastAsia="Times New Roman" w:hAnsi="Times New Roman" w:cs="Times New Roman"/>
                <w:sz w:val="24"/>
                <w:szCs w:val="24"/>
              </w:rPr>
              <w:t>Integrimi i aftësive të gjelbra në trajnimet dhe rekrutimin në administratën publike</w:t>
            </w:r>
            <w:r w:rsidRPr="00641640">
              <w:rPr>
                <w:rFonts w:ascii="Times New Roman" w:hAnsi="Times New Roman" w:cs="Times New Roman"/>
                <w:sz w:val="22"/>
                <w:szCs w:val="22"/>
                <w:lang w:val="it-IT"/>
              </w:rPr>
              <w:t>.</w:t>
            </w:r>
          </w:p>
        </w:tc>
      </w:tr>
      <w:tr w:rsidR="006801C2" w:rsidRPr="00641640" w14:paraId="3FE31600" w14:textId="77777777" w:rsidTr="00EF7B8D">
        <w:trPr>
          <w:trHeight w:val="665"/>
        </w:trPr>
        <w:tc>
          <w:tcPr>
            <w:tcW w:w="1163" w:type="dxa"/>
            <w:shd w:val="clear" w:color="auto" w:fill="C5E0B3" w:themeFill="accent6" w:themeFillTint="66"/>
          </w:tcPr>
          <w:p w14:paraId="7C0877DD" w14:textId="31AC9591" w:rsidR="006801C2" w:rsidRPr="00641640" w:rsidRDefault="006801C2" w:rsidP="00EF7B8D">
            <w:pPr>
              <w:spacing w:beforeAutospacing="1" w:line="276" w:lineRule="auto"/>
              <w:jc w:val="center"/>
              <w:textAlignment w:val="baseline"/>
              <w:rPr>
                <w:rFonts w:ascii="Times New Roman" w:hAnsi="Times New Roman" w:cs="Times New Roman"/>
                <w:b/>
                <w:sz w:val="22"/>
                <w:szCs w:val="22"/>
                <w:lang w:val="sq-AL"/>
              </w:rPr>
            </w:pPr>
            <w:r w:rsidRPr="00641640">
              <w:rPr>
                <w:rFonts w:ascii="Times New Roman" w:hAnsi="Times New Roman" w:cs="Times New Roman"/>
                <w:b/>
                <w:sz w:val="22"/>
                <w:szCs w:val="22"/>
                <w:lang w:val="sq-AL"/>
              </w:rPr>
              <w:t xml:space="preserve">Masa </w:t>
            </w:r>
            <w:r>
              <w:rPr>
                <w:rFonts w:ascii="Times New Roman" w:hAnsi="Times New Roman" w:cs="Times New Roman"/>
                <w:b/>
                <w:sz w:val="22"/>
                <w:szCs w:val="22"/>
                <w:lang w:val="sq-AL"/>
              </w:rPr>
              <w:t>5</w:t>
            </w:r>
            <w:r w:rsidRPr="00641640">
              <w:rPr>
                <w:rFonts w:ascii="Times New Roman" w:hAnsi="Times New Roman" w:cs="Times New Roman"/>
                <w:b/>
                <w:sz w:val="22"/>
                <w:szCs w:val="22"/>
                <w:lang w:val="sq-AL"/>
              </w:rPr>
              <w:t>.</w:t>
            </w:r>
            <w:r>
              <w:rPr>
                <w:rFonts w:ascii="Times New Roman" w:hAnsi="Times New Roman" w:cs="Times New Roman"/>
                <w:b/>
                <w:sz w:val="22"/>
                <w:szCs w:val="22"/>
                <w:lang w:val="sq-AL"/>
              </w:rPr>
              <w:t>3</w:t>
            </w:r>
            <w:r w:rsidRPr="00641640">
              <w:rPr>
                <w:rFonts w:ascii="Times New Roman" w:hAnsi="Times New Roman" w:cs="Times New Roman"/>
                <w:b/>
                <w:sz w:val="22"/>
                <w:szCs w:val="22"/>
                <w:lang w:val="sq-AL"/>
              </w:rPr>
              <w:t>.2</w:t>
            </w:r>
          </w:p>
        </w:tc>
        <w:tc>
          <w:tcPr>
            <w:tcW w:w="8187" w:type="dxa"/>
            <w:shd w:val="clear" w:color="auto" w:fill="auto"/>
          </w:tcPr>
          <w:p w14:paraId="6BEB6087" w14:textId="7096EB46" w:rsidR="006801C2" w:rsidRPr="00641640" w:rsidRDefault="006801C2" w:rsidP="00EF7B8D">
            <w:pPr>
              <w:spacing w:beforeAutospacing="1" w:line="276" w:lineRule="auto"/>
              <w:jc w:val="both"/>
              <w:textAlignment w:val="baseline"/>
              <w:rPr>
                <w:rFonts w:ascii="Times New Roman" w:hAnsi="Times New Roman" w:cs="Times New Roman"/>
                <w:sz w:val="22"/>
                <w:szCs w:val="22"/>
                <w:lang w:val="sq-AL"/>
              </w:rPr>
            </w:pPr>
            <w:r w:rsidRPr="00641640">
              <w:rPr>
                <w:rFonts w:ascii="Times New Roman" w:eastAsia="Times New Roman" w:hAnsi="Times New Roman" w:cs="Times New Roman"/>
                <w:sz w:val="24"/>
                <w:szCs w:val="24"/>
              </w:rPr>
              <w:t>Fuqizimi i lidershipit të mesëm dhe të lartë për tranzicionin ekologjik</w:t>
            </w:r>
            <w:r w:rsidRPr="00641640">
              <w:rPr>
                <w:rFonts w:ascii="Times New Roman" w:hAnsi="Times New Roman" w:cs="Times New Roman"/>
                <w:sz w:val="22"/>
                <w:szCs w:val="22"/>
                <w:lang w:val="sq-AL"/>
              </w:rPr>
              <w:t>.</w:t>
            </w:r>
          </w:p>
        </w:tc>
      </w:tr>
    </w:tbl>
    <w:p w14:paraId="35D3C808" w14:textId="77777777" w:rsidR="00802A44" w:rsidRDefault="00802A44" w:rsidP="00802A44">
      <w:pPr>
        <w:spacing w:after="0" w:line="240" w:lineRule="auto"/>
        <w:jc w:val="both"/>
        <w:rPr>
          <w:rFonts w:ascii="Times New Roman" w:eastAsia="Times New Roman" w:hAnsi="Times New Roman" w:cs="Times New Roman"/>
          <w:sz w:val="24"/>
          <w:szCs w:val="24"/>
        </w:rPr>
      </w:pPr>
    </w:p>
    <w:p w14:paraId="4A1F3EB5" w14:textId="7B375D69" w:rsidR="006A3A24" w:rsidRPr="006A3A24" w:rsidRDefault="006A3A24" w:rsidP="006A3A24">
      <w:pPr>
        <w:spacing w:line="276" w:lineRule="auto"/>
        <w:jc w:val="both"/>
        <w:rPr>
          <w:rFonts w:ascii="Times New Roman" w:hAnsi="Times New Roman" w:cs="Times New Roman"/>
          <w:b/>
          <w:bCs/>
          <w:sz w:val="24"/>
          <w:szCs w:val="24"/>
          <w:lang w:val="sq-AL"/>
        </w:rPr>
      </w:pPr>
      <w:r w:rsidRPr="00641640">
        <w:rPr>
          <w:rFonts w:ascii="Times New Roman" w:hAnsi="Times New Roman" w:cs="Times New Roman"/>
          <w:b/>
          <w:bCs/>
          <w:sz w:val="24"/>
          <w:szCs w:val="24"/>
          <w:lang w:val="sq-AL"/>
        </w:rPr>
        <w:t>Lidhja e treguesve kryesorë të performancës më Qëllimin e Politikës V, Objektivin Specifik 5.</w:t>
      </w:r>
      <w:r>
        <w:rPr>
          <w:rFonts w:ascii="Times New Roman" w:hAnsi="Times New Roman" w:cs="Times New Roman"/>
          <w:b/>
          <w:bCs/>
          <w:sz w:val="24"/>
          <w:szCs w:val="24"/>
          <w:lang w:val="sq-AL"/>
        </w:rPr>
        <w:t>3</w:t>
      </w:r>
      <w:r w:rsidRPr="00641640">
        <w:rPr>
          <w:rFonts w:ascii="Times New Roman" w:hAnsi="Times New Roman" w:cs="Times New Roman"/>
          <w:b/>
          <w:bCs/>
          <w:sz w:val="24"/>
          <w:szCs w:val="24"/>
          <w:lang w:val="sq-AL"/>
        </w:rPr>
        <w:t xml:space="preserve"> dhe institucionet përgjegjëse.</w:t>
      </w:r>
    </w:p>
    <w:p w14:paraId="36884232" w14:textId="77777777" w:rsidR="00802A44" w:rsidRPr="00641640" w:rsidRDefault="00802A44" w:rsidP="00802A44">
      <w:pPr>
        <w:spacing w:after="0" w:line="240" w:lineRule="auto"/>
        <w:jc w:val="both"/>
        <w:rPr>
          <w:rFonts w:ascii="Times New Roman" w:eastAsia="Times New Roman" w:hAnsi="Times New Roman" w:cs="Times New Roman"/>
          <w:sz w:val="24"/>
          <w:szCs w:val="24"/>
        </w:rPr>
      </w:pPr>
    </w:p>
    <w:tbl>
      <w:tblPr>
        <w:tblStyle w:val="TableGrid"/>
        <w:tblW w:w="93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2"/>
        <w:gridCol w:w="1980"/>
        <w:gridCol w:w="2160"/>
        <w:gridCol w:w="2340"/>
        <w:gridCol w:w="1890"/>
      </w:tblGrid>
      <w:tr w:rsidR="00972BC3" w:rsidRPr="00B222B9" w14:paraId="441116EC" w14:textId="77777777" w:rsidTr="00EA7BEF">
        <w:trPr>
          <w:trHeight w:val="15"/>
        </w:trPr>
        <w:tc>
          <w:tcPr>
            <w:tcW w:w="982" w:type="dxa"/>
            <w:shd w:val="clear" w:color="auto" w:fill="C5E0B3" w:themeFill="accent6" w:themeFillTint="66"/>
            <w:tcMar>
              <w:top w:w="15" w:type="dxa"/>
              <w:left w:w="75" w:type="dxa"/>
              <w:bottom w:w="15" w:type="dxa"/>
              <w:right w:w="75" w:type="dxa"/>
            </w:tcMar>
          </w:tcPr>
          <w:p w14:paraId="3DAF7982" w14:textId="77777777" w:rsidR="00972BC3" w:rsidRPr="00B222B9" w:rsidRDefault="00972BC3" w:rsidP="00972BC3">
            <w:pPr>
              <w:spacing w:line="276" w:lineRule="auto"/>
              <w:jc w:val="center"/>
              <w:rPr>
                <w:rFonts w:ascii="Times New Roman" w:eastAsia="Arial" w:hAnsi="Times New Roman" w:cs="Times New Roman"/>
                <w:b/>
                <w:bCs/>
                <w:sz w:val="20"/>
                <w:szCs w:val="22"/>
                <w:lang w:val="it-IT"/>
              </w:rPr>
            </w:pPr>
          </w:p>
          <w:p w14:paraId="0FD55409" w14:textId="77777777" w:rsidR="00972BC3" w:rsidRPr="00B222B9" w:rsidRDefault="00972BC3" w:rsidP="00972BC3">
            <w:pPr>
              <w:spacing w:line="276" w:lineRule="auto"/>
              <w:jc w:val="center"/>
              <w:rPr>
                <w:rFonts w:ascii="Times New Roman" w:eastAsia="Arial" w:hAnsi="Times New Roman" w:cs="Times New Roman"/>
                <w:b/>
                <w:bCs/>
                <w:sz w:val="20"/>
                <w:szCs w:val="22"/>
              </w:rPr>
            </w:pPr>
            <w:r w:rsidRPr="00B222B9">
              <w:rPr>
                <w:rFonts w:ascii="Times New Roman" w:eastAsia="Arial" w:hAnsi="Times New Roman" w:cs="Times New Roman"/>
                <w:b/>
                <w:bCs/>
                <w:sz w:val="20"/>
                <w:szCs w:val="22"/>
              </w:rPr>
              <w:t>Lloji i treguesit</w:t>
            </w:r>
          </w:p>
        </w:tc>
        <w:tc>
          <w:tcPr>
            <w:tcW w:w="1980" w:type="dxa"/>
            <w:shd w:val="clear" w:color="auto" w:fill="C5E0B3" w:themeFill="accent6" w:themeFillTint="66"/>
            <w:tcMar>
              <w:top w:w="15" w:type="dxa"/>
              <w:left w:w="75" w:type="dxa"/>
              <w:bottom w:w="15" w:type="dxa"/>
              <w:right w:w="75" w:type="dxa"/>
            </w:tcMar>
          </w:tcPr>
          <w:p w14:paraId="06058EA7" w14:textId="77777777" w:rsidR="00972BC3" w:rsidRPr="00B222B9" w:rsidRDefault="00972BC3" w:rsidP="00972BC3">
            <w:pPr>
              <w:spacing w:line="276" w:lineRule="auto"/>
              <w:jc w:val="center"/>
              <w:rPr>
                <w:rFonts w:ascii="Times New Roman" w:eastAsia="Arial" w:hAnsi="Times New Roman" w:cs="Times New Roman"/>
                <w:b/>
                <w:bCs/>
                <w:sz w:val="20"/>
                <w:szCs w:val="22"/>
              </w:rPr>
            </w:pPr>
          </w:p>
          <w:p w14:paraId="1E3E44AF" w14:textId="77777777" w:rsidR="00972BC3" w:rsidRPr="00B222B9" w:rsidRDefault="00972BC3" w:rsidP="00972BC3">
            <w:pPr>
              <w:spacing w:line="276" w:lineRule="auto"/>
              <w:jc w:val="center"/>
              <w:rPr>
                <w:rFonts w:ascii="Times New Roman" w:eastAsia="Arial" w:hAnsi="Times New Roman" w:cs="Times New Roman"/>
                <w:b/>
                <w:bCs/>
                <w:sz w:val="20"/>
                <w:szCs w:val="22"/>
              </w:rPr>
            </w:pPr>
            <w:r w:rsidRPr="00B222B9">
              <w:rPr>
                <w:rFonts w:ascii="Times New Roman" w:eastAsia="Arial" w:hAnsi="Times New Roman" w:cs="Times New Roman"/>
                <w:b/>
                <w:bCs/>
                <w:sz w:val="20"/>
                <w:szCs w:val="22"/>
              </w:rPr>
              <w:t>Emërtimi i treguesit të performancës</w:t>
            </w:r>
          </w:p>
          <w:p w14:paraId="55DDA0E6" w14:textId="77777777" w:rsidR="00972BC3" w:rsidRPr="00B222B9" w:rsidRDefault="00972BC3" w:rsidP="00972BC3">
            <w:pPr>
              <w:spacing w:line="276" w:lineRule="auto"/>
              <w:jc w:val="center"/>
              <w:rPr>
                <w:rFonts w:ascii="Times New Roman" w:eastAsia="Arial" w:hAnsi="Times New Roman" w:cs="Times New Roman"/>
                <w:sz w:val="20"/>
                <w:szCs w:val="22"/>
              </w:rPr>
            </w:pPr>
          </w:p>
        </w:tc>
        <w:tc>
          <w:tcPr>
            <w:tcW w:w="2160" w:type="dxa"/>
            <w:shd w:val="clear" w:color="auto" w:fill="C5E0B3" w:themeFill="accent6" w:themeFillTint="66"/>
          </w:tcPr>
          <w:p w14:paraId="327281A8" w14:textId="77777777" w:rsidR="00972BC3" w:rsidRPr="00B222B9" w:rsidRDefault="00972BC3" w:rsidP="00972BC3">
            <w:pPr>
              <w:spacing w:line="276" w:lineRule="auto"/>
              <w:jc w:val="center"/>
              <w:rPr>
                <w:rFonts w:ascii="Times New Roman" w:eastAsia="Arial" w:hAnsi="Times New Roman" w:cs="Times New Roman"/>
                <w:b/>
                <w:bCs/>
                <w:sz w:val="20"/>
                <w:szCs w:val="22"/>
              </w:rPr>
            </w:pPr>
          </w:p>
          <w:p w14:paraId="6DE4C54C" w14:textId="77777777" w:rsidR="00972BC3" w:rsidRPr="00B222B9" w:rsidRDefault="00972BC3" w:rsidP="00972BC3">
            <w:pPr>
              <w:spacing w:line="276" w:lineRule="auto"/>
              <w:jc w:val="center"/>
              <w:rPr>
                <w:rFonts w:ascii="Times New Roman" w:eastAsia="Arial" w:hAnsi="Times New Roman" w:cs="Times New Roman"/>
                <w:b/>
                <w:bCs/>
                <w:sz w:val="20"/>
                <w:szCs w:val="22"/>
              </w:rPr>
            </w:pPr>
            <w:r w:rsidRPr="00B222B9">
              <w:rPr>
                <w:rFonts w:ascii="Times New Roman" w:eastAsia="Arial" w:hAnsi="Times New Roman" w:cs="Times New Roman"/>
                <w:b/>
                <w:bCs/>
                <w:sz w:val="20"/>
                <w:szCs w:val="22"/>
              </w:rPr>
              <w:t>Lidhja me Qëllimin e Politikës</w:t>
            </w:r>
          </w:p>
        </w:tc>
        <w:tc>
          <w:tcPr>
            <w:tcW w:w="2340" w:type="dxa"/>
            <w:shd w:val="clear" w:color="auto" w:fill="C5E0B3" w:themeFill="accent6" w:themeFillTint="66"/>
          </w:tcPr>
          <w:p w14:paraId="7C71E872" w14:textId="77777777" w:rsidR="00972BC3" w:rsidRPr="00B222B9" w:rsidRDefault="00972BC3" w:rsidP="00972BC3">
            <w:pPr>
              <w:spacing w:line="276" w:lineRule="auto"/>
              <w:jc w:val="center"/>
              <w:rPr>
                <w:rFonts w:ascii="Times New Roman" w:eastAsia="Arial" w:hAnsi="Times New Roman" w:cs="Times New Roman"/>
                <w:b/>
                <w:bCs/>
                <w:sz w:val="20"/>
                <w:szCs w:val="22"/>
              </w:rPr>
            </w:pPr>
          </w:p>
          <w:p w14:paraId="38EF56B9" w14:textId="77777777" w:rsidR="00972BC3" w:rsidRPr="00B222B9" w:rsidRDefault="00972BC3" w:rsidP="00972BC3">
            <w:pPr>
              <w:spacing w:line="276" w:lineRule="auto"/>
              <w:jc w:val="center"/>
              <w:rPr>
                <w:rFonts w:ascii="Times New Roman" w:eastAsia="Arial" w:hAnsi="Times New Roman" w:cs="Times New Roman"/>
                <w:b/>
                <w:bCs/>
                <w:sz w:val="20"/>
                <w:szCs w:val="22"/>
              </w:rPr>
            </w:pPr>
            <w:r w:rsidRPr="00B222B9">
              <w:rPr>
                <w:rFonts w:ascii="Times New Roman" w:eastAsia="Arial" w:hAnsi="Times New Roman" w:cs="Times New Roman"/>
                <w:b/>
                <w:bCs/>
                <w:sz w:val="20"/>
                <w:szCs w:val="22"/>
              </w:rPr>
              <w:t>Lidhja me Objektivin Specifik</w:t>
            </w:r>
          </w:p>
        </w:tc>
        <w:tc>
          <w:tcPr>
            <w:tcW w:w="1890" w:type="dxa"/>
            <w:shd w:val="clear" w:color="auto" w:fill="C5E0B3" w:themeFill="accent6" w:themeFillTint="66"/>
            <w:tcMar>
              <w:top w:w="15" w:type="dxa"/>
              <w:left w:w="75" w:type="dxa"/>
              <w:bottom w:w="15" w:type="dxa"/>
              <w:right w:w="75" w:type="dxa"/>
            </w:tcMar>
          </w:tcPr>
          <w:p w14:paraId="50DED40B" w14:textId="77777777" w:rsidR="00972BC3" w:rsidRPr="00B222B9" w:rsidRDefault="00972BC3" w:rsidP="00972BC3">
            <w:pPr>
              <w:spacing w:line="276" w:lineRule="auto"/>
              <w:jc w:val="center"/>
              <w:rPr>
                <w:rFonts w:ascii="Times New Roman" w:eastAsia="Arial" w:hAnsi="Times New Roman" w:cs="Times New Roman"/>
                <w:sz w:val="20"/>
                <w:szCs w:val="22"/>
              </w:rPr>
            </w:pPr>
          </w:p>
          <w:p w14:paraId="0F7985DD" w14:textId="77777777" w:rsidR="00972BC3" w:rsidRPr="00B222B9" w:rsidRDefault="00972BC3" w:rsidP="00972BC3">
            <w:pPr>
              <w:spacing w:line="276" w:lineRule="auto"/>
              <w:jc w:val="center"/>
              <w:rPr>
                <w:rFonts w:ascii="Times New Roman" w:eastAsia="Arial" w:hAnsi="Times New Roman" w:cs="Times New Roman"/>
                <w:b/>
                <w:bCs/>
                <w:sz w:val="20"/>
                <w:szCs w:val="22"/>
              </w:rPr>
            </w:pPr>
            <w:r w:rsidRPr="00B222B9">
              <w:rPr>
                <w:rFonts w:ascii="Times New Roman" w:eastAsia="Arial" w:hAnsi="Times New Roman" w:cs="Times New Roman"/>
                <w:b/>
                <w:bCs/>
                <w:sz w:val="20"/>
                <w:szCs w:val="22"/>
              </w:rPr>
              <w:t>Institucioni përgjegjës</w:t>
            </w:r>
          </w:p>
        </w:tc>
      </w:tr>
      <w:tr w:rsidR="00972BC3" w:rsidRPr="00B222B9" w14:paraId="3A3E44E3" w14:textId="77777777" w:rsidTr="00972BC3">
        <w:trPr>
          <w:trHeight w:val="965"/>
        </w:trPr>
        <w:tc>
          <w:tcPr>
            <w:tcW w:w="982" w:type="dxa"/>
            <w:shd w:val="clear" w:color="auto" w:fill="auto"/>
            <w:tcMar>
              <w:top w:w="15" w:type="dxa"/>
              <w:left w:w="75" w:type="dxa"/>
              <w:bottom w:w="15" w:type="dxa"/>
              <w:right w:w="75" w:type="dxa"/>
            </w:tcMar>
          </w:tcPr>
          <w:p w14:paraId="5EA938F2" w14:textId="7407F145" w:rsidR="00972BC3" w:rsidRPr="00B222B9" w:rsidRDefault="00DC4334" w:rsidP="00972BC3">
            <w:pPr>
              <w:spacing w:line="276" w:lineRule="auto"/>
              <w:rPr>
                <w:rFonts w:ascii="Times New Roman" w:hAnsi="Times New Roman" w:cs="Times New Roman"/>
                <w:sz w:val="20"/>
                <w:szCs w:val="22"/>
                <w:lang w:val="sq-AL"/>
              </w:rPr>
            </w:pPr>
            <w:r w:rsidRPr="00B222B9">
              <w:rPr>
                <w:rFonts w:ascii="Times New Roman" w:hAnsi="Times New Roman" w:cs="Times New Roman"/>
                <w:sz w:val="20"/>
                <w:szCs w:val="22"/>
                <w:lang w:val="sq-AL"/>
              </w:rPr>
              <w:t>Produkti</w:t>
            </w:r>
          </w:p>
        </w:tc>
        <w:tc>
          <w:tcPr>
            <w:tcW w:w="1980" w:type="dxa"/>
            <w:shd w:val="clear" w:color="auto" w:fill="auto"/>
            <w:tcMar>
              <w:top w:w="15" w:type="dxa"/>
              <w:left w:w="75" w:type="dxa"/>
              <w:bottom w:w="15" w:type="dxa"/>
              <w:right w:w="75" w:type="dxa"/>
            </w:tcMar>
          </w:tcPr>
          <w:p w14:paraId="5162E4D7" w14:textId="31EFC909" w:rsidR="00972BC3" w:rsidRPr="00B222B9" w:rsidRDefault="00DC4334" w:rsidP="00972BC3">
            <w:pPr>
              <w:jc w:val="both"/>
              <w:rPr>
                <w:rFonts w:ascii="Times New Roman" w:eastAsia="Times New Roman" w:hAnsi="Times New Roman" w:cs="Times New Roman"/>
                <w:sz w:val="20"/>
                <w:szCs w:val="24"/>
              </w:rPr>
            </w:pPr>
            <w:r w:rsidRPr="00B222B9">
              <w:rPr>
                <w:rFonts w:ascii="Times New Roman" w:eastAsia="Times New Roman" w:hAnsi="Times New Roman" w:cs="Times New Roman"/>
                <w:sz w:val="20"/>
                <w:szCs w:val="24"/>
              </w:rPr>
              <w:t>5.3.1 Numri i drejtuesve të mesëm dhe të lartë të trajnuar për tranzicionin ekologjik</w:t>
            </w:r>
            <w:r w:rsidR="00972BC3" w:rsidRPr="00B222B9">
              <w:rPr>
                <w:rFonts w:ascii="Times New Roman" w:eastAsia="Times New Roman" w:hAnsi="Times New Roman" w:cs="Times New Roman"/>
                <w:sz w:val="20"/>
                <w:szCs w:val="24"/>
              </w:rPr>
              <w:t xml:space="preserve">. </w:t>
            </w:r>
          </w:p>
          <w:p w14:paraId="1CFA7442" w14:textId="77777777" w:rsidR="00972BC3" w:rsidRPr="00B222B9" w:rsidRDefault="00972BC3" w:rsidP="00972BC3">
            <w:pPr>
              <w:spacing w:line="276" w:lineRule="auto"/>
              <w:rPr>
                <w:rFonts w:ascii="Times New Roman" w:hAnsi="Times New Roman" w:cs="Times New Roman"/>
                <w:sz w:val="20"/>
                <w:szCs w:val="22"/>
                <w:lang w:val="it-IT"/>
              </w:rPr>
            </w:pPr>
          </w:p>
        </w:tc>
        <w:tc>
          <w:tcPr>
            <w:tcW w:w="2160" w:type="dxa"/>
            <w:shd w:val="clear" w:color="auto" w:fill="auto"/>
          </w:tcPr>
          <w:p w14:paraId="4F4AC15F" w14:textId="761261D3" w:rsidR="00972BC3" w:rsidRPr="00B222B9" w:rsidRDefault="00972BC3" w:rsidP="00972BC3">
            <w:pPr>
              <w:spacing w:line="276" w:lineRule="auto"/>
              <w:rPr>
                <w:rFonts w:ascii="Times New Roman" w:eastAsia="Arial" w:hAnsi="Times New Roman" w:cs="Times New Roman"/>
                <w:sz w:val="20"/>
                <w:szCs w:val="22"/>
                <w:lang w:val="it-IT"/>
              </w:rPr>
            </w:pPr>
            <w:r w:rsidRPr="00B222B9">
              <w:rPr>
                <w:rFonts w:ascii="Times New Roman" w:eastAsia="Arial" w:hAnsi="Times New Roman" w:cs="Times New Roman"/>
                <w:sz w:val="20"/>
                <w:szCs w:val="22"/>
                <w:lang w:val="it-IT"/>
              </w:rPr>
              <w:t>Administrata e Gjelb</w:t>
            </w:r>
            <w:r w:rsidR="00641640" w:rsidRPr="00B222B9">
              <w:rPr>
                <w:rFonts w:ascii="Times New Roman" w:eastAsia="Arial" w:hAnsi="Times New Roman" w:cs="Times New Roman"/>
                <w:sz w:val="20"/>
                <w:szCs w:val="22"/>
                <w:lang w:val="it-IT"/>
              </w:rPr>
              <w:t>ë</w:t>
            </w:r>
            <w:r w:rsidRPr="00B222B9">
              <w:rPr>
                <w:rFonts w:ascii="Times New Roman" w:eastAsia="Arial" w:hAnsi="Times New Roman" w:cs="Times New Roman"/>
                <w:sz w:val="20"/>
                <w:szCs w:val="22"/>
                <w:lang w:val="it-IT"/>
              </w:rPr>
              <w:t>r</w:t>
            </w:r>
          </w:p>
        </w:tc>
        <w:tc>
          <w:tcPr>
            <w:tcW w:w="2340" w:type="dxa"/>
            <w:shd w:val="clear" w:color="auto" w:fill="auto"/>
          </w:tcPr>
          <w:p w14:paraId="01E9389A" w14:textId="60868024" w:rsidR="00972BC3" w:rsidRPr="00B222B9" w:rsidRDefault="00706D8B" w:rsidP="00972BC3">
            <w:pPr>
              <w:spacing w:line="276" w:lineRule="auto"/>
              <w:rPr>
                <w:rFonts w:ascii="Times New Roman" w:eastAsia="Arial" w:hAnsi="Times New Roman" w:cs="Times New Roman"/>
                <w:sz w:val="20"/>
                <w:szCs w:val="22"/>
                <w:lang w:val="it-IT"/>
              </w:rPr>
            </w:pPr>
            <w:r w:rsidRPr="00B222B9">
              <w:rPr>
                <w:rFonts w:ascii="Times New Roman" w:eastAsia="Times New Roman" w:hAnsi="Times New Roman" w:cs="Times New Roman"/>
                <w:sz w:val="20"/>
                <w:szCs w:val="24"/>
              </w:rPr>
              <w:t xml:space="preserve">5.3 </w:t>
            </w:r>
            <w:r w:rsidR="00972BC3" w:rsidRPr="00B222B9">
              <w:rPr>
                <w:rFonts w:ascii="Times New Roman" w:eastAsia="Times New Roman" w:hAnsi="Times New Roman" w:cs="Times New Roman"/>
                <w:sz w:val="20"/>
                <w:szCs w:val="24"/>
              </w:rPr>
              <w:t>Transformimi i kapitalit njerëzor të sektorit publik për tranzicionin ekologjik</w:t>
            </w:r>
          </w:p>
        </w:tc>
        <w:tc>
          <w:tcPr>
            <w:tcW w:w="1890" w:type="dxa"/>
            <w:shd w:val="clear" w:color="auto" w:fill="auto"/>
            <w:tcMar>
              <w:top w:w="15" w:type="dxa"/>
              <w:left w:w="75" w:type="dxa"/>
              <w:bottom w:w="15" w:type="dxa"/>
              <w:right w:w="75" w:type="dxa"/>
            </w:tcMar>
          </w:tcPr>
          <w:p w14:paraId="6B2D0C50" w14:textId="742C527C" w:rsidR="00972BC3" w:rsidRPr="00B222B9" w:rsidRDefault="00972BC3" w:rsidP="00972BC3">
            <w:pPr>
              <w:spacing w:line="276" w:lineRule="auto"/>
              <w:jc w:val="center"/>
              <w:rPr>
                <w:rFonts w:ascii="Times New Roman" w:eastAsia="Arial" w:hAnsi="Times New Roman" w:cs="Times New Roman"/>
                <w:sz w:val="20"/>
                <w:szCs w:val="22"/>
                <w:lang w:val="it-IT"/>
              </w:rPr>
            </w:pPr>
            <w:r w:rsidRPr="00B222B9">
              <w:rPr>
                <w:rFonts w:ascii="Times New Roman" w:eastAsia="Arial" w:hAnsi="Times New Roman" w:cs="Times New Roman"/>
                <w:sz w:val="20"/>
                <w:szCs w:val="22"/>
                <w:lang w:val="it-IT"/>
              </w:rPr>
              <w:t>ASPA</w:t>
            </w:r>
          </w:p>
        </w:tc>
      </w:tr>
    </w:tbl>
    <w:p w14:paraId="246048D4" w14:textId="77777777" w:rsidR="00802A44" w:rsidRPr="00641640" w:rsidRDefault="00802A44" w:rsidP="00802A44">
      <w:pPr>
        <w:spacing w:after="0" w:line="240" w:lineRule="auto"/>
        <w:jc w:val="both"/>
        <w:rPr>
          <w:rFonts w:ascii="Times New Roman" w:eastAsia="Times New Roman" w:hAnsi="Times New Roman" w:cs="Times New Roman"/>
          <w:sz w:val="24"/>
          <w:szCs w:val="24"/>
        </w:rPr>
      </w:pPr>
    </w:p>
    <w:p w14:paraId="1A352831" w14:textId="74CA01B5" w:rsidR="007E22D8" w:rsidRDefault="007E22D8" w:rsidP="00802A44">
      <w:pPr>
        <w:spacing w:after="0" w:line="240" w:lineRule="auto"/>
        <w:jc w:val="both"/>
        <w:rPr>
          <w:rFonts w:ascii="Times New Roman" w:eastAsia="Times New Roman" w:hAnsi="Times New Roman" w:cs="Times New Roman"/>
          <w:sz w:val="24"/>
          <w:szCs w:val="24"/>
        </w:rPr>
      </w:pPr>
    </w:p>
    <w:p w14:paraId="04B0850D" w14:textId="77777777" w:rsidR="00B222B9" w:rsidRDefault="00B222B9" w:rsidP="00802A44">
      <w:pPr>
        <w:spacing w:after="0" w:line="240" w:lineRule="auto"/>
        <w:jc w:val="both"/>
        <w:rPr>
          <w:rFonts w:ascii="Times New Roman" w:eastAsia="Times New Roman" w:hAnsi="Times New Roman" w:cs="Times New Roman"/>
          <w:sz w:val="24"/>
          <w:szCs w:val="24"/>
        </w:rPr>
      </w:pPr>
    </w:p>
    <w:p w14:paraId="6E30C5DD" w14:textId="291418FD" w:rsidR="00A73BCF" w:rsidRPr="001B59D5" w:rsidRDefault="00A73BCF" w:rsidP="00041BCF">
      <w:pPr>
        <w:pStyle w:val="T-normal"/>
        <w:spacing w:after="240" w:line="276" w:lineRule="auto"/>
        <w:jc w:val="both"/>
        <w:rPr>
          <w:rFonts w:ascii="Times New Roman" w:eastAsia="Times New Roman" w:hAnsi="Times New Roman" w:cs="Times New Roman"/>
          <w:b/>
          <w:i/>
          <w:sz w:val="24"/>
          <w:szCs w:val="24"/>
        </w:rPr>
      </w:pPr>
      <w:r w:rsidRPr="001B59D5">
        <w:rPr>
          <w:rFonts w:ascii="Times New Roman" w:hAnsi="Times New Roman" w:cs="Times New Roman"/>
          <w:b/>
          <w:bCs/>
          <w:i/>
          <w:iCs/>
          <w:sz w:val="24"/>
          <w:szCs w:val="24"/>
          <w:lang w:val="sq-AL"/>
        </w:rPr>
        <w:lastRenderedPageBreak/>
        <w:t xml:space="preserve">Komponenti 5.4: </w:t>
      </w:r>
      <w:r w:rsidRPr="001B59D5">
        <w:rPr>
          <w:rFonts w:ascii="Times New Roman" w:hAnsi="Times New Roman" w:cs="Times New Roman"/>
          <w:b/>
          <w:i/>
          <w:sz w:val="24"/>
          <w:szCs w:val="24"/>
          <w:lang w:val="en-GB"/>
        </w:rPr>
        <w:t>Gjelbërimi</w:t>
      </w:r>
      <w:r w:rsidR="001B59D5" w:rsidRPr="001B59D5">
        <w:rPr>
          <w:rFonts w:ascii="Times New Roman" w:eastAsia="Times New Roman" w:hAnsi="Times New Roman" w:cs="Times New Roman"/>
          <w:b/>
          <w:i/>
          <w:sz w:val="24"/>
          <w:szCs w:val="24"/>
        </w:rPr>
        <w:t xml:space="preserve"> i prokurimit dhe veprimtarisë të përditshme publike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4E4"/>
        <w:tblLook w:val="04A0" w:firstRow="1" w:lastRow="0" w:firstColumn="1" w:lastColumn="0" w:noHBand="0" w:noVBand="1"/>
      </w:tblPr>
      <w:tblGrid>
        <w:gridCol w:w="535"/>
        <w:gridCol w:w="8815"/>
      </w:tblGrid>
      <w:tr w:rsidR="00A73BCF" w:rsidRPr="00641640" w14:paraId="0B63C954" w14:textId="77777777" w:rsidTr="00EF7B8D">
        <w:tc>
          <w:tcPr>
            <w:tcW w:w="535" w:type="dxa"/>
            <w:shd w:val="clear" w:color="auto" w:fill="EAF4E4"/>
          </w:tcPr>
          <w:p w14:paraId="21D48FF6" w14:textId="45E54FBE" w:rsidR="00A73BCF" w:rsidRPr="00CA378E" w:rsidRDefault="00A73BCF" w:rsidP="00EF7B8D">
            <w:pPr>
              <w:spacing w:line="276" w:lineRule="auto"/>
              <w:jc w:val="both"/>
              <w:rPr>
                <w:rFonts w:ascii="Times New Roman" w:hAnsi="Times New Roman" w:cs="Times New Roman"/>
                <w:b/>
                <w:bCs/>
                <w:color w:val="003300"/>
                <w:sz w:val="24"/>
                <w:szCs w:val="24"/>
                <w:lang w:val="sq-AL"/>
              </w:rPr>
            </w:pPr>
            <w:r w:rsidRPr="00CA378E">
              <w:rPr>
                <w:rFonts w:ascii="Times New Roman" w:hAnsi="Times New Roman" w:cs="Times New Roman"/>
                <w:b/>
                <w:bCs/>
                <w:color w:val="003300"/>
                <w:sz w:val="24"/>
                <w:szCs w:val="24"/>
                <w:lang w:val="sq-AL"/>
              </w:rPr>
              <w:t>5.</w:t>
            </w:r>
            <w:r>
              <w:rPr>
                <w:rFonts w:ascii="Times New Roman" w:hAnsi="Times New Roman" w:cs="Times New Roman"/>
                <w:b/>
                <w:bCs/>
                <w:color w:val="003300"/>
                <w:sz w:val="24"/>
                <w:szCs w:val="24"/>
                <w:lang w:val="sq-AL"/>
              </w:rPr>
              <w:t>4</w:t>
            </w:r>
          </w:p>
        </w:tc>
        <w:tc>
          <w:tcPr>
            <w:tcW w:w="8815" w:type="dxa"/>
            <w:shd w:val="clear" w:color="auto" w:fill="EAF4E4"/>
          </w:tcPr>
          <w:p w14:paraId="72A3A7A8" w14:textId="79AC02A0" w:rsidR="00A73BCF" w:rsidRPr="00CA378E" w:rsidRDefault="00A73BCF" w:rsidP="00EF7B8D">
            <w:pPr>
              <w:spacing w:line="276" w:lineRule="auto"/>
              <w:jc w:val="both"/>
              <w:rPr>
                <w:rFonts w:ascii="Times New Roman" w:hAnsi="Times New Roman" w:cs="Times New Roman"/>
                <w:b/>
                <w:bCs/>
                <w:color w:val="003300"/>
                <w:sz w:val="24"/>
                <w:szCs w:val="24"/>
                <w:lang w:val="sq-AL"/>
              </w:rPr>
            </w:pPr>
            <w:r w:rsidRPr="00CA378E">
              <w:rPr>
                <w:rFonts w:ascii="Times New Roman" w:hAnsi="Times New Roman" w:cs="Times New Roman"/>
                <w:b/>
                <w:bCs/>
                <w:color w:val="003300"/>
                <w:sz w:val="24"/>
                <w:szCs w:val="24"/>
                <w:lang w:val="sq-AL"/>
              </w:rPr>
              <w:t xml:space="preserve">Objektivi </w:t>
            </w:r>
            <w:r w:rsidRPr="00A73BCF">
              <w:rPr>
                <w:rFonts w:ascii="Times New Roman" w:hAnsi="Times New Roman" w:cs="Times New Roman"/>
                <w:b/>
                <w:bCs/>
                <w:color w:val="003300"/>
                <w:sz w:val="24"/>
                <w:szCs w:val="24"/>
                <w:lang w:val="sq-AL"/>
              </w:rPr>
              <w:t xml:space="preserve">specifik 5.4: </w:t>
            </w:r>
            <w:r w:rsidRPr="00A73BCF">
              <w:rPr>
                <w:rStyle w:val="Strong"/>
                <w:rFonts w:ascii="Times New Roman" w:hAnsi="Times New Roman" w:cs="Times New Roman"/>
                <w:color w:val="003300"/>
                <w:sz w:val="24"/>
                <w:szCs w:val="24"/>
              </w:rPr>
              <w:t>Përshpejtimi i prokurimit të gjelbër publik dhe zbatimi i parimeve të ekonomisë qarkulluese</w:t>
            </w:r>
          </w:p>
        </w:tc>
      </w:tr>
    </w:tbl>
    <w:p w14:paraId="43EA8E3E" w14:textId="77777777" w:rsidR="00A73BCF" w:rsidRPr="00641640" w:rsidRDefault="00A73BCF" w:rsidP="00802A44">
      <w:pPr>
        <w:spacing w:after="0" w:line="240" w:lineRule="auto"/>
        <w:jc w:val="both"/>
        <w:rPr>
          <w:rFonts w:ascii="Times New Roman" w:eastAsia="Times New Roman" w:hAnsi="Times New Roman" w:cs="Times New Roman"/>
          <w:sz w:val="24"/>
          <w:szCs w:val="24"/>
        </w:rPr>
      </w:pPr>
    </w:p>
    <w:p w14:paraId="74549807" w14:textId="77777777" w:rsidR="00802A44" w:rsidRPr="00641640" w:rsidRDefault="00802A44" w:rsidP="00802A44">
      <w:pPr>
        <w:pStyle w:val="Heading4"/>
        <w:jc w:val="both"/>
        <w:rPr>
          <w:rFonts w:ascii="Times New Roman" w:hAnsi="Times New Roman" w:cs="Times New Roman"/>
          <w:i/>
          <w:color w:val="auto"/>
          <w:sz w:val="24"/>
          <w:szCs w:val="24"/>
        </w:rPr>
      </w:pPr>
      <w:r w:rsidRPr="00641640">
        <w:rPr>
          <w:rStyle w:val="Strong"/>
          <w:rFonts w:ascii="Times New Roman" w:hAnsi="Times New Roman" w:cs="Times New Roman"/>
          <w:color w:val="auto"/>
          <w:sz w:val="24"/>
          <w:szCs w:val="24"/>
        </w:rPr>
        <w:t>Prioritetet</w:t>
      </w:r>
    </w:p>
    <w:p w14:paraId="6C593588" w14:textId="50832663" w:rsidR="00802A44" w:rsidRPr="00641640" w:rsidRDefault="00802A44" w:rsidP="00802A44">
      <w:pPr>
        <w:spacing w:before="100" w:beforeAutospacing="1" w:after="100" w:afterAutospacing="1"/>
        <w:jc w:val="both"/>
        <w:rPr>
          <w:rFonts w:ascii="Times New Roman" w:hAnsi="Times New Roman" w:cs="Times New Roman"/>
          <w:sz w:val="24"/>
          <w:szCs w:val="24"/>
        </w:rPr>
      </w:pPr>
      <w:r w:rsidRPr="00641640">
        <w:rPr>
          <w:rFonts w:ascii="Times New Roman" w:hAnsi="Times New Roman" w:cs="Times New Roman"/>
          <w:sz w:val="24"/>
          <w:szCs w:val="24"/>
        </w:rPr>
        <w:t xml:space="preserve">Si një konsumator i madh, administrata publike ka si </w:t>
      </w:r>
      <w:r w:rsidRPr="00641640">
        <w:rPr>
          <w:rStyle w:val="Strong"/>
          <w:rFonts w:ascii="Times New Roman" w:hAnsi="Times New Roman" w:cs="Times New Roman"/>
          <w:b w:val="0"/>
          <w:sz w:val="24"/>
          <w:szCs w:val="24"/>
        </w:rPr>
        <w:t>mundësinë</w:t>
      </w:r>
      <w:r w:rsidRPr="00641640">
        <w:rPr>
          <w:rFonts w:ascii="Times New Roman" w:hAnsi="Times New Roman" w:cs="Times New Roman"/>
          <w:b/>
          <w:sz w:val="24"/>
          <w:szCs w:val="24"/>
        </w:rPr>
        <w:t xml:space="preserve"> </w:t>
      </w:r>
      <w:r w:rsidRPr="00641640">
        <w:rPr>
          <w:rFonts w:ascii="Times New Roman" w:hAnsi="Times New Roman" w:cs="Times New Roman"/>
          <w:sz w:val="24"/>
          <w:szCs w:val="24"/>
        </w:rPr>
        <w:t xml:space="preserve">ashtu edhe </w:t>
      </w:r>
      <w:r w:rsidRPr="00641640">
        <w:rPr>
          <w:rStyle w:val="Strong"/>
          <w:rFonts w:ascii="Times New Roman" w:hAnsi="Times New Roman" w:cs="Times New Roman"/>
          <w:b w:val="0"/>
          <w:sz w:val="24"/>
          <w:szCs w:val="24"/>
        </w:rPr>
        <w:t>përgjegjësinë</w:t>
      </w:r>
      <w:r w:rsidRPr="00641640">
        <w:rPr>
          <w:rFonts w:ascii="Times New Roman" w:hAnsi="Times New Roman" w:cs="Times New Roman"/>
          <w:b/>
          <w:sz w:val="24"/>
          <w:szCs w:val="24"/>
        </w:rPr>
        <w:t xml:space="preserve"> </w:t>
      </w:r>
      <w:r w:rsidRPr="00641640">
        <w:rPr>
          <w:rFonts w:ascii="Times New Roman" w:hAnsi="Times New Roman" w:cs="Times New Roman"/>
          <w:sz w:val="24"/>
          <w:szCs w:val="24"/>
        </w:rPr>
        <w:t>për të nxitur tregjet e q</w:t>
      </w:r>
      <w:r w:rsidR="00F34210">
        <w:rPr>
          <w:rFonts w:ascii="Times New Roman" w:hAnsi="Times New Roman" w:cs="Times New Roman"/>
          <w:sz w:val="24"/>
          <w:szCs w:val="24"/>
        </w:rPr>
        <w:t>e</w:t>
      </w:r>
      <w:r w:rsidRPr="00641640">
        <w:rPr>
          <w:rFonts w:ascii="Times New Roman" w:hAnsi="Times New Roman" w:cs="Times New Roman"/>
          <w:sz w:val="24"/>
          <w:szCs w:val="24"/>
        </w:rPr>
        <w:t>ndrueshme përmes praktikave të prokurimit të gjelbër. Institucionet publike duhet të udhëheqin me shembull duke integruar kritere mjedisore në vendimmarrjen për prokurimet dhe në operacionet e përditshme, duke mbështetur kështu kalimin drejt një ekonomie qarkulluese.</w:t>
      </w:r>
    </w:p>
    <w:p w14:paraId="35679F50" w14:textId="264BBD4A" w:rsidR="00802A44" w:rsidRPr="00641640" w:rsidRDefault="00802A44" w:rsidP="00802A44">
      <w:pPr>
        <w:spacing w:before="100" w:beforeAutospacing="1" w:after="100" w:afterAutospacing="1"/>
        <w:jc w:val="both"/>
        <w:rPr>
          <w:rFonts w:ascii="Times New Roman" w:hAnsi="Times New Roman" w:cs="Times New Roman"/>
          <w:sz w:val="24"/>
          <w:szCs w:val="24"/>
        </w:rPr>
      </w:pPr>
      <w:r w:rsidRPr="00641640">
        <w:rPr>
          <w:rFonts w:ascii="Times New Roman" w:hAnsi="Times New Roman" w:cs="Times New Roman"/>
          <w:sz w:val="24"/>
          <w:szCs w:val="24"/>
        </w:rPr>
        <w:t xml:space="preserve">Ky objektiv synon të sigurojë që të gjitha procedurat e prokurimit publik të përfshijnë </w:t>
      </w:r>
      <w:r w:rsidR="00641640" w:rsidRPr="00641640">
        <w:rPr>
          <w:rStyle w:val="Strong"/>
          <w:rFonts w:ascii="Times New Roman" w:hAnsi="Times New Roman" w:cs="Times New Roman"/>
          <w:b w:val="0"/>
          <w:sz w:val="24"/>
          <w:szCs w:val="24"/>
        </w:rPr>
        <w:t>standarde të qarta mjedisore</w:t>
      </w:r>
      <w:r w:rsidR="00641640" w:rsidRPr="00F34210">
        <w:rPr>
          <w:rFonts w:ascii="Times New Roman" w:hAnsi="Times New Roman" w:cs="Times New Roman"/>
          <w:bCs/>
          <w:sz w:val="24"/>
          <w:szCs w:val="24"/>
        </w:rPr>
        <w:t xml:space="preserve">, </w:t>
      </w:r>
      <w:r w:rsidRPr="00641640">
        <w:rPr>
          <w:rFonts w:ascii="Times New Roman" w:hAnsi="Times New Roman" w:cs="Times New Roman"/>
          <w:sz w:val="24"/>
          <w:szCs w:val="24"/>
        </w:rPr>
        <w:t xml:space="preserve">duke u dhënë përparësi produkteve dhe shërbimeve të certifikuara me etiketa ekologjike dhe që kanë ndikim minimal në mjedis. </w:t>
      </w:r>
    </w:p>
    <w:p w14:paraId="282429E1" w14:textId="01DFA2F9" w:rsidR="00972BC3" w:rsidRPr="00641640" w:rsidRDefault="00972BC3" w:rsidP="00972BC3">
      <w:pPr>
        <w:spacing w:before="100" w:beforeAutospacing="1" w:after="100" w:afterAutospacing="1"/>
        <w:jc w:val="both"/>
        <w:rPr>
          <w:rFonts w:ascii="Times New Roman" w:hAnsi="Times New Roman" w:cs="Times New Roman"/>
          <w:sz w:val="24"/>
          <w:szCs w:val="24"/>
        </w:rPr>
      </w:pPr>
      <w:r w:rsidRPr="00641640">
        <w:rPr>
          <w:rFonts w:ascii="Times New Roman" w:hAnsi="Times New Roman" w:cs="Times New Roman"/>
          <w:sz w:val="24"/>
          <w:szCs w:val="24"/>
        </w:rPr>
        <w:t>Në VKM 285/2021 “</w:t>
      </w:r>
      <w:r w:rsidRPr="00C71807">
        <w:rPr>
          <w:rFonts w:ascii="Times New Roman" w:hAnsi="Times New Roman" w:cs="Times New Roman"/>
          <w:i/>
          <w:iCs/>
          <w:sz w:val="24"/>
          <w:szCs w:val="24"/>
        </w:rPr>
        <w:t>Për miratimin e rregullave të prokurimit publik</w:t>
      </w:r>
      <w:r w:rsidRPr="00641640">
        <w:rPr>
          <w:rFonts w:ascii="Times New Roman" w:hAnsi="Times New Roman" w:cs="Times New Roman"/>
          <w:sz w:val="24"/>
          <w:szCs w:val="24"/>
        </w:rPr>
        <w:t>” i ndryshuar, në nenin 25 parashikohet detyrimi që kanë autoritetet/entet kontraktore që në hartimin e kritereve të veçanta të kualifikimit si edhe në hartimin e specifikimeve teknike, të zbatojnë, përveç rregullave për prokurimin publik, edhe kërkesat minimale të performancës së energjisë, parashikimet për përdorimin e etiketave për produktet me ndikim në energji; Specifikimet teknike për produkte të caktuara me qëllim përmirësimin e performancës energjetike dhe uljen e ndikimit në mjedis apo parashikime që burojnë nga legjislacioni mjedisor, energjetik, social dhe i punës.</w:t>
      </w:r>
    </w:p>
    <w:p w14:paraId="6357921B" w14:textId="2B7C845D" w:rsidR="00802A44" w:rsidRPr="00641640" w:rsidRDefault="00802A44" w:rsidP="00802A44">
      <w:pPr>
        <w:spacing w:before="100" w:beforeAutospacing="1" w:after="100" w:afterAutospacing="1"/>
        <w:jc w:val="both"/>
        <w:rPr>
          <w:rFonts w:ascii="Times New Roman" w:hAnsi="Times New Roman" w:cs="Times New Roman"/>
          <w:b/>
          <w:sz w:val="24"/>
          <w:szCs w:val="24"/>
        </w:rPr>
      </w:pPr>
      <w:r w:rsidRPr="00641640">
        <w:rPr>
          <w:rFonts w:ascii="Times New Roman" w:hAnsi="Times New Roman" w:cs="Times New Roman"/>
          <w:sz w:val="24"/>
          <w:szCs w:val="24"/>
        </w:rPr>
        <w:t xml:space="preserve">Paralelisht, do të </w:t>
      </w:r>
      <w:r w:rsidR="00641640" w:rsidRPr="00641640">
        <w:rPr>
          <w:rFonts w:ascii="Times New Roman" w:hAnsi="Times New Roman" w:cs="Times New Roman"/>
          <w:sz w:val="24"/>
          <w:szCs w:val="24"/>
        </w:rPr>
        <w:t xml:space="preserve">krijohet një skemë certifikimi për “Zyrat e Gjelbra”, e cila do </w:t>
      </w:r>
      <w:r w:rsidRPr="00641640">
        <w:rPr>
          <w:rFonts w:ascii="Times New Roman" w:hAnsi="Times New Roman" w:cs="Times New Roman"/>
          <w:sz w:val="24"/>
          <w:szCs w:val="24"/>
        </w:rPr>
        <w:t xml:space="preserve">të certifikojë institucionet që përmbushin standardet e qëndrueshmërisë. Gjithashtu, do të ngrihen </w:t>
      </w:r>
      <w:r w:rsidRPr="00641640">
        <w:rPr>
          <w:rStyle w:val="Strong"/>
          <w:rFonts w:ascii="Times New Roman" w:hAnsi="Times New Roman" w:cs="Times New Roman"/>
          <w:b w:val="0"/>
          <w:sz w:val="24"/>
          <w:szCs w:val="24"/>
        </w:rPr>
        <w:t xml:space="preserve">qendra për </w:t>
      </w:r>
      <w:r w:rsidR="00641640" w:rsidRPr="00641640">
        <w:rPr>
          <w:rStyle w:val="Strong"/>
          <w:rFonts w:ascii="Times New Roman" w:hAnsi="Times New Roman" w:cs="Times New Roman"/>
          <w:b w:val="0"/>
          <w:sz w:val="24"/>
          <w:szCs w:val="24"/>
        </w:rPr>
        <w:t>ripërdorimin e pajisjeve, me synimin për të zgjatur ciklin e jetës së aseteve publike, për të reduktuar mbetjet dhe për të ulur emetimet. Së bashku, këto veprime do të përputhin praktikat administrative me objektivat e qëndrueshmërisë të Shqipërisë, duke promovuar efikasitetin në përdorimin e burimeve dhe inovacionin në ofrimin e shërbimeve publike.</w:t>
      </w:r>
    </w:p>
    <w:p w14:paraId="7DD67CCF" w14:textId="232049F9" w:rsidR="0028416C" w:rsidRDefault="00972BC3" w:rsidP="00972BC3">
      <w:pPr>
        <w:spacing w:before="100" w:beforeAutospacing="1" w:after="100" w:afterAutospacing="1"/>
        <w:jc w:val="both"/>
        <w:rPr>
          <w:rFonts w:ascii="Times New Roman" w:hAnsi="Times New Roman" w:cs="Times New Roman"/>
          <w:sz w:val="24"/>
          <w:szCs w:val="24"/>
        </w:rPr>
      </w:pPr>
      <w:r w:rsidRPr="00641640">
        <w:rPr>
          <w:rFonts w:ascii="Times New Roman" w:hAnsi="Times New Roman" w:cs="Times New Roman"/>
          <w:sz w:val="24"/>
          <w:szCs w:val="24"/>
        </w:rPr>
        <w:t xml:space="preserve">Për të siguruar harmonizimin e standardeve kombëtare me praktikat më të mira ndërkombëtare, do të ndërmerren hapa për përputhjen e kritereve të prokurimit të gjelbër me kërkesat dhe udhëzimet e institucioneve financiare ndërkombëtare dhe partnerëve donatorë. Kjo do të lehtësojë qasjen në financime </w:t>
      </w:r>
      <w:r w:rsidRPr="00955906">
        <w:rPr>
          <w:rFonts w:ascii="Times New Roman" w:hAnsi="Times New Roman" w:cs="Times New Roman"/>
          <w:sz w:val="24"/>
          <w:szCs w:val="24"/>
        </w:rPr>
        <w:t>ndërkombëtare, do të rrisë integritetin mjedisor të projekteve publike dhe do të mbështesë objektivat e qëndrueshmërisë në përputhje me agjendat globale të klimës dhe mjedisit.</w:t>
      </w:r>
    </w:p>
    <w:p w14:paraId="4DAC80B9" w14:textId="21779C32" w:rsidR="000176DA" w:rsidRDefault="000176DA" w:rsidP="000176DA">
      <w:pPr>
        <w:spacing w:before="100" w:beforeAutospacing="1" w:after="0"/>
        <w:jc w:val="both"/>
        <w:rPr>
          <w:rFonts w:ascii="Times New Roman" w:hAnsi="Times New Roman" w:cs="Times New Roman"/>
          <w:sz w:val="24"/>
          <w:szCs w:val="24"/>
        </w:rPr>
      </w:pPr>
    </w:p>
    <w:p w14:paraId="04AFEA9B" w14:textId="77777777" w:rsidR="00B222B9" w:rsidRPr="00955906" w:rsidRDefault="00B222B9" w:rsidP="000176DA">
      <w:pPr>
        <w:spacing w:before="100" w:beforeAutospacing="1" w:after="0"/>
        <w:jc w:val="both"/>
        <w:rPr>
          <w:rFonts w:ascii="Times New Roman" w:hAnsi="Times New Roman" w:cs="Times New Roman"/>
          <w:sz w:val="24"/>
          <w:szCs w:val="24"/>
        </w:rPr>
      </w:pPr>
    </w:p>
    <w:p w14:paraId="05392FB4" w14:textId="77777777" w:rsidR="001A2F01" w:rsidRPr="00955906" w:rsidRDefault="001A2F01" w:rsidP="001A2F01">
      <w:pPr>
        <w:spacing w:line="276" w:lineRule="auto"/>
        <w:jc w:val="both"/>
        <w:rPr>
          <w:rFonts w:ascii="Times New Roman" w:eastAsia="Times New Roman" w:hAnsi="Times New Roman" w:cs="Times New Roman"/>
          <w:b/>
          <w:bCs/>
          <w:sz w:val="24"/>
          <w:szCs w:val="24"/>
          <w:lang w:val="sq-AL"/>
        </w:rPr>
      </w:pPr>
      <w:r w:rsidRPr="00955906">
        <w:rPr>
          <w:rFonts w:ascii="Times New Roman" w:eastAsia="Times New Roman" w:hAnsi="Times New Roman" w:cs="Times New Roman"/>
          <w:b/>
          <w:bCs/>
          <w:sz w:val="24"/>
          <w:szCs w:val="24"/>
          <w:lang w:val="sq-AL"/>
        </w:rPr>
        <w:t>Rezultatet e pritshme nga zbatimi i masave që lidhen me Objektivin Specifik</w:t>
      </w:r>
    </w:p>
    <w:p w14:paraId="7DE7C02A" w14:textId="6C12A1EE" w:rsidR="001A2F01" w:rsidRPr="00955906" w:rsidRDefault="001A2F01" w:rsidP="001A2F01">
      <w:pPr>
        <w:spacing w:line="276" w:lineRule="auto"/>
        <w:jc w:val="both"/>
        <w:rPr>
          <w:rFonts w:ascii="Times New Roman" w:eastAsia="Times New Roman" w:hAnsi="Times New Roman" w:cs="Times New Roman"/>
          <w:sz w:val="24"/>
          <w:szCs w:val="24"/>
          <w:lang w:val="sq-AL"/>
        </w:rPr>
      </w:pPr>
      <w:r w:rsidRPr="00955906">
        <w:rPr>
          <w:rFonts w:ascii="Times New Roman" w:eastAsia="Times New Roman" w:hAnsi="Times New Roman" w:cs="Times New Roman"/>
          <w:sz w:val="24"/>
          <w:szCs w:val="24"/>
          <w:lang w:val="sq-AL"/>
        </w:rPr>
        <w:t>Objektivi Specifik 5.</w:t>
      </w:r>
      <w:r w:rsidR="000532DB" w:rsidRPr="00955906">
        <w:rPr>
          <w:rFonts w:ascii="Times New Roman" w:eastAsia="Times New Roman" w:hAnsi="Times New Roman" w:cs="Times New Roman"/>
          <w:sz w:val="24"/>
          <w:szCs w:val="24"/>
          <w:lang w:val="sq-AL"/>
        </w:rPr>
        <w:t>4</w:t>
      </w:r>
      <w:r w:rsidRPr="00955906">
        <w:rPr>
          <w:rFonts w:ascii="Times New Roman" w:eastAsia="Times New Roman" w:hAnsi="Times New Roman" w:cs="Times New Roman"/>
          <w:sz w:val="24"/>
          <w:szCs w:val="24"/>
          <w:lang w:val="sq-AL"/>
        </w:rPr>
        <w:t xml:space="preserve">, duke patur si synim </w:t>
      </w:r>
      <w:r w:rsidR="006719C6" w:rsidRPr="00955906">
        <w:rPr>
          <w:rFonts w:ascii="Times New Roman" w:eastAsia="Times New Roman" w:hAnsi="Times New Roman" w:cs="Times New Roman"/>
          <w:sz w:val="24"/>
          <w:szCs w:val="24"/>
          <w:lang w:val="sq-AL"/>
        </w:rPr>
        <w:t>prokurimin e gjelb</w:t>
      </w:r>
      <w:r w:rsidR="004A53D0" w:rsidRPr="00955906">
        <w:rPr>
          <w:rFonts w:ascii="Times New Roman" w:eastAsia="Times New Roman" w:hAnsi="Times New Roman" w:cs="Times New Roman"/>
          <w:sz w:val="24"/>
          <w:szCs w:val="24"/>
          <w:lang w:val="sq-AL"/>
        </w:rPr>
        <w:t>ë</w:t>
      </w:r>
      <w:r w:rsidR="006719C6" w:rsidRPr="00955906">
        <w:rPr>
          <w:rFonts w:ascii="Times New Roman" w:eastAsia="Times New Roman" w:hAnsi="Times New Roman" w:cs="Times New Roman"/>
          <w:sz w:val="24"/>
          <w:szCs w:val="24"/>
          <w:lang w:val="sq-AL"/>
        </w:rPr>
        <w:t>r dhe zbatimin e parimeve t</w:t>
      </w:r>
      <w:r w:rsidR="004A53D0" w:rsidRPr="00955906">
        <w:rPr>
          <w:rFonts w:ascii="Times New Roman" w:eastAsia="Times New Roman" w:hAnsi="Times New Roman" w:cs="Times New Roman"/>
          <w:sz w:val="24"/>
          <w:szCs w:val="24"/>
          <w:lang w:val="sq-AL"/>
        </w:rPr>
        <w:t>ë</w:t>
      </w:r>
      <w:r w:rsidR="006719C6" w:rsidRPr="00955906">
        <w:rPr>
          <w:rFonts w:ascii="Times New Roman" w:eastAsia="Times New Roman" w:hAnsi="Times New Roman" w:cs="Times New Roman"/>
          <w:sz w:val="24"/>
          <w:szCs w:val="24"/>
          <w:lang w:val="sq-AL"/>
        </w:rPr>
        <w:t xml:space="preserve"> ekonomis</w:t>
      </w:r>
      <w:r w:rsidR="004A53D0" w:rsidRPr="00955906">
        <w:rPr>
          <w:rFonts w:ascii="Times New Roman" w:eastAsia="Times New Roman" w:hAnsi="Times New Roman" w:cs="Times New Roman"/>
          <w:sz w:val="24"/>
          <w:szCs w:val="24"/>
          <w:lang w:val="sq-AL"/>
        </w:rPr>
        <w:t>ë</w:t>
      </w:r>
      <w:r w:rsidR="006719C6" w:rsidRPr="00955906">
        <w:rPr>
          <w:rFonts w:ascii="Times New Roman" w:eastAsia="Times New Roman" w:hAnsi="Times New Roman" w:cs="Times New Roman"/>
          <w:sz w:val="24"/>
          <w:szCs w:val="24"/>
          <w:lang w:val="sq-AL"/>
        </w:rPr>
        <w:t xml:space="preserve"> qarkulluese</w:t>
      </w:r>
      <w:r w:rsidRPr="00955906">
        <w:rPr>
          <w:rFonts w:ascii="Times New Roman" w:eastAsia="Times New Roman" w:hAnsi="Times New Roman" w:cs="Times New Roman"/>
          <w:sz w:val="24"/>
          <w:szCs w:val="24"/>
          <w:lang w:val="sq-AL"/>
        </w:rPr>
        <w:t>, pritet të ketë këto rezultate:</w:t>
      </w:r>
    </w:p>
    <w:p w14:paraId="3EC3F8CE" w14:textId="56D74E1E" w:rsidR="001A2F01" w:rsidRPr="00955906" w:rsidRDefault="001A2F01" w:rsidP="001A2F01">
      <w:pPr>
        <w:spacing w:line="276" w:lineRule="auto"/>
        <w:jc w:val="both"/>
        <w:rPr>
          <w:rFonts w:ascii="Times New Roman" w:eastAsiaTheme="minorHAnsi" w:hAnsi="Times New Roman" w:cs="Times New Roman"/>
          <w:sz w:val="24"/>
          <w:szCs w:val="24"/>
          <w:lang w:val="it-IT"/>
        </w:rPr>
      </w:pPr>
      <w:r w:rsidRPr="00955906">
        <w:rPr>
          <w:rFonts w:ascii="Times New Roman" w:eastAsia="Times New Roman" w:hAnsi="Times New Roman" w:cs="Times New Roman"/>
          <w:b/>
          <w:bCs/>
          <w:sz w:val="24"/>
          <w:szCs w:val="24"/>
          <w:lang w:val="sq-AL"/>
        </w:rPr>
        <w:t>Rezultati 1:</w:t>
      </w:r>
      <w:r w:rsidRPr="00955906">
        <w:rPr>
          <w:rFonts w:ascii="Times New Roman" w:eastAsia="Times New Roman" w:hAnsi="Times New Roman" w:cs="Times New Roman"/>
          <w:sz w:val="24"/>
          <w:szCs w:val="24"/>
          <w:lang w:val="sq-AL"/>
        </w:rPr>
        <w:t xml:space="preserve"> </w:t>
      </w:r>
      <w:r w:rsidRPr="00955906">
        <w:rPr>
          <w:rFonts w:ascii="Times New Roman" w:hAnsi="Times New Roman" w:cs="Times New Roman"/>
          <w:bCs/>
          <w:sz w:val="24"/>
          <w:szCs w:val="24"/>
          <w:lang w:val="sq-AL"/>
        </w:rPr>
        <w:t>Rritj</w:t>
      </w:r>
      <w:r w:rsidR="008C5D7E" w:rsidRPr="00955906">
        <w:rPr>
          <w:rFonts w:ascii="Times New Roman" w:hAnsi="Times New Roman" w:cs="Times New Roman"/>
          <w:bCs/>
          <w:sz w:val="24"/>
          <w:szCs w:val="24"/>
          <w:lang w:val="sq-AL"/>
        </w:rPr>
        <w:t>en</w:t>
      </w:r>
      <w:r w:rsidRPr="00955906">
        <w:rPr>
          <w:rFonts w:ascii="Times New Roman" w:hAnsi="Times New Roman" w:cs="Times New Roman"/>
          <w:bCs/>
          <w:sz w:val="24"/>
          <w:szCs w:val="24"/>
          <w:lang w:val="sq-AL"/>
        </w:rPr>
        <w:t xml:space="preserve"> e </w:t>
      </w:r>
      <w:r w:rsidR="00F328E7" w:rsidRPr="00955906">
        <w:rPr>
          <w:rFonts w:ascii="Times New Roman" w:hAnsi="Times New Roman" w:cs="Times New Roman"/>
          <w:bCs/>
          <w:sz w:val="24"/>
          <w:szCs w:val="24"/>
          <w:lang w:val="sq-AL"/>
        </w:rPr>
        <w:t>kapaciteteve institucionale p</w:t>
      </w:r>
      <w:r w:rsidR="004A53D0" w:rsidRPr="00955906">
        <w:rPr>
          <w:rFonts w:ascii="Times New Roman" w:hAnsi="Times New Roman" w:cs="Times New Roman"/>
          <w:bCs/>
          <w:sz w:val="24"/>
          <w:szCs w:val="24"/>
          <w:lang w:val="sq-AL"/>
        </w:rPr>
        <w:t>ë</w:t>
      </w:r>
      <w:r w:rsidR="00F328E7" w:rsidRPr="00955906">
        <w:rPr>
          <w:rFonts w:ascii="Times New Roman" w:hAnsi="Times New Roman" w:cs="Times New Roman"/>
          <w:bCs/>
          <w:sz w:val="24"/>
          <w:szCs w:val="24"/>
          <w:lang w:val="sq-AL"/>
        </w:rPr>
        <w:t>r prokurimet e gjelbra</w:t>
      </w:r>
      <w:r w:rsidR="00B57CBB" w:rsidRPr="00955906">
        <w:rPr>
          <w:rFonts w:ascii="Times New Roman" w:hAnsi="Times New Roman" w:cs="Times New Roman"/>
          <w:bCs/>
          <w:sz w:val="24"/>
          <w:szCs w:val="24"/>
          <w:lang w:val="sq-AL"/>
        </w:rPr>
        <w:t xml:space="preserve"> dhe p</w:t>
      </w:r>
      <w:r w:rsidR="004A53D0" w:rsidRPr="00955906">
        <w:rPr>
          <w:rFonts w:ascii="Times New Roman" w:hAnsi="Times New Roman" w:cs="Times New Roman"/>
          <w:bCs/>
          <w:sz w:val="24"/>
          <w:szCs w:val="24"/>
          <w:lang w:val="sq-AL"/>
        </w:rPr>
        <w:t>ë</w:t>
      </w:r>
      <w:r w:rsidR="00B57CBB" w:rsidRPr="00955906">
        <w:rPr>
          <w:rFonts w:ascii="Times New Roman" w:hAnsi="Times New Roman" w:cs="Times New Roman"/>
          <w:bCs/>
          <w:sz w:val="24"/>
          <w:szCs w:val="24"/>
          <w:lang w:val="sq-AL"/>
        </w:rPr>
        <w:t>rdorimin qarkullues t</w:t>
      </w:r>
      <w:r w:rsidR="004A53D0" w:rsidRPr="00955906">
        <w:rPr>
          <w:rFonts w:ascii="Times New Roman" w:hAnsi="Times New Roman" w:cs="Times New Roman"/>
          <w:bCs/>
          <w:sz w:val="24"/>
          <w:szCs w:val="24"/>
          <w:lang w:val="sq-AL"/>
        </w:rPr>
        <w:t>ë</w:t>
      </w:r>
      <w:r w:rsidR="00B57CBB" w:rsidRPr="00955906">
        <w:rPr>
          <w:rFonts w:ascii="Times New Roman" w:hAnsi="Times New Roman" w:cs="Times New Roman"/>
          <w:bCs/>
          <w:sz w:val="24"/>
          <w:szCs w:val="24"/>
          <w:lang w:val="sq-AL"/>
        </w:rPr>
        <w:t xml:space="preserve"> materialeve n</w:t>
      </w:r>
      <w:r w:rsidR="004A53D0" w:rsidRPr="00955906">
        <w:rPr>
          <w:rFonts w:ascii="Times New Roman" w:hAnsi="Times New Roman" w:cs="Times New Roman"/>
          <w:bCs/>
          <w:sz w:val="24"/>
          <w:szCs w:val="24"/>
          <w:lang w:val="sq-AL"/>
        </w:rPr>
        <w:t>ë</w:t>
      </w:r>
      <w:r w:rsidR="00B57CBB" w:rsidRPr="00955906">
        <w:rPr>
          <w:rFonts w:ascii="Times New Roman" w:hAnsi="Times New Roman" w:cs="Times New Roman"/>
          <w:bCs/>
          <w:sz w:val="24"/>
          <w:szCs w:val="24"/>
          <w:lang w:val="sq-AL"/>
        </w:rPr>
        <w:t xml:space="preserve"> veprimtarin</w:t>
      </w:r>
      <w:r w:rsidR="004A53D0" w:rsidRPr="00955906">
        <w:rPr>
          <w:rFonts w:ascii="Times New Roman" w:hAnsi="Times New Roman" w:cs="Times New Roman"/>
          <w:bCs/>
          <w:sz w:val="24"/>
          <w:szCs w:val="24"/>
          <w:lang w:val="sq-AL"/>
        </w:rPr>
        <w:t>ë</w:t>
      </w:r>
      <w:r w:rsidR="00B57CBB" w:rsidRPr="00955906">
        <w:rPr>
          <w:rFonts w:ascii="Times New Roman" w:hAnsi="Times New Roman" w:cs="Times New Roman"/>
          <w:bCs/>
          <w:sz w:val="24"/>
          <w:szCs w:val="24"/>
          <w:lang w:val="sq-AL"/>
        </w:rPr>
        <w:t xml:space="preserve"> e sektorit publik</w:t>
      </w:r>
      <w:r w:rsidRPr="00955906">
        <w:rPr>
          <w:rFonts w:ascii="Times New Roman" w:hAnsi="Times New Roman" w:cs="Times New Roman"/>
          <w:bCs/>
          <w:sz w:val="24"/>
          <w:szCs w:val="24"/>
          <w:lang w:val="sq-AL"/>
        </w:rPr>
        <w:t>.</w:t>
      </w:r>
    </w:p>
    <w:p w14:paraId="7F2CBFE3" w14:textId="630FAD0F" w:rsidR="001A2F01" w:rsidRPr="00955906" w:rsidRDefault="001A2F01" w:rsidP="001A2F01">
      <w:pPr>
        <w:spacing w:line="276" w:lineRule="auto"/>
        <w:jc w:val="both"/>
        <w:rPr>
          <w:rStyle w:val="Strong"/>
          <w:rFonts w:ascii="Times New Roman" w:eastAsiaTheme="majorEastAsia" w:hAnsi="Times New Roman" w:cs="Times New Roman"/>
          <w:b w:val="0"/>
          <w:bCs w:val="0"/>
          <w:sz w:val="24"/>
          <w:szCs w:val="24"/>
        </w:rPr>
      </w:pPr>
      <w:r w:rsidRPr="00955906">
        <w:rPr>
          <w:rFonts w:ascii="Times New Roman" w:eastAsia="Times New Roman" w:hAnsi="Times New Roman" w:cs="Times New Roman"/>
          <w:b/>
          <w:bCs/>
          <w:sz w:val="24"/>
          <w:szCs w:val="24"/>
          <w:lang w:val="sq-AL"/>
        </w:rPr>
        <w:t>Rezultati 2:</w:t>
      </w:r>
      <w:r w:rsidR="00422AF4" w:rsidRPr="00955906">
        <w:rPr>
          <w:rStyle w:val="Strong"/>
          <w:rFonts w:ascii="Times New Roman" w:eastAsiaTheme="majorEastAsia" w:hAnsi="Times New Roman" w:cs="Times New Roman"/>
          <w:sz w:val="24"/>
          <w:szCs w:val="24"/>
        </w:rPr>
        <w:t xml:space="preserve"> </w:t>
      </w:r>
      <w:r w:rsidR="008C5D7E" w:rsidRPr="00955906">
        <w:rPr>
          <w:rStyle w:val="Strong"/>
          <w:rFonts w:ascii="Times New Roman" w:eastAsiaTheme="majorEastAsia" w:hAnsi="Times New Roman" w:cs="Times New Roman"/>
          <w:b w:val="0"/>
          <w:bCs w:val="0"/>
          <w:sz w:val="24"/>
          <w:szCs w:val="24"/>
        </w:rPr>
        <w:t>Miratimin e paket</w:t>
      </w:r>
      <w:r w:rsidR="004A53D0" w:rsidRPr="00955906">
        <w:rPr>
          <w:rStyle w:val="Strong"/>
          <w:rFonts w:ascii="Times New Roman" w:eastAsiaTheme="majorEastAsia" w:hAnsi="Times New Roman" w:cs="Times New Roman"/>
          <w:b w:val="0"/>
          <w:bCs w:val="0"/>
          <w:sz w:val="24"/>
          <w:szCs w:val="24"/>
        </w:rPr>
        <w:t>ë</w:t>
      </w:r>
      <w:r w:rsidR="008C5D7E" w:rsidRPr="00955906">
        <w:rPr>
          <w:rStyle w:val="Strong"/>
          <w:rFonts w:ascii="Times New Roman" w:eastAsiaTheme="majorEastAsia" w:hAnsi="Times New Roman" w:cs="Times New Roman"/>
          <w:b w:val="0"/>
          <w:bCs w:val="0"/>
          <w:sz w:val="24"/>
          <w:szCs w:val="24"/>
        </w:rPr>
        <w:t>s s</w:t>
      </w:r>
      <w:r w:rsidR="004A53D0" w:rsidRPr="00955906">
        <w:rPr>
          <w:rStyle w:val="Strong"/>
          <w:rFonts w:ascii="Times New Roman" w:eastAsiaTheme="majorEastAsia" w:hAnsi="Times New Roman" w:cs="Times New Roman"/>
          <w:b w:val="0"/>
          <w:bCs w:val="0"/>
          <w:sz w:val="24"/>
          <w:szCs w:val="24"/>
        </w:rPr>
        <w:t>ë</w:t>
      </w:r>
      <w:r w:rsidR="008C5D7E" w:rsidRPr="00955906">
        <w:rPr>
          <w:rStyle w:val="Strong"/>
          <w:rFonts w:ascii="Times New Roman" w:eastAsiaTheme="majorEastAsia" w:hAnsi="Times New Roman" w:cs="Times New Roman"/>
          <w:b w:val="0"/>
          <w:bCs w:val="0"/>
          <w:sz w:val="24"/>
          <w:szCs w:val="24"/>
        </w:rPr>
        <w:t xml:space="preserve"> plot</w:t>
      </w:r>
      <w:r w:rsidR="004A53D0" w:rsidRPr="00955906">
        <w:rPr>
          <w:rStyle w:val="Strong"/>
          <w:rFonts w:ascii="Times New Roman" w:eastAsiaTheme="majorEastAsia" w:hAnsi="Times New Roman" w:cs="Times New Roman"/>
          <w:b w:val="0"/>
          <w:bCs w:val="0"/>
          <w:sz w:val="24"/>
          <w:szCs w:val="24"/>
        </w:rPr>
        <w:t>ë</w:t>
      </w:r>
      <w:r w:rsidR="008C5D7E" w:rsidRPr="00955906">
        <w:rPr>
          <w:rStyle w:val="Strong"/>
          <w:rFonts w:ascii="Times New Roman" w:eastAsiaTheme="majorEastAsia" w:hAnsi="Times New Roman" w:cs="Times New Roman"/>
          <w:b w:val="0"/>
          <w:bCs w:val="0"/>
          <w:sz w:val="24"/>
          <w:szCs w:val="24"/>
        </w:rPr>
        <w:t xml:space="preserve"> n</w:t>
      </w:r>
      <w:r w:rsidR="004A53D0" w:rsidRPr="00955906">
        <w:rPr>
          <w:rStyle w:val="Strong"/>
          <w:rFonts w:ascii="Times New Roman" w:eastAsiaTheme="majorEastAsia" w:hAnsi="Times New Roman" w:cs="Times New Roman"/>
          <w:b w:val="0"/>
          <w:bCs w:val="0"/>
          <w:sz w:val="24"/>
          <w:szCs w:val="24"/>
        </w:rPr>
        <w:t>ë</w:t>
      </w:r>
      <w:r w:rsidR="008C5D7E" w:rsidRPr="00955906">
        <w:rPr>
          <w:rStyle w:val="Strong"/>
          <w:rFonts w:ascii="Times New Roman" w:eastAsiaTheme="majorEastAsia" w:hAnsi="Times New Roman" w:cs="Times New Roman"/>
          <w:b w:val="0"/>
          <w:bCs w:val="0"/>
          <w:sz w:val="24"/>
          <w:szCs w:val="24"/>
        </w:rPr>
        <w:t>nligjore p</w:t>
      </w:r>
      <w:r w:rsidR="004A53D0" w:rsidRPr="00955906">
        <w:rPr>
          <w:rStyle w:val="Strong"/>
          <w:rFonts w:ascii="Times New Roman" w:eastAsiaTheme="majorEastAsia" w:hAnsi="Times New Roman" w:cs="Times New Roman"/>
          <w:b w:val="0"/>
          <w:bCs w:val="0"/>
          <w:sz w:val="24"/>
          <w:szCs w:val="24"/>
        </w:rPr>
        <w:t>ë</w:t>
      </w:r>
      <w:r w:rsidR="008C5D7E" w:rsidRPr="00955906">
        <w:rPr>
          <w:rStyle w:val="Strong"/>
          <w:rFonts w:ascii="Times New Roman" w:eastAsiaTheme="majorEastAsia" w:hAnsi="Times New Roman" w:cs="Times New Roman"/>
          <w:b w:val="0"/>
          <w:bCs w:val="0"/>
          <w:sz w:val="24"/>
          <w:szCs w:val="24"/>
        </w:rPr>
        <w:t xml:space="preserve">r </w:t>
      </w:r>
      <w:r w:rsidR="00DC7A36" w:rsidRPr="00955906">
        <w:rPr>
          <w:rStyle w:val="Strong"/>
          <w:rFonts w:ascii="Times New Roman" w:eastAsiaTheme="majorEastAsia" w:hAnsi="Times New Roman" w:cs="Times New Roman"/>
          <w:b w:val="0"/>
          <w:bCs w:val="0"/>
          <w:sz w:val="24"/>
          <w:szCs w:val="24"/>
        </w:rPr>
        <w:t>etiketimin e produkteve me ndikim në energji.</w:t>
      </w:r>
    </w:p>
    <w:p w14:paraId="3A50D9FF" w14:textId="1B600667" w:rsidR="00DC7A36" w:rsidRPr="00955906" w:rsidRDefault="00DC7A36" w:rsidP="001A2F01">
      <w:pPr>
        <w:spacing w:line="276" w:lineRule="auto"/>
        <w:jc w:val="both"/>
        <w:rPr>
          <w:rStyle w:val="Strong"/>
          <w:rFonts w:ascii="Times New Roman" w:eastAsiaTheme="majorEastAsia" w:hAnsi="Times New Roman" w:cs="Times New Roman"/>
          <w:b w:val="0"/>
          <w:bCs w:val="0"/>
          <w:sz w:val="24"/>
          <w:szCs w:val="24"/>
        </w:rPr>
      </w:pPr>
      <w:r w:rsidRPr="00955906">
        <w:rPr>
          <w:rStyle w:val="Strong"/>
          <w:rFonts w:ascii="Times New Roman" w:eastAsiaTheme="majorEastAsia" w:hAnsi="Times New Roman" w:cs="Times New Roman"/>
          <w:sz w:val="24"/>
          <w:szCs w:val="24"/>
        </w:rPr>
        <w:t xml:space="preserve">Rezultati 3: </w:t>
      </w:r>
      <w:r w:rsidR="00B57CBB" w:rsidRPr="00955906">
        <w:rPr>
          <w:rStyle w:val="Strong"/>
          <w:rFonts w:ascii="Times New Roman" w:eastAsiaTheme="majorEastAsia" w:hAnsi="Times New Roman" w:cs="Times New Roman"/>
          <w:b w:val="0"/>
          <w:bCs w:val="0"/>
          <w:sz w:val="24"/>
          <w:szCs w:val="24"/>
        </w:rPr>
        <w:t>Hartimin e metodologjis</w:t>
      </w:r>
      <w:r w:rsidR="004A53D0" w:rsidRPr="00955906">
        <w:rPr>
          <w:rStyle w:val="Strong"/>
          <w:rFonts w:ascii="Times New Roman" w:eastAsiaTheme="majorEastAsia" w:hAnsi="Times New Roman" w:cs="Times New Roman"/>
          <w:b w:val="0"/>
          <w:bCs w:val="0"/>
          <w:sz w:val="24"/>
          <w:szCs w:val="24"/>
        </w:rPr>
        <w:t>ë</w:t>
      </w:r>
      <w:r w:rsidR="00B57CBB" w:rsidRPr="00955906">
        <w:rPr>
          <w:rStyle w:val="Strong"/>
          <w:rFonts w:ascii="Times New Roman" w:eastAsiaTheme="majorEastAsia" w:hAnsi="Times New Roman" w:cs="Times New Roman"/>
          <w:b w:val="0"/>
          <w:bCs w:val="0"/>
          <w:sz w:val="24"/>
          <w:szCs w:val="24"/>
        </w:rPr>
        <w:t xml:space="preserve"> </w:t>
      </w:r>
      <w:r w:rsidR="004A53D0" w:rsidRPr="00955906">
        <w:rPr>
          <w:rStyle w:val="Strong"/>
          <w:rFonts w:ascii="Times New Roman" w:eastAsiaTheme="majorEastAsia" w:hAnsi="Times New Roman" w:cs="Times New Roman"/>
          <w:b w:val="0"/>
          <w:bCs w:val="0"/>
          <w:sz w:val="24"/>
          <w:szCs w:val="24"/>
        </w:rPr>
        <w:t>për certifikimin e “Zyrës së Gjelbër”.</w:t>
      </w:r>
    </w:p>
    <w:p w14:paraId="72CA6B7C" w14:textId="3A3F8843" w:rsidR="001A2F01" w:rsidRPr="00955906" w:rsidRDefault="001A2F01" w:rsidP="001A2F01">
      <w:pPr>
        <w:spacing w:line="276" w:lineRule="auto"/>
        <w:jc w:val="both"/>
        <w:rPr>
          <w:rFonts w:ascii="Times New Roman" w:eastAsia="Times New Roman" w:hAnsi="Times New Roman" w:cs="Times New Roman"/>
          <w:sz w:val="24"/>
          <w:szCs w:val="24"/>
          <w:lang w:val="sq-AL"/>
        </w:rPr>
      </w:pPr>
      <w:r w:rsidRPr="00955906">
        <w:rPr>
          <w:rFonts w:ascii="Times New Roman" w:eastAsia="Times New Roman" w:hAnsi="Times New Roman" w:cs="Times New Roman"/>
          <w:b/>
          <w:bCs/>
          <w:sz w:val="24"/>
          <w:szCs w:val="24"/>
          <w:lang w:val="sq-AL"/>
        </w:rPr>
        <w:t>Institucione kryesore:</w:t>
      </w:r>
      <w:r w:rsidRPr="00955906">
        <w:rPr>
          <w:rFonts w:ascii="Times New Roman" w:eastAsia="Times New Roman" w:hAnsi="Times New Roman" w:cs="Times New Roman"/>
          <w:sz w:val="24"/>
          <w:szCs w:val="24"/>
          <w:lang w:val="sq-AL"/>
        </w:rPr>
        <w:t xml:space="preserve"> </w:t>
      </w:r>
      <w:r w:rsidR="00391B7F" w:rsidRPr="00955906">
        <w:rPr>
          <w:rFonts w:ascii="Times New Roman" w:eastAsia="Times New Roman" w:hAnsi="Times New Roman" w:cs="Times New Roman"/>
          <w:sz w:val="24"/>
          <w:szCs w:val="24"/>
          <w:lang w:val="sq-AL"/>
        </w:rPr>
        <w:t>APP</w:t>
      </w:r>
      <w:r w:rsidRPr="00955906">
        <w:rPr>
          <w:rFonts w:ascii="Times New Roman" w:eastAsia="Times New Roman" w:hAnsi="Times New Roman" w:cs="Times New Roman"/>
          <w:sz w:val="24"/>
          <w:szCs w:val="24"/>
          <w:lang w:val="sq-AL"/>
        </w:rPr>
        <w:t xml:space="preserve">, </w:t>
      </w:r>
      <w:r w:rsidR="00391B7F" w:rsidRPr="00955906">
        <w:rPr>
          <w:rFonts w:ascii="Times New Roman" w:eastAsia="Times New Roman" w:hAnsi="Times New Roman" w:cs="Times New Roman"/>
          <w:sz w:val="24"/>
          <w:szCs w:val="24"/>
          <w:lang w:val="sq-AL"/>
        </w:rPr>
        <w:t>MIE</w:t>
      </w:r>
      <w:r w:rsidR="00FA3ECF">
        <w:rPr>
          <w:rFonts w:ascii="Times New Roman" w:eastAsia="Times New Roman" w:hAnsi="Times New Roman" w:cs="Times New Roman"/>
          <w:sz w:val="24"/>
          <w:szCs w:val="24"/>
          <w:lang w:val="sq-AL"/>
        </w:rPr>
        <w:t>,</w:t>
      </w:r>
      <w:r w:rsidR="00391B7F" w:rsidRPr="00955906">
        <w:rPr>
          <w:rFonts w:ascii="Times New Roman" w:eastAsia="Times New Roman" w:hAnsi="Times New Roman" w:cs="Times New Roman"/>
          <w:sz w:val="24"/>
          <w:szCs w:val="24"/>
          <w:lang w:val="sq-AL"/>
        </w:rPr>
        <w:t xml:space="preserve"> MTM, </w:t>
      </w:r>
      <w:r w:rsidRPr="00955906">
        <w:rPr>
          <w:rFonts w:ascii="Times New Roman" w:eastAsia="Times New Roman" w:hAnsi="Times New Roman" w:cs="Times New Roman"/>
          <w:sz w:val="24"/>
          <w:szCs w:val="24"/>
          <w:lang w:val="sq-AL"/>
        </w:rPr>
        <w:t>ASPA.</w:t>
      </w:r>
    </w:p>
    <w:p w14:paraId="5A8A7659" w14:textId="420C8D78" w:rsidR="001A2F01" w:rsidRPr="00955906" w:rsidRDefault="001A2F01" w:rsidP="001A2F01">
      <w:pPr>
        <w:spacing w:line="276" w:lineRule="auto"/>
        <w:jc w:val="both"/>
        <w:rPr>
          <w:rFonts w:ascii="Times New Roman" w:eastAsia="Arial" w:hAnsi="Times New Roman" w:cs="Times New Roman"/>
          <w:bCs/>
          <w:sz w:val="24"/>
          <w:szCs w:val="24"/>
          <w:lang w:val="it-IT"/>
        </w:rPr>
      </w:pPr>
      <w:r w:rsidRPr="00955906">
        <w:rPr>
          <w:rFonts w:ascii="Times New Roman" w:eastAsia="Times New Roman" w:hAnsi="Times New Roman" w:cs="Times New Roman"/>
          <w:b/>
          <w:bCs/>
          <w:sz w:val="24"/>
          <w:szCs w:val="24"/>
          <w:lang w:val="sq-AL"/>
        </w:rPr>
        <w:t>Institucione kontributore:</w:t>
      </w:r>
      <w:r w:rsidRPr="00955906">
        <w:rPr>
          <w:rFonts w:ascii="Times New Roman" w:eastAsia="Times New Roman" w:hAnsi="Times New Roman" w:cs="Times New Roman"/>
          <w:sz w:val="24"/>
          <w:szCs w:val="24"/>
          <w:lang w:val="sq-AL"/>
        </w:rPr>
        <w:t xml:space="preserve"> </w:t>
      </w:r>
      <w:r w:rsidR="00937E09" w:rsidRPr="00937E09">
        <w:rPr>
          <w:rFonts w:ascii="Times New Roman" w:eastAsia="Arial" w:hAnsi="Times New Roman" w:cs="Times New Roman"/>
          <w:bCs/>
          <w:sz w:val="24"/>
          <w:szCs w:val="24"/>
          <w:lang w:val="it-IT"/>
        </w:rPr>
        <w:t xml:space="preserve">Ministritë e </w:t>
      </w:r>
      <w:r w:rsidR="0073361E">
        <w:rPr>
          <w:rFonts w:ascii="Times New Roman" w:eastAsia="Arial" w:hAnsi="Times New Roman" w:cs="Times New Roman"/>
          <w:bCs/>
          <w:sz w:val="24"/>
          <w:szCs w:val="24"/>
          <w:lang w:val="it-IT"/>
        </w:rPr>
        <w:t>l</w:t>
      </w:r>
      <w:r w:rsidR="00937E09" w:rsidRPr="00937E09">
        <w:rPr>
          <w:rFonts w:ascii="Times New Roman" w:eastAsia="Arial" w:hAnsi="Times New Roman" w:cs="Times New Roman"/>
          <w:bCs/>
          <w:sz w:val="24"/>
          <w:szCs w:val="24"/>
          <w:lang w:val="it-IT"/>
        </w:rPr>
        <w:t>injës,</w:t>
      </w:r>
      <w:r w:rsidR="00F9585C" w:rsidRPr="00F9585C">
        <w:rPr>
          <w:rFonts w:ascii="Times New Roman" w:eastAsia="Arial" w:hAnsi="Times New Roman" w:cs="Times New Roman"/>
          <w:bCs/>
          <w:sz w:val="24"/>
          <w:szCs w:val="24"/>
          <w:lang w:val="it-IT"/>
        </w:rPr>
        <w:t xml:space="preserve"> </w:t>
      </w:r>
      <w:r w:rsidR="00F9585C" w:rsidRPr="00937E09">
        <w:rPr>
          <w:rFonts w:ascii="Times New Roman" w:eastAsia="Arial" w:hAnsi="Times New Roman" w:cs="Times New Roman"/>
          <w:bCs/>
          <w:sz w:val="24"/>
          <w:szCs w:val="24"/>
          <w:lang w:val="it-IT"/>
        </w:rPr>
        <w:t>DAP, APP,</w:t>
      </w:r>
      <w:r w:rsidR="00937E09" w:rsidRPr="00937E09">
        <w:rPr>
          <w:rFonts w:ascii="Times New Roman" w:eastAsia="Arial" w:hAnsi="Times New Roman" w:cs="Times New Roman"/>
          <w:bCs/>
          <w:sz w:val="24"/>
          <w:szCs w:val="24"/>
          <w:lang w:val="it-IT"/>
        </w:rPr>
        <w:t xml:space="preserve"> AKEM, Donatorë</w:t>
      </w:r>
      <w:r w:rsidRPr="00955906">
        <w:rPr>
          <w:rFonts w:ascii="Times New Roman" w:eastAsia="Arial" w:hAnsi="Times New Roman" w:cs="Times New Roman"/>
          <w:bCs/>
          <w:sz w:val="24"/>
          <w:szCs w:val="24"/>
          <w:lang w:val="it-IT"/>
        </w:rPr>
        <w:t>.</w:t>
      </w:r>
    </w:p>
    <w:p w14:paraId="598E7C5C" w14:textId="77777777" w:rsidR="004A53D0" w:rsidRPr="000176DA" w:rsidRDefault="004A53D0" w:rsidP="001A2F01">
      <w:pPr>
        <w:spacing w:line="276" w:lineRule="auto"/>
        <w:jc w:val="both"/>
        <w:rPr>
          <w:rFonts w:ascii="Times New Roman" w:eastAsia="Times New Roman" w:hAnsi="Times New Roman" w:cs="Times New Roman"/>
          <w:sz w:val="22"/>
          <w:szCs w:val="22"/>
          <w:lang w:val="sq-AL"/>
        </w:rPr>
      </w:pPr>
    </w:p>
    <w:p w14:paraId="6C188F2A" w14:textId="0238DD17" w:rsidR="001A2F01" w:rsidRPr="00955906" w:rsidRDefault="001A2F01" w:rsidP="001A2F01">
      <w:pPr>
        <w:spacing w:line="276" w:lineRule="auto"/>
        <w:jc w:val="both"/>
        <w:rPr>
          <w:rFonts w:ascii="Times New Roman" w:hAnsi="Times New Roman" w:cs="Times New Roman"/>
          <w:b/>
          <w:bCs/>
          <w:sz w:val="24"/>
          <w:szCs w:val="24"/>
          <w:lang w:val="sq-AL"/>
        </w:rPr>
      </w:pPr>
      <w:r w:rsidRPr="00955906">
        <w:rPr>
          <w:rFonts w:ascii="Times New Roman" w:hAnsi="Times New Roman" w:cs="Times New Roman"/>
          <w:b/>
          <w:bCs/>
          <w:sz w:val="24"/>
          <w:szCs w:val="24"/>
          <w:lang w:val="sq-AL"/>
        </w:rPr>
        <w:t>Masat dhe aktivitetet</w:t>
      </w:r>
    </w:p>
    <w:p w14:paraId="6C263774" w14:textId="77777777" w:rsidR="00720C6E" w:rsidRPr="00955906" w:rsidRDefault="00720C6E" w:rsidP="00720C6E">
      <w:pPr>
        <w:spacing w:line="276" w:lineRule="auto"/>
        <w:jc w:val="both"/>
        <w:rPr>
          <w:rFonts w:ascii="Times New Roman" w:hAnsi="Times New Roman" w:cs="Times New Roman"/>
          <w:bCs/>
          <w:sz w:val="24"/>
          <w:szCs w:val="24"/>
          <w:lang w:val="sq-AL"/>
        </w:rPr>
      </w:pPr>
      <w:r w:rsidRPr="00955906">
        <w:rPr>
          <w:rFonts w:ascii="Times New Roman" w:hAnsi="Times New Roman" w:cs="Times New Roman"/>
          <w:bCs/>
          <w:sz w:val="24"/>
          <w:szCs w:val="24"/>
          <w:lang w:val="sq-AL"/>
        </w:rPr>
        <w:t>Ky objektiv specifik do të zbatohet përmes masave të mëposhtme, teksa aktivitetet konkrete për periudhën e parë të zbatimit të SNRAP 2025-2030 mund të gjenden në Planin e Veprimit 2025-2027 (Aneksi nr. 1).</w:t>
      </w:r>
    </w:p>
    <w:tbl>
      <w:tblPr>
        <w:tblStyle w:val="TableGrid"/>
        <w:tblW w:w="0" w:type="auto"/>
        <w:tblLook w:val="04A0" w:firstRow="1" w:lastRow="0" w:firstColumn="1" w:lastColumn="0" w:noHBand="0" w:noVBand="1"/>
      </w:tblPr>
      <w:tblGrid>
        <w:gridCol w:w="1163"/>
        <w:gridCol w:w="8187"/>
      </w:tblGrid>
      <w:tr w:rsidR="00720C6E" w:rsidRPr="00641640" w14:paraId="458D792D" w14:textId="77777777" w:rsidTr="00EF7B8D">
        <w:trPr>
          <w:trHeight w:val="878"/>
        </w:trPr>
        <w:tc>
          <w:tcPr>
            <w:tcW w:w="9350" w:type="dxa"/>
            <w:gridSpan w:val="2"/>
            <w:shd w:val="clear" w:color="auto" w:fill="C5E0B3" w:themeFill="accent6" w:themeFillTint="66"/>
          </w:tcPr>
          <w:p w14:paraId="033B9A97" w14:textId="77777777" w:rsidR="00720C6E" w:rsidRPr="00641640" w:rsidRDefault="00720C6E" w:rsidP="00EF7B8D">
            <w:pPr>
              <w:spacing w:line="276" w:lineRule="auto"/>
              <w:jc w:val="center"/>
              <w:textAlignment w:val="baseline"/>
              <w:rPr>
                <w:rFonts w:ascii="Times New Roman" w:hAnsi="Times New Roman" w:cs="Times New Roman"/>
                <w:b/>
                <w:i/>
                <w:sz w:val="22"/>
                <w:szCs w:val="22"/>
                <w:lang w:val="sq-AL"/>
              </w:rPr>
            </w:pPr>
          </w:p>
          <w:p w14:paraId="20A633F7" w14:textId="4EFD7A13" w:rsidR="00720C6E" w:rsidRPr="00720C6E" w:rsidRDefault="00720C6E" w:rsidP="00EF7B8D">
            <w:pPr>
              <w:spacing w:line="276" w:lineRule="auto"/>
              <w:jc w:val="center"/>
              <w:textAlignment w:val="baseline"/>
              <w:rPr>
                <w:rFonts w:ascii="Times New Roman" w:hAnsi="Times New Roman" w:cs="Times New Roman"/>
                <w:b/>
                <w:bCs/>
                <w:i/>
                <w:iCs/>
                <w:sz w:val="22"/>
                <w:szCs w:val="22"/>
                <w:lang w:val="sq-AL"/>
              </w:rPr>
            </w:pPr>
            <w:r w:rsidRPr="00720C6E">
              <w:rPr>
                <w:rFonts w:ascii="Times New Roman" w:eastAsia="Times New Roman" w:hAnsi="Times New Roman" w:cs="Times New Roman"/>
                <w:b/>
                <w:bCs/>
                <w:i/>
                <w:iCs/>
                <w:sz w:val="24"/>
                <w:szCs w:val="24"/>
              </w:rPr>
              <w:t>Objektivi Specifik 5.4: Përshpejtimi i prokurimit të gjelbër publik dhe zbatimi i parimeve të ekonomisë qarkulluese</w:t>
            </w:r>
          </w:p>
          <w:p w14:paraId="23246042" w14:textId="77777777" w:rsidR="00720C6E" w:rsidRPr="00641640" w:rsidRDefault="00720C6E" w:rsidP="00EF7B8D">
            <w:pPr>
              <w:spacing w:line="276" w:lineRule="auto"/>
              <w:jc w:val="center"/>
              <w:textAlignment w:val="baseline"/>
              <w:rPr>
                <w:rFonts w:ascii="Times New Roman" w:hAnsi="Times New Roman" w:cs="Times New Roman"/>
                <w:b/>
                <w:i/>
                <w:sz w:val="22"/>
                <w:szCs w:val="22"/>
                <w:lang w:val="sq-AL"/>
              </w:rPr>
            </w:pPr>
          </w:p>
        </w:tc>
      </w:tr>
      <w:tr w:rsidR="00720C6E" w:rsidRPr="00641640" w14:paraId="67BA6587" w14:textId="77777777" w:rsidTr="00EF7B8D">
        <w:tc>
          <w:tcPr>
            <w:tcW w:w="1163" w:type="dxa"/>
            <w:shd w:val="clear" w:color="auto" w:fill="C5E0B3" w:themeFill="accent6" w:themeFillTint="66"/>
          </w:tcPr>
          <w:p w14:paraId="5F6E8BD6" w14:textId="7370D268" w:rsidR="00720C6E" w:rsidRPr="00641640" w:rsidRDefault="00720C6E" w:rsidP="00EF7B8D">
            <w:pPr>
              <w:spacing w:beforeAutospacing="1" w:line="276" w:lineRule="auto"/>
              <w:jc w:val="center"/>
              <w:textAlignment w:val="baseline"/>
              <w:rPr>
                <w:rFonts w:ascii="Times New Roman" w:hAnsi="Times New Roman" w:cs="Times New Roman"/>
                <w:b/>
                <w:sz w:val="22"/>
                <w:szCs w:val="22"/>
                <w:lang w:val="sq-AL"/>
              </w:rPr>
            </w:pPr>
            <w:r w:rsidRPr="00641640">
              <w:rPr>
                <w:rFonts w:ascii="Times New Roman" w:hAnsi="Times New Roman" w:cs="Times New Roman"/>
                <w:b/>
                <w:sz w:val="22"/>
                <w:szCs w:val="22"/>
                <w:lang w:val="sq-AL"/>
              </w:rPr>
              <w:t xml:space="preserve">Masa  </w:t>
            </w:r>
            <w:r>
              <w:rPr>
                <w:rFonts w:ascii="Times New Roman" w:hAnsi="Times New Roman" w:cs="Times New Roman"/>
                <w:b/>
                <w:sz w:val="22"/>
                <w:szCs w:val="22"/>
                <w:lang w:val="sq-AL"/>
              </w:rPr>
              <w:t>5</w:t>
            </w:r>
            <w:r w:rsidRPr="00641640">
              <w:rPr>
                <w:rFonts w:ascii="Times New Roman" w:hAnsi="Times New Roman" w:cs="Times New Roman"/>
                <w:b/>
                <w:sz w:val="22"/>
                <w:szCs w:val="22"/>
                <w:lang w:val="sq-AL"/>
              </w:rPr>
              <w:t>.</w:t>
            </w:r>
            <w:r>
              <w:rPr>
                <w:rFonts w:ascii="Times New Roman" w:hAnsi="Times New Roman" w:cs="Times New Roman"/>
                <w:b/>
                <w:sz w:val="22"/>
                <w:szCs w:val="22"/>
                <w:lang w:val="sq-AL"/>
              </w:rPr>
              <w:t>4</w:t>
            </w:r>
            <w:r w:rsidRPr="00641640">
              <w:rPr>
                <w:rFonts w:ascii="Times New Roman" w:hAnsi="Times New Roman" w:cs="Times New Roman"/>
                <w:b/>
                <w:sz w:val="22"/>
                <w:szCs w:val="22"/>
                <w:lang w:val="sq-AL"/>
              </w:rPr>
              <w:t>.1</w:t>
            </w:r>
          </w:p>
        </w:tc>
        <w:tc>
          <w:tcPr>
            <w:tcW w:w="8187" w:type="dxa"/>
            <w:shd w:val="clear" w:color="auto" w:fill="auto"/>
          </w:tcPr>
          <w:p w14:paraId="2EF77E70" w14:textId="2C34DC12" w:rsidR="00720C6E" w:rsidRPr="00641640" w:rsidRDefault="00847F8D" w:rsidP="00EF7B8D">
            <w:pPr>
              <w:spacing w:beforeAutospacing="1" w:line="276" w:lineRule="auto"/>
              <w:jc w:val="both"/>
              <w:textAlignment w:val="baseline"/>
              <w:rPr>
                <w:rFonts w:ascii="Times New Roman" w:hAnsi="Times New Roman" w:cs="Times New Roman"/>
                <w:sz w:val="22"/>
                <w:szCs w:val="22"/>
                <w:lang w:val="it-IT"/>
              </w:rPr>
            </w:pPr>
            <w:r w:rsidRPr="00847F8D">
              <w:rPr>
                <w:rFonts w:ascii="Times New Roman" w:hAnsi="Times New Roman" w:cs="Times New Roman"/>
                <w:sz w:val="22"/>
                <w:szCs w:val="22"/>
                <w:lang w:val="it-IT"/>
              </w:rPr>
              <w:t>Integrimi i kritereve mjedisore në mënyrë të qëndrueshme në prokurimet publike</w:t>
            </w:r>
            <w:r w:rsidR="00720C6E" w:rsidRPr="00641640">
              <w:rPr>
                <w:rFonts w:ascii="Times New Roman" w:hAnsi="Times New Roman" w:cs="Times New Roman"/>
                <w:sz w:val="22"/>
                <w:szCs w:val="22"/>
                <w:lang w:val="it-IT"/>
              </w:rPr>
              <w:t>.</w:t>
            </w:r>
          </w:p>
        </w:tc>
      </w:tr>
      <w:tr w:rsidR="00720C6E" w:rsidRPr="00641640" w14:paraId="75D33633" w14:textId="77777777" w:rsidTr="00EF7B8D">
        <w:trPr>
          <w:trHeight w:val="665"/>
        </w:trPr>
        <w:tc>
          <w:tcPr>
            <w:tcW w:w="1163" w:type="dxa"/>
            <w:shd w:val="clear" w:color="auto" w:fill="C5E0B3" w:themeFill="accent6" w:themeFillTint="66"/>
          </w:tcPr>
          <w:p w14:paraId="74D5D9E3" w14:textId="4E156685" w:rsidR="00720C6E" w:rsidRPr="00641640" w:rsidRDefault="00720C6E" w:rsidP="00EF7B8D">
            <w:pPr>
              <w:spacing w:beforeAutospacing="1" w:line="276" w:lineRule="auto"/>
              <w:jc w:val="center"/>
              <w:textAlignment w:val="baseline"/>
              <w:rPr>
                <w:rFonts w:ascii="Times New Roman" w:hAnsi="Times New Roman" w:cs="Times New Roman"/>
                <w:b/>
                <w:sz w:val="22"/>
                <w:szCs w:val="22"/>
                <w:lang w:val="sq-AL"/>
              </w:rPr>
            </w:pPr>
            <w:r w:rsidRPr="00641640">
              <w:rPr>
                <w:rFonts w:ascii="Times New Roman" w:hAnsi="Times New Roman" w:cs="Times New Roman"/>
                <w:b/>
                <w:sz w:val="22"/>
                <w:szCs w:val="22"/>
                <w:lang w:val="sq-AL"/>
              </w:rPr>
              <w:t xml:space="preserve">Masa </w:t>
            </w:r>
            <w:r>
              <w:rPr>
                <w:rFonts w:ascii="Times New Roman" w:hAnsi="Times New Roman" w:cs="Times New Roman"/>
                <w:b/>
                <w:sz w:val="22"/>
                <w:szCs w:val="22"/>
                <w:lang w:val="sq-AL"/>
              </w:rPr>
              <w:t>5</w:t>
            </w:r>
            <w:r w:rsidRPr="00641640">
              <w:rPr>
                <w:rFonts w:ascii="Times New Roman" w:hAnsi="Times New Roman" w:cs="Times New Roman"/>
                <w:b/>
                <w:sz w:val="22"/>
                <w:szCs w:val="22"/>
                <w:lang w:val="sq-AL"/>
              </w:rPr>
              <w:t>.</w:t>
            </w:r>
            <w:r>
              <w:rPr>
                <w:rFonts w:ascii="Times New Roman" w:hAnsi="Times New Roman" w:cs="Times New Roman"/>
                <w:b/>
                <w:sz w:val="22"/>
                <w:szCs w:val="22"/>
                <w:lang w:val="sq-AL"/>
              </w:rPr>
              <w:t>4</w:t>
            </w:r>
            <w:r w:rsidRPr="00641640">
              <w:rPr>
                <w:rFonts w:ascii="Times New Roman" w:hAnsi="Times New Roman" w:cs="Times New Roman"/>
                <w:b/>
                <w:sz w:val="22"/>
                <w:szCs w:val="22"/>
                <w:lang w:val="sq-AL"/>
              </w:rPr>
              <w:t>.2</w:t>
            </w:r>
          </w:p>
        </w:tc>
        <w:tc>
          <w:tcPr>
            <w:tcW w:w="8187" w:type="dxa"/>
            <w:shd w:val="clear" w:color="auto" w:fill="auto"/>
          </w:tcPr>
          <w:p w14:paraId="4B14BE3E" w14:textId="52036BCA" w:rsidR="00720C6E" w:rsidRPr="00641640" w:rsidRDefault="00847F8D" w:rsidP="00EF7B8D">
            <w:pPr>
              <w:spacing w:beforeAutospacing="1" w:line="276" w:lineRule="auto"/>
              <w:jc w:val="both"/>
              <w:textAlignment w:val="baseline"/>
              <w:rPr>
                <w:rFonts w:ascii="Times New Roman" w:hAnsi="Times New Roman" w:cs="Times New Roman"/>
                <w:sz w:val="22"/>
                <w:szCs w:val="22"/>
                <w:lang w:val="sq-AL"/>
              </w:rPr>
            </w:pPr>
            <w:r w:rsidRPr="00847F8D">
              <w:rPr>
                <w:rFonts w:ascii="Times New Roman" w:hAnsi="Times New Roman" w:cs="Times New Roman"/>
                <w:sz w:val="22"/>
                <w:szCs w:val="22"/>
                <w:lang w:val="sq-AL"/>
              </w:rPr>
              <w:t>Nxitja e përdorimit qarkullues të materialeve në veprimtarinë e sektorit publik</w:t>
            </w:r>
            <w:r w:rsidR="00720C6E" w:rsidRPr="00641640">
              <w:rPr>
                <w:rFonts w:ascii="Times New Roman" w:hAnsi="Times New Roman" w:cs="Times New Roman"/>
                <w:sz w:val="22"/>
                <w:szCs w:val="22"/>
                <w:lang w:val="sq-AL"/>
              </w:rPr>
              <w:t>.</w:t>
            </w:r>
          </w:p>
        </w:tc>
      </w:tr>
    </w:tbl>
    <w:p w14:paraId="059DBFC7" w14:textId="77777777" w:rsidR="00802A44" w:rsidRDefault="00802A44" w:rsidP="00802A44">
      <w:pPr>
        <w:spacing w:after="0" w:line="240" w:lineRule="auto"/>
        <w:jc w:val="both"/>
        <w:rPr>
          <w:rFonts w:ascii="Times New Roman" w:eastAsia="Times New Roman" w:hAnsi="Times New Roman" w:cs="Times New Roman"/>
          <w:sz w:val="24"/>
          <w:szCs w:val="24"/>
        </w:rPr>
      </w:pPr>
    </w:p>
    <w:p w14:paraId="2E14AFA1" w14:textId="6BC7F7E0" w:rsidR="00847F8D" w:rsidRDefault="00847F8D" w:rsidP="00802A44">
      <w:pPr>
        <w:spacing w:after="0" w:line="240" w:lineRule="auto"/>
        <w:jc w:val="both"/>
        <w:rPr>
          <w:rFonts w:ascii="Times New Roman" w:eastAsia="Times New Roman" w:hAnsi="Times New Roman" w:cs="Times New Roman"/>
          <w:sz w:val="24"/>
          <w:szCs w:val="24"/>
        </w:rPr>
      </w:pPr>
    </w:p>
    <w:p w14:paraId="717D35B9" w14:textId="6B82E308" w:rsidR="00B222B9" w:rsidRDefault="00B222B9" w:rsidP="00802A44">
      <w:pPr>
        <w:spacing w:after="0" w:line="240" w:lineRule="auto"/>
        <w:jc w:val="both"/>
        <w:rPr>
          <w:rFonts w:ascii="Times New Roman" w:eastAsia="Times New Roman" w:hAnsi="Times New Roman" w:cs="Times New Roman"/>
          <w:sz w:val="24"/>
          <w:szCs w:val="24"/>
        </w:rPr>
      </w:pPr>
    </w:p>
    <w:p w14:paraId="174C883E" w14:textId="6E13805F" w:rsidR="00B222B9" w:rsidRDefault="00B222B9" w:rsidP="00802A44">
      <w:pPr>
        <w:spacing w:after="0" w:line="240" w:lineRule="auto"/>
        <w:jc w:val="both"/>
        <w:rPr>
          <w:rFonts w:ascii="Times New Roman" w:eastAsia="Times New Roman" w:hAnsi="Times New Roman" w:cs="Times New Roman"/>
          <w:sz w:val="24"/>
          <w:szCs w:val="24"/>
        </w:rPr>
      </w:pPr>
    </w:p>
    <w:p w14:paraId="7D30B225" w14:textId="502F3C89" w:rsidR="00B222B9" w:rsidRDefault="00B222B9" w:rsidP="00802A44">
      <w:pPr>
        <w:spacing w:after="0" w:line="240" w:lineRule="auto"/>
        <w:jc w:val="both"/>
        <w:rPr>
          <w:rFonts w:ascii="Times New Roman" w:eastAsia="Times New Roman" w:hAnsi="Times New Roman" w:cs="Times New Roman"/>
          <w:sz w:val="24"/>
          <w:szCs w:val="24"/>
        </w:rPr>
      </w:pPr>
    </w:p>
    <w:p w14:paraId="3F3240CA" w14:textId="05EC6A3D" w:rsidR="00B222B9" w:rsidRDefault="00B222B9" w:rsidP="00802A44">
      <w:pPr>
        <w:spacing w:after="0" w:line="240" w:lineRule="auto"/>
        <w:jc w:val="both"/>
        <w:rPr>
          <w:rFonts w:ascii="Times New Roman" w:eastAsia="Times New Roman" w:hAnsi="Times New Roman" w:cs="Times New Roman"/>
          <w:sz w:val="24"/>
          <w:szCs w:val="24"/>
        </w:rPr>
      </w:pPr>
    </w:p>
    <w:p w14:paraId="59B46C5E" w14:textId="79AE338D" w:rsidR="00B222B9" w:rsidRDefault="00B222B9" w:rsidP="00802A44">
      <w:pPr>
        <w:spacing w:after="0" w:line="240" w:lineRule="auto"/>
        <w:jc w:val="both"/>
        <w:rPr>
          <w:rFonts w:ascii="Times New Roman" w:eastAsia="Times New Roman" w:hAnsi="Times New Roman" w:cs="Times New Roman"/>
          <w:sz w:val="24"/>
          <w:szCs w:val="24"/>
        </w:rPr>
      </w:pPr>
    </w:p>
    <w:p w14:paraId="2AFCAD86" w14:textId="3A99A68D" w:rsidR="00B222B9" w:rsidRDefault="00B222B9" w:rsidP="00802A44">
      <w:pPr>
        <w:spacing w:after="0" w:line="240" w:lineRule="auto"/>
        <w:jc w:val="both"/>
        <w:rPr>
          <w:rFonts w:ascii="Times New Roman" w:eastAsia="Times New Roman" w:hAnsi="Times New Roman" w:cs="Times New Roman"/>
          <w:sz w:val="24"/>
          <w:szCs w:val="24"/>
        </w:rPr>
      </w:pPr>
    </w:p>
    <w:p w14:paraId="339743E5" w14:textId="4D146568" w:rsidR="00B222B9" w:rsidRDefault="00B222B9" w:rsidP="00802A44">
      <w:pPr>
        <w:spacing w:after="0" w:line="240" w:lineRule="auto"/>
        <w:jc w:val="both"/>
        <w:rPr>
          <w:rFonts w:ascii="Times New Roman" w:eastAsia="Times New Roman" w:hAnsi="Times New Roman" w:cs="Times New Roman"/>
          <w:sz w:val="24"/>
          <w:szCs w:val="24"/>
        </w:rPr>
      </w:pPr>
    </w:p>
    <w:p w14:paraId="22832FFC" w14:textId="1DD48AED" w:rsidR="00B222B9" w:rsidRDefault="00B222B9" w:rsidP="00802A44">
      <w:pPr>
        <w:spacing w:after="0" w:line="240" w:lineRule="auto"/>
        <w:jc w:val="both"/>
        <w:rPr>
          <w:rFonts w:ascii="Times New Roman" w:eastAsia="Times New Roman" w:hAnsi="Times New Roman" w:cs="Times New Roman"/>
          <w:sz w:val="24"/>
          <w:szCs w:val="24"/>
        </w:rPr>
      </w:pPr>
    </w:p>
    <w:p w14:paraId="7DE2584C" w14:textId="77777777" w:rsidR="00B222B9" w:rsidRDefault="00B222B9" w:rsidP="00802A44">
      <w:pPr>
        <w:spacing w:after="0" w:line="240" w:lineRule="auto"/>
        <w:jc w:val="both"/>
        <w:rPr>
          <w:rFonts w:ascii="Times New Roman" w:eastAsia="Times New Roman" w:hAnsi="Times New Roman" w:cs="Times New Roman"/>
          <w:sz w:val="24"/>
          <w:szCs w:val="24"/>
        </w:rPr>
      </w:pPr>
    </w:p>
    <w:p w14:paraId="38F28052" w14:textId="3AF721B8" w:rsidR="006A3A24" w:rsidRPr="00F2785C" w:rsidRDefault="006A3A24" w:rsidP="00F2785C">
      <w:pPr>
        <w:spacing w:line="276" w:lineRule="auto"/>
        <w:jc w:val="center"/>
        <w:rPr>
          <w:rFonts w:ascii="Times New Roman" w:hAnsi="Times New Roman" w:cs="Times New Roman"/>
          <w:b/>
          <w:bCs/>
          <w:i/>
          <w:sz w:val="24"/>
          <w:szCs w:val="24"/>
          <w:lang w:val="sq-AL"/>
        </w:rPr>
      </w:pPr>
      <w:r w:rsidRPr="00F2785C">
        <w:rPr>
          <w:rFonts w:ascii="Times New Roman" w:hAnsi="Times New Roman" w:cs="Times New Roman"/>
          <w:b/>
          <w:bCs/>
          <w:i/>
          <w:sz w:val="24"/>
          <w:szCs w:val="24"/>
          <w:lang w:val="sq-AL"/>
        </w:rPr>
        <w:lastRenderedPageBreak/>
        <w:t>Lidhja e treguesve kryesorë të performancës më Qëllimin e Politikës V, Objektivin Specifik 5.4 dhe institucionet përgjegjëse.</w:t>
      </w:r>
    </w:p>
    <w:tbl>
      <w:tblPr>
        <w:tblStyle w:val="TableGrid"/>
        <w:tblW w:w="93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82"/>
        <w:gridCol w:w="2610"/>
        <w:gridCol w:w="1890"/>
        <w:gridCol w:w="1980"/>
        <w:gridCol w:w="1890"/>
      </w:tblGrid>
      <w:tr w:rsidR="00972BC3" w:rsidRPr="00641640" w14:paraId="139A4763" w14:textId="77777777" w:rsidTr="008451CE">
        <w:trPr>
          <w:trHeight w:val="15"/>
        </w:trPr>
        <w:tc>
          <w:tcPr>
            <w:tcW w:w="982" w:type="dxa"/>
            <w:shd w:val="clear" w:color="auto" w:fill="C5E0B3" w:themeFill="accent6" w:themeFillTint="66"/>
            <w:tcMar>
              <w:top w:w="15" w:type="dxa"/>
              <w:left w:w="75" w:type="dxa"/>
              <w:bottom w:w="15" w:type="dxa"/>
              <w:right w:w="75" w:type="dxa"/>
            </w:tcMar>
          </w:tcPr>
          <w:p w14:paraId="560826F6" w14:textId="77777777" w:rsidR="00972BC3" w:rsidRPr="00641640" w:rsidRDefault="00972BC3" w:rsidP="00972BC3">
            <w:pPr>
              <w:spacing w:line="276" w:lineRule="auto"/>
              <w:jc w:val="center"/>
              <w:rPr>
                <w:rFonts w:ascii="Times New Roman" w:eastAsia="Arial" w:hAnsi="Times New Roman" w:cs="Times New Roman"/>
                <w:b/>
                <w:bCs/>
                <w:sz w:val="22"/>
                <w:szCs w:val="22"/>
                <w:lang w:val="it-IT"/>
              </w:rPr>
            </w:pPr>
          </w:p>
          <w:p w14:paraId="11CB9C70" w14:textId="77777777" w:rsidR="00972BC3" w:rsidRPr="00641640" w:rsidRDefault="00972BC3" w:rsidP="00972BC3">
            <w:pPr>
              <w:spacing w:line="276" w:lineRule="auto"/>
              <w:jc w:val="center"/>
              <w:rPr>
                <w:rFonts w:ascii="Times New Roman" w:eastAsia="Arial" w:hAnsi="Times New Roman" w:cs="Times New Roman"/>
                <w:b/>
                <w:bCs/>
                <w:sz w:val="22"/>
                <w:szCs w:val="22"/>
              </w:rPr>
            </w:pPr>
            <w:r w:rsidRPr="00641640">
              <w:rPr>
                <w:rFonts w:ascii="Times New Roman" w:eastAsia="Arial" w:hAnsi="Times New Roman" w:cs="Times New Roman"/>
                <w:b/>
                <w:bCs/>
                <w:sz w:val="22"/>
                <w:szCs w:val="22"/>
              </w:rPr>
              <w:t>Lloji i treguesit</w:t>
            </w:r>
          </w:p>
        </w:tc>
        <w:tc>
          <w:tcPr>
            <w:tcW w:w="2610" w:type="dxa"/>
            <w:shd w:val="clear" w:color="auto" w:fill="C5E0B3" w:themeFill="accent6" w:themeFillTint="66"/>
            <w:tcMar>
              <w:top w:w="15" w:type="dxa"/>
              <w:left w:w="75" w:type="dxa"/>
              <w:bottom w:w="15" w:type="dxa"/>
              <w:right w:w="75" w:type="dxa"/>
            </w:tcMar>
          </w:tcPr>
          <w:p w14:paraId="4B3D2BD6" w14:textId="77777777" w:rsidR="00972BC3" w:rsidRPr="00641640" w:rsidRDefault="00972BC3" w:rsidP="00972BC3">
            <w:pPr>
              <w:spacing w:line="276" w:lineRule="auto"/>
              <w:jc w:val="center"/>
              <w:rPr>
                <w:rFonts w:ascii="Times New Roman" w:eastAsia="Arial" w:hAnsi="Times New Roman" w:cs="Times New Roman"/>
                <w:b/>
                <w:bCs/>
                <w:sz w:val="22"/>
                <w:szCs w:val="22"/>
              </w:rPr>
            </w:pPr>
          </w:p>
          <w:p w14:paraId="04C77E99" w14:textId="77777777" w:rsidR="00972BC3" w:rsidRPr="00641640" w:rsidRDefault="00972BC3" w:rsidP="00972BC3">
            <w:pPr>
              <w:spacing w:line="276" w:lineRule="auto"/>
              <w:jc w:val="center"/>
              <w:rPr>
                <w:rFonts w:ascii="Times New Roman" w:eastAsia="Arial" w:hAnsi="Times New Roman" w:cs="Times New Roman"/>
                <w:b/>
                <w:bCs/>
                <w:sz w:val="22"/>
                <w:szCs w:val="22"/>
              </w:rPr>
            </w:pPr>
            <w:r w:rsidRPr="00641640">
              <w:rPr>
                <w:rFonts w:ascii="Times New Roman" w:eastAsia="Arial" w:hAnsi="Times New Roman" w:cs="Times New Roman"/>
                <w:b/>
                <w:bCs/>
                <w:sz w:val="22"/>
                <w:szCs w:val="22"/>
              </w:rPr>
              <w:t>Emërtimi i treguesit të performancës</w:t>
            </w:r>
          </w:p>
          <w:p w14:paraId="74505C7D" w14:textId="77777777" w:rsidR="00972BC3" w:rsidRPr="00641640" w:rsidRDefault="00972BC3" w:rsidP="00972BC3">
            <w:pPr>
              <w:spacing w:line="276" w:lineRule="auto"/>
              <w:jc w:val="center"/>
              <w:rPr>
                <w:rFonts w:ascii="Times New Roman" w:eastAsia="Arial" w:hAnsi="Times New Roman" w:cs="Times New Roman"/>
                <w:sz w:val="22"/>
                <w:szCs w:val="22"/>
              </w:rPr>
            </w:pPr>
          </w:p>
        </w:tc>
        <w:tc>
          <w:tcPr>
            <w:tcW w:w="1890" w:type="dxa"/>
            <w:shd w:val="clear" w:color="auto" w:fill="C5E0B3" w:themeFill="accent6" w:themeFillTint="66"/>
          </w:tcPr>
          <w:p w14:paraId="49F92E5B" w14:textId="77777777" w:rsidR="00972BC3" w:rsidRPr="00641640" w:rsidRDefault="00972BC3" w:rsidP="00972BC3">
            <w:pPr>
              <w:spacing w:line="276" w:lineRule="auto"/>
              <w:jc w:val="center"/>
              <w:rPr>
                <w:rFonts w:ascii="Times New Roman" w:eastAsia="Arial" w:hAnsi="Times New Roman" w:cs="Times New Roman"/>
                <w:b/>
                <w:bCs/>
                <w:sz w:val="22"/>
                <w:szCs w:val="22"/>
              </w:rPr>
            </w:pPr>
          </w:p>
          <w:p w14:paraId="77743824" w14:textId="77777777" w:rsidR="00972BC3" w:rsidRPr="00641640" w:rsidRDefault="00972BC3" w:rsidP="00972BC3">
            <w:pPr>
              <w:spacing w:line="276" w:lineRule="auto"/>
              <w:jc w:val="center"/>
              <w:rPr>
                <w:rFonts w:ascii="Times New Roman" w:eastAsia="Arial" w:hAnsi="Times New Roman" w:cs="Times New Roman"/>
                <w:b/>
                <w:bCs/>
                <w:sz w:val="22"/>
                <w:szCs w:val="22"/>
              </w:rPr>
            </w:pPr>
            <w:r w:rsidRPr="00641640">
              <w:rPr>
                <w:rFonts w:ascii="Times New Roman" w:eastAsia="Arial" w:hAnsi="Times New Roman" w:cs="Times New Roman"/>
                <w:b/>
                <w:bCs/>
                <w:sz w:val="22"/>
                <w:szCs w:val="22"/>
              </w:rPr>
              <w:t>Lidhja me Qëllimin e Politikës</w:t>
            </w:r>
          </w:p>
        </w:tc>
        <w:tc>
          <w:tcPr>
            <w:tcW w:w="1980" w:type="dxa"/>
            <w:shd w:val="clear" w:color="auto" w:fill="C5E0B3" w:themeFill="accent6" w:themeFillTint="66"/>
          </w:tcPr>
          <w:p w14:paraId="409AAA2D" w14:textId="77777777" w:rsidR="00972BC3" w:rsidRPr="00641640" w:rsidRDefault="00972BC3" w:rsidP="00972BC3">
            <w:pPr>
              <w:spacing w:line="276" w:lineRule="auto"/>
              <w:jc w:val="center"/>
              <w:rPr>
                <w:rFonts w:ascii="Times New Roman" w:eastAsia="Arial" w:hAnsi="Times New Roman" w:cs="Times New Roman"/>
                <w:b/>
                <w:bCs/>
                <w:sz w:val="22"/>
                <w:szCs w:val="22"/>
              </w:rPr>
            </w:pPr>
          </w:p>
          <w:p w14:paraId="087F45CF" w14:textId="77777777" w:rsidR="00972BC3" w:rsidRPr="00641640" w:rsidRDefault="00972BC3" w:rsidP="00972BC3">
            <w:pPr>
              <w:spacing w:line="276" w:lineRule="auto"/>
              <w:jc w:val="center"/>
              <w:rPr>
                <w:rFonts w:ascii="Times New Roman" w:eastAsia="Arial" w:hAnsi="Times New Roman" w:cs="Times New Roman"/>
                <w:b/>
                <w:bCs/>
                <w:sz w:val="22"/>
                <w:szCs w:val="22"/>
              </w:rPr>
            </w:pPr>
            <w:r w:rsidRPr="00641640">
              <w:rPr>
                <w:rFonts w:ascii="Times New Roman" w:eastAsia="Arial" w:hAnsi="Times New Roman" w:cs="Times New Roman"/>
                <w:b/>
                <w:bCs/>
                <w:sz w:val="22"/>
                <w:szCs w:val="22"/>
              </w:rPr>
              <w:t>Lidhja me Objektivin Specifik</w:t>
            </w:r>
          </w:p>
        </w:tc>
        <w:tc>
          <w:tcPr>
            <w:tcW w:w="1890" w:type="dxa"/>
            <w:shd w:val="clear" w:color="auto" w:fill="C5E0B3" w:themeFill="accent6" w:themeFillTint="66"/>
            <w:tcMar>
              <w:top w:w="15" w:type="dxa"/>
              <w:left w:w="75" w:type="dxa"/>
              <w:bottom w:w="15" w:type="dxa"/>
              <w:right w:w="75" w:type="dxa"/>
            </w:tcMar>
          </w:tcPr>
          <w:p w14:paraId="15A5D84A" w14:textId="77777777" w:rsidR="00972BC3" w:rsidRPr="00641640" w:rsidRDefault="00972BC3" w:rsidP="00972BC3">
            <w:pPr>
              <w:spacing w:line="276" w:lineRule="auto"/>
              <w:jc w:val="center"/>
              <w:rPr>
                <w:rFonts w:ascii="Times New Roman" w:eastAsia="Arial" w:hAnsi="Times New Roman" w:cs="Times New Roman"/>
                <w:sz w:val="22"/>
                <w:szCs w:val="22"/>
              </w:rPr>
            </w:pPr>
          </w:p>
          <w:p w14:paraId="16674A4E" w14:textId="77777777" w:rsidR="00972BC3" w:rsidRPr="00641640" w:rsidRDefault="00972BC3" w:rsidP="00972BC3">
            <w:pPr>
              <w:spacing w:line="276" w:lineRule="auto"/>
              <w:jc w:val="center"/>
              <w:rPr>
                <w:rFonts w:ascii="Times New Roman" w:eastAsia="Arial" w:hAnsi="Times New Roman" w:cs="Times New Roman"/>
                <w:b/>
                <w:bCs/>
                <w:sz w:val="22"/>
                <w:szCs w:val="22"/>
              </w:rPr>
            </w:pPr>
            <w:r w:rsidRPr="00641640">
              <w:rPr>
                <w:rFonts w:ascii="Times New Roman" w:eastAsia="Arial" w:hAnsi="Times New Roman" w:cs="Times New Roman"/>
                <w:b/>
                <w:bCs/>
                <w:sz w:val="22"/>
                <w:szCs w:val="22"/>
              </w:rPr>
              <w:t>Institucioni përgjegjës</w:t>
            </w:r>
          </w:p>
        </w:tc>
      </w:tr>
      <w:tr w:rsidR="00972BC3" w:rsidRPr="00641640" w14:paraId="0C609CCE" w14:textId="77777777" w:rsidTr="00A171C5">
        <w:trPr>
          <w:trHeight w:val="965"/>
        </w:trPr>
        <w:tc>
          <w:tcPr>
            <w:tcW w:w="982" w:type="dxa"/>
            <w:shd w:val="clear" w:color="auto" w:fill="auto"/>
            <w:tcMar>
              <w:top w:w="15" w:type="dxa"/>
              <w:left w:w="75" w:type="dxa"/>
              <w:bottom w:w="15" w:type="dxa"/>
              <w:right w:w="75" w:type="dxa"/>
            </w:tcMar>
          </w:tcPr>
          <w:p w14:paraId="20B16B85" w14:textId="6AE090D9" w:rsidR="00972BC3" w:rsidRPr="00641640" w:rsidRDefault="00A171C5" w:rsidP="00972BC3">
            <w:pPr>
              <w:spacing w:line="276" w:lineRule="auto"/>
              <w:rPr>
                <w:rFonts w:ascii="Times New Roman" w:hAnsi="Times New Roman" w:cs="Times New Roman"/>
                <w:sz w:val="22"/>
                <w:szCs w:val="22"/>
                <w:lang w:val="sq-AL"/>
              </w:rPr>
            </w:pPr>
            <w:r w:rsidRPr="00641640">
              <w:rPr>
                <w:rFonts w:ascii="Times New Roman" w:hAnsi="Times New Roman" w:cs="Times New Roman"/>
                <w:sz w:val="22"/>
                <w:szCs w:val="22"/>
                <w:lang w:val="sq-AL"/>
              </w:rPr>
              <w:t>Rezultati</w:t>
            </w:r>
          </w:p>
        </w:tc>
        <w:tc>
          <w:tcPr>
            <w:tcW w:w="2610" w:type="dxa"/>
            <w:shd w:val="clear" w:color="auto" w:fill="auto"/>
            <w:tcMar>
              <w:top w:w="15" w:type="dxa"/>
              <w:left w:w="75" w:type="dxa"/>
              <w:bottom w:w="15" w:type="dxa"/>
              <w:right w:w="75" w:type="dxa"/>
            </w:tcMar>
          </w:tcPr>
          <w:p w14:paraId="51769CE4" w14:textId="351A2B7B" w:rsidR="00972BC3" w:rsidRPr="00641640" w:rsidRDefault="0094456C" w:rsidP="00972BC3">
            <w:pPr>
              <w:spacing w:line="276" w:lineRule="auto"/>
              <w:rPr>
                <w:rFonts w:ascii="Times New Roman" w:hAnsi="Times New Roman" w:cs="Times New Roman"/>
                <w:sz w:val="22"/>
                <w:szCs w:val="22"/>
                <w:lang w:val="it-IT"/>
              </w:rPr>
            </w:pPr>
            <w:r w:rsidRPr="0094456C">
              <w:rPr>
                <w:rFonts w:ascii="Times New Roman" w:eastAsia="Times New Roman" w:hAnsi="Times New Roman" w:cs="Times New Roman"/>
                <w:sz w:val="24"/>
                <w:szCs w:val="24"/>
              </w:rPr>
              <w:t>5.4.1 Niveli i aktiviteteve ndërgjegjësuese mbi përdorimin qarkullues të materialeve në veprimtarinë e sektorit publik</w:t>
            </w:r>
            <w:r w:rsidR="00A171C5" w:rsidRPr="00641640">
              <w:rPr>
                <w:rFonts w:ascii="Times New Roman" w:eastAsia="Times New Roman" w:hAnsi="Times New Roman" w:cs="Times New Roman"/>
                <w:sz w:val="24"/>
                <w:szCs w:val="24"/>
              </w:rPr>
              <w:t>.</w:t>
            </w:r>
          </w:p>
        </w:tc>
        <w:tc>
          <w:tcPr>
            <w:tcW w:w="1890" w:type="dxa"/>
            <w:shd w:val="clear" w:color="auto" w:fill="auto"/>
          </w:tcPr>
          <w:p w14:paraId="4E6DACEC" w14:textId="0168999E" w:rsidR="00972BC3" w:rsidRPr="00641640" w:rsidRDefault="00972BC3" w:rsidP="00972BC3">
            <w:pPr>
              <w:spacing w:line="276" w:lineRule="auto"/>
              <w:rPr>
                <w:rFonts w:ascii="Times New Roman" w:eastAsia="Arial" w:hAnsi="Times New Roman" w:cs="Times New Roman"/>
                <w:sz w:val="22"/>
                <w:szCs w:val="22"/>
                <w:lang w:val="it-IT"/>
              </w:rPr>
            </w:pPr>
            <w:r w:rsidRPr="00641640">
              <w:rPr>
                <w:rFonts w:ascii="Times New Roman" w:eastAsia="Arial" w:hAnsi="Times New Roman" w:cs="Times New Roman"/>
                <w:sz w:val="22"/>
                <w:szCs w:val="22"/>
                <w:lang w:val="it-IT"/>
              </w:rPr>
              <w:t>Administrata e Gjelb</w:t>
            </w:r>
            <w:r w:rsidR="00641640" w:rsidRPr="00641640">
              <w:rPr>
                <w:rFonts w:ascii="Times New Roman" w:eastAsia="Arial" w:hAnsi="Times New Roman" w:cs="Times New Roman"/>
                <w:sz w:val="22"/>
                <w:szCs w:val="22"/>
                <w:lang w:val="it-IT"/>
              </w:rPr>
              <w:t>ë</w:t>
            </w:r>
            <w:r w:rsidRPr="00641640">
              <w:rPr>
                <w:rFonts w:ascii="Times New Roman" w:eastAsia="Arial" w:hAnsi="Times New Roman" w:cs="Times New Roman"/>
                <w:sz w:val="22"/>
                <w:szCs w:val="22"/>
                <w:lang w:val="it-IT"/>
              </w:rPr>
              <w:t>r</w:t>
            </w:r>
          </w:p>
        </w:tc>
        <w:tc>
          <w:tcPr>
            <w:tcW w:w="1980" w:type="dxa"/>
            <w:shd w:val="clear" w:color="auto" w:fill="auto"/>
          </w:tcPr>
          <w:p w14:paraId="608FA842" w14:textId="4802EA4B" w:rsidR="00972BC3" w:rsidRPr="00641640" w:rsidRDefault="006A3A24" w:rsidP="00972BC3">
            <w:pPr>
              <w:spacing w:line="276" w:lineRule="auto"/>
              <w:rPr>
                <w:rFonts w:ascii="Times New Roman" w:eastAsia="Arial" w:hAnsi="Times New Roman" w:cs="Times New Roman"/>
                <w:sz w:val="22"/>
                <w:szCs w:val="22"/>
                <w:lang w:val="it-IT"/>
              </w:rPr>
            </w:pPr>
            <w:r>
              <w:rPr>
                <w:rFonts w:ascii="Times New Roman" w:eastAsia="Times New Roman" w:hAnsi="Times New Roman" w:cs="Times New Roman"/>
                <w:sz w:val="24"/>
                <w:szCs w:val="24"/>
              </w:rPr>
              <w:t xml:space="preserve">5.4 </w:t>
            </w:r>
            <w:r w:rsidR="00A171C5" w:rsidRPr="00641640">
              <w:rPr>
                <w:rFonts w:ascii="Times New Roman" w:eastAsia="Times New Roman" w:hAnsi="Times New Roman" w:cs="Times New Roman"/>
                <w:sz w:val="24"/>
                <w:szCs w:val="24"/>
              </w:rPr>
              <w:t>Përshpejtimi i prokurimit të gjelbër publik dhe zbatimi i parimeve të ekonomisë qarkulluese</w:t>
            </w:r>
            <w:r w:rsidR="0094456C">
              <w:rPr>
                <w:rFonts w:ascii="Times New Roman" w:eastAsia="Times New Roman" w:hAnsi="Times New Roman" w:cs="Times New Roman"/>
                <w:sz w:val="24"/>
                <w:szCs w:val="24"/>
              </w:rPr>
              <w:t>.</w:t>
            </w:r>
          </w:p>
        </w:tc>
        <w:tc>
          <w:tcPr>
            <w:tcW w:w="1890" w:type="dxa"/>
            <w:shd w:val="clear" w:color="auto" w:fill="auto"/>
            <w:tcMar>
              <w:top w:w="15" w:type="dxa"/>
              <w:left w:w="75" w:type="dxa"/>
              <w:bottom w:w="15" w:type="dxa"/>
              <w:right w:w="75" w:type="dxa"/>
            </w:tcMar>
          </w:tcPr>
          <w:p w14:paraId="0236D39B" w14:textId="395151F2" w:rsidR="00972BC3" w:rsidRPr="00641640" w:rsidRDefault="00972BC3" w:rsidP="00972BC3">
            <w:pPr>
              <w:spacing w:line="276" w:lineRule="auto"/>
              <w:jc w:val="center"/>
              <w:rPr>
                <w:rFonts w:ascii="Times New Roman" w:eastAsia="Arial" w:hAnsi="Times New Roman" w:cs="Times New Roman"/>
                <w:sz w:val="22"/>
                <w:szCs w:val="22"/>
                <w:lang w:val="it-IT"/>
              </w:rPr>
            </w:pPr>
            <w:r w:rsidRPr="00641640">
              <w:rPr>
                <w:rFonts w:ascii="Times New Roman" w:eastAsia="Arial" w:hAnsi="Times New Roman" w:cs="Times New Roman"/>
                <w:sz w:val="22"/>
                <w:szCs w:val="22"/>
                <w:lang w:val="it-IT"/>
              </w:rPr>
              <w:t>MTM</w:t>
            </w:r>
          </w:p>
        </w:tc>
      </w:tr>
    </w:tbl>
    <w:p w14:paraId="6B1EB038" w14:textId="4D461581" w:rsidR="00972BC3" w:rsidRPr="00641640" w:rsidRDefault="00BA2EE6" w:rsidP="00BA2EE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47C649E" w14:textId="31849C02" w:rsidR="002464AA" w:rsidRPr="00641640" w:rsidRDefault="000F71F0" w:rsidP="004F7B9C">
      <w:pPr>
        <w:pBdr>
          <w:bottom w:val="single" w:sz="24" w:space="1" w:color="F0CDA1"/>
        </w:pBdr>
        <w:spacing w:before="120" w:after="120" w:line="276" w:lineRule="auto"/>
        <w:jc w:val="both"/>
        <w:rPr>
          <w:rFonts w:ascii="Times New Roman" w:eastAsia="Arial" w:hAnsi="Times New Roman" w:cs="Times New Roman"/>
          <w:b/>
          <w:noProof/>
          <w:color w:val="003300"/>
          <w:sz w:val="36"/>
          <w:szCs w:val="36"/>
          <w:lang w:val="sq-AL"/>
        </w:rPr>
      </w:pPr>
      <w:bookmarkStart w:id="36" w:name="_Hlk153722822"/>
      <w:r w:rsidRPr="00641640">
        <w:rPr>
          <w:rFonts w:ascii="Times New Roman" w:eastAsia="Arial" w:hAnsi="Times New Roman" w:cs="Times New Roman"/>
          <w:b/>
          <w:noProof/>
          <w:color w:val="003300"/>
          <w:sz w:val="36"/>
          <w:szCs w:val="36"/>
          <w:lang w:val="sq-AL"/>
        </w:rPr>
        <w:lastRenderedPageBreak/>
        <w:t>PJESA III</w:t>
      </w:r>
      <w:r w:rsidR="00030621" w:rsidRPr="00641640">
        <w:rPr>
          <w:rFonts w:ascii="Times New Roman" w:eastAsia="Arial" w:hAnsi="Times New Roman" w:cs="Times New Roman"/>
          <w:b/>
          <w:noProof/>
          <w:color w:val="003300"/>
          <w:sz w:val="36"/>
          <w:szCs w:val="36"/>
          <w:lang w:val="sq-AL"/>
        </w:rPr>
        <w:t xml:space="preserve"> - </w:t>
      </w:r>
      <w:r w:rsidRPr="00641640">
        <w:rPr>
          <w:rFonts w:ascii="Times New Roman" w:eastAsia="Arial" w:hAnsi="Times New Roman" w:cs="Times New Roman"/>
          <w:b/>
          <w:noProof/>
          <w:color w:val="003300"/>
          <w:sz w:val="36"/>
          <w:szCs w:val="36"/>
          <w:lang w:val="sq-AL"/>
        </w:rPr>
        <w:t>ZBATIMI, LLOGARIDHËNIA,</w:t>
      </w:r>
      <w:r w:rsidR="00A41A8C" w:rsidRPr="00641640">
        <w:rPr>
          <w:rFonts w:ascii="Times New Roman" w:eastAsia="Arial" w:hAnsi="Times New Roman" w:cs="Times New Roman"/>
          <w:b/>
          <w:noProof/>
          <w:color w:val="003300"/>
          <w:sz w:val="36"/>
          <w:szCs w:val="36"/>
          <w:lang w:val="sq-AL"/>
        </w:rPr>
        <w:t xml:space="preserve"> </w:t>
      </w:r>
      <w:r w:rsidRPr="00641640">
        <w:rPr>
          <w:rFonts w:ascii="Times New Roman" w:eastAsia="Arial" w:hAnsi="Times New Roman" w:cs="Times New Roman"/>
          <w:b/>
          <w:noProof/>
          <w:color w:val="003300"/>
          <w:sz w:val="36"/>
          <w:szCs w:val="36"/>
          <w:lang w:val="sq-AL"/>
        </w:rPr>
        <w:t>MONITORIMI DHE</w:t>
      </w:r>
      <w:r w:rsidR="001F6AAA" w:rsidRPr="00641640">
        <w:rPr>
          <w:rFonts w:ascii="Times New Roman" w:eastAsia="Arial" w:hAnsi="Times New Roman" w:cs="Times New Roman"/>
          <w:b/>
          <w:noProof/>
          <w:color w:val="003300"/>
          <w:sz w:val="36"/>
          <w:szCs w:val="36"/>
          <w:lang w:val="sq-AL"/>
        </w:rPr>
        <w:t xml:space="preserve"> </w:t>
      </w:r>
      <w:r w:rsidR="00A41A8C" w:rsidRPr="00641640">
        <w:rPr>
          <w:rFonts w:ascii="Times New Roman" w:eastAsia="Arial" w:hAnsi="Times New Roman" w:cs="Times New Roman"/>
          <w:b/>
          <w:noProof/>
          <w:color w:val="003300"/>
          <w:sz w:val="36"/>
          <w:szCs w:val="36"/>
          <w:lang w:val="sq-AL"/>
        </w:rPr>
        <w:t>ANALIZA</w:t>
      </w:r>
    </w:p>
    <w:bookmarkEnd w:id="36"/>
    <w:p w14:paraId="6E917332" w14:textId="77777777" w:rsidR="001F6AAA" w:rsidRPr="006F1708" w:rsidRDefault="001F6AAA" w:rsidP="004F7B9C">
      <w:pPr>
        <w:spacing w:after="0" w:line="276" w:lineRule="auto"/>
        <w:jc w:val="both"/>
        <w:rPr>
          <w:rFonts w:ascii="Times New Roman" w:hAnsi="Times New Roman" w:cs="Times New Roman"/>
          <w:b/>
          <w:bCs/>
          <w:noProof/>
          <w:sz w:val="24"/>
          <w:szCs w:val="24"/>
          <w:lang w:val="sq-AL"/>
        </w:rPr>
      </w:pPr>
    </w:p>
    <w:p w14:paraId="6220E962" w14:textId="7C903A1A" w:rsidR="00981D81" w:rsidRPr="00B54797" w:rsidRDefault="00B54797" w:rsidP="00B54797">
      <w:pPr>
        <w:spacing w:line="276" w:lineRule="auto"/>
        <w:jc w:val="both"/>
        <w:rPr>
          <w:rFonts w:ascii="Times New Roman" w:hAnsi="Times New Roman" w:cs="Times New Roman"/>
          <w:b/>
          <w:bCs/>
          <w:noProof/>
          <w:sz w:val="24"/>
          <w:szCs w:val="24"/>
          <w:lang w:val="sq-AL"/>
        </w:rPr>
      </w:pPr>
      <w:r w:rsidRPr="00B54797">
        <w:rPr>
          <w:rFonts w:ascii="Times New Roman" w:hAnsi="Times New Roman" w:cs="Times New Roman"/>
          <w:b/>
          <w:bCs/>
          <w:noProof/>
          <w:sz w:val="24"/>
          <w:szCs w:val="24"/>
          <w:lang w:val="sq-AL"/>
        </w:rPr>
        <w:t>1</w:t>
      </w:r>
      <w:r w:rsidR="00240DFC">
        <w:rPr>
          <w:rFonts w:ascii="Times New Roman" w:hAnsi="Times New Roman" w:cs="Times New Roman"/>
          <w:b/>
          <w:bCs/>
          <w:noProof/>
          <w:sz w:val="24"/>
          <w:szCs w:val="24"/>
          <w:lang w:val="sq-AL"/>
        </w:rPr>
        <w:t>.</w:t>
      </w:r>
      <w:r w:rsidRPr="00B54797">
        <w:rPr>
          <w:rFonts w:ascii="Times New Roman" w:hAnsi="Times New Roman" w:cs="Times New Roman"/>
          <w:b/>
          <w:bCs/>
          <w:noProof/>
          <w:sz w:val="24"/>
          <w:szCs w:val="24"/>
          <w:lang w:val="sq-AL"/>
        </w:rPr>
        <w:t xml:space="preserve"> </w:t>
      </w:r>
      <w:r w:rsidR="00981D81" w:rsidRPr="00B54797">
        <w:rPr>
          <w:rFonts w:ascii="Times New Roman" w:hAnsi="Times New Roman" w:cs="Times New Roman"/>
          <w:b/>
          <w:bCs/>
          <w:noProof/>
          <w:sz w:val="24"/>
          <w:szCs w:val="24"/>
          <w:lang w:val="sq-AL"/>
        </w:rPr>
        <w:t>K</w:t>
      </w:r>
      <w:r w:rsidR="00BA2E69" w:rsidRPr="00B54797">
        <w:rPr>
          <w:rFonts w:ascii="Times New Roman" w:hAnsi="Times New Roman" w:cs="Times New Roman"/>
          <w:b/>
          <w:bCs/>
          <w:noProof/>
          <w:sz w:val="24"/>
          <w:szCs w:val="24"/>
          <w:lang w:val="sq-AL"/>
        </w:rPr>
        <w:t>orniza</w:t>
      </w:r>
      <w:r w:rsidR="00981D81" w:rsidRPr="00B54797">
        <w:rPr>
          <w:rFonts w:ascii="Times New Roman" w:hAnsi="Times New Roman" w:cs="Times New Roman"/>
          <w:b/>
          <w:bCs/>
          <w:noProof/>
          <w:sz w:val="24"/>
          <w:szCs w:val="24"/>
          <w:lang w:val="sq-AL"/>
        </w:rPr>
        <w:t xml:space="preserve"> institucional</w:t>
      </w:r>
      <w:r w:rsidR="00BA2E69" w:rsidRPr="00B54797">
        <w:rPr>
          <w:rFonts w:ascii="Times New Roman" w:hAnsi="Times New Roman" w:cs="Times New Roman"/>
          <w:b/>
          <w:bCs/>
          <w:noProof/>
          <w:sz w:val="24"/>
          <w:szCs w:val="24"/>
          <w:lang w:val="sq-AL"/>
        </w:rPr>
        <w:t>e</w:t>
      </w:r>
      <w:r w:rsidR="00981D81" w:rsidRPr="00B54797">
        <w:rPr>
          <w:rFonts w:ascii="Times New Roman" w:hAnsi="Times New Roman" w:cs="Times New Roman"/>
          <w:b/>
          <w:bCs/>
          <w:noProof/>
          <w:sz w:val="24"/>
          <w:szCs w:val="24"/>
          <w:lang w:val="sq-AL"/>
        </w:rPr>
        <w:t xml:space="preserve"> për</w:t>
      </w:r>
      <w:r w:rsidR="00BC78B4" w:rsidRPr="00B54797">
        <w:rPr>
          <w:rFonts w:ascii="Times New Roman" w:hAnsi="Times New Roman" w:cs="Times New Roman"/>
          <w:b/>
          <w:bCs/>
          <w:noProof/>
          <w:sz w:val="24"/>
          <w:szCs w:val="24"/>
          <w:lang w:val="sq-AL"/>
        </w:rPr>
        <w:t xml:space="preserve"> zbatimin e</w:t>
      </w:r>
      <w:r w:rsidR="00981D81" w:rsidRPr="00B54797">
        <w:rPr>
          <w:rFonts w:ascii="Times New Roman" w:hAnsi="Times New Roman" w:cs="Times New Roman"/>
          <w:b/>
          <w:bCs/>
          <w:noProof/>
          <w:sz w:val="24"/>
          <w:szCs w:val="24"/>
          <w:lang w:val="sq-AL"/>
        </w:rPr>
        <w:t xml:space="preserve"> </w:t>
      </w:r>
      <w:r w:rsidR="00B425DB" w:rsidRPr="00B54797">
        <w:rPr>
          <w:rFonts w:ascii="Times New Roman" w:hAnsi="Times New Roman" w:cs="Times New Roman"/>
          <w:b/>
          <w:bCs/>
          <w:noProof/>
          <w:sz w:val="24"/>
          <w:szCs w:val="24"/>
          <w:lang w:val="sq-AL"/>
        </w:rPr>
        <w:t>SN</w:t>
      </w:r>
      <w:r w:rsidR="0063574B" w:rsidRPr="00B54797">
        <w:rPr>
          <w:rFonts w:ascii="Times New Roman" w:hAnsi="Times New Roman" w:cs="Times New Roman"/>
          <w:b/>
          <w:bCs/>
          <w:noProof/>
          <w:sz w:val="24"/>
          <w:szCs w:val="24"/>
          <w:lang w:val="sq-AL"/>
        </w:rPr>
        <w:t>RAP</w:t>
      </w:r>
    </w:p>
    <w:p w14:paraId="0ED3EFF7" w14:textId="5A54683F" w:rsidR="00220B49" w:rsidRDefault="00C5406F" w:rsidP="00B54797">
      <w:pPr>
        <w:spacing w:line="276" w:lineRule="auto"/>
        <w:jc w:val="both"/>
        <w:rPr>
          <w:rFonts w:ascii="Times New Roman" w:hAnsi="Times New Roman" w:cs="Times New Roman"/>
          <w:noProof/>
          <w:color w:val="000000"/>
          <w:sz w:val="24"/>
          <w:szCs w:val="24"/>
          <w:lang w:val="sq-AL"/>
        </w:rPr>
      </w:pPr>
      <w:r w:rsidRPr="00641640">
        <w:rPr>
          <w:rFonts w:ascii="Times New Roman" w:hAnsi="Times New Roman" w:cs="Times New Roman"/>
          <w:noProof/>
          <w:color w:val="000000"/>
          <w:sz w:val="24"/>
          <w:szCs w:val="24"/>
          <w:lang w:val="sq-AL"/>
        </w:rPr>
        <w:t>K</w:t>
      </w:r>
      <w:r w:rsidR="00BA2E69" w:rsidRPr="00641640">
        <w:rPr>
          <w:rFonts w:ascii="Times New Roman" w:hAnsi="Times New Roman" w:cs="Times New Roman"/>
          <w:noProof/>
          <w:color w:val="000000"/>
          <w:sz w:val="24"/>
          <w:szCs w:val="24"/>
          <w:lang w:val="sq-AL"/>
        </w:rPr>
        <w:t>orniza</w:t>
      </w:r>
      <w:r w:rsidRPr="00641640">
        <w:rPr>
          <w:rFonts w:ascii="Times New Roman" w:hAnsi="Times New Roman" w:cs="Times New Roman"/>
          <w:noProof/>
          <w:color w:val="000000"/>
          <w:sz w:val="24"/>
          <w:szCs w:val="24"/>
          <w:lang w:val="sq-AL"/>
        </w:rPr>
        <w:t xml:space="preserve"> institucional</w:t>
      </w:r>
      <w:r w:rsidR="00BA2E69" w:rsidRPr="00641640">
        <w:rPr>
          <w:rFonts w:ascii="Times New Roman" w:hAnsi="Times New Roman" w:cs="Times New Roman"/>
          <w:noProof/>
          <w:color w:val="000000"/>
          <w:sz w:val="24"/>
          <w:szCs w:val="24"/>
          <w:lang w:val="sq-AL"/>
        </w:rPr>
        <w:t>e</w:t>
      </w:r>
      <w:r w:rsidRPr="00641640">
        <w:rPr>
          <w:rFonts w:ascii="Times New Roman" w:hAnsi="Times New Roman" w:cs="Times New Roman"/>
          <w:noProof/>
          <w:color w:val="000000"/>
          <w:sz w:val="24"/>
          <w:szCs w:val="24"/>
          <w:lang w:val="sq-AL"/>
        </w:rPr>
        <w:t xml:space="preserve"> p</w:t>
      </w:r>
      <w:r w:rsidR="00981D81" w:rsidRPr="00641640">
        <w:rPr>
          <w:rFonts w:ascii="Times New Roman" w:hAnsi="Times New Roman" w:cs="Times New Roman"/>
          <w:noProof/>
          <w:color w:val="000000"/>
          <w:sz w:val="24"/>
          <w:szCs w:val="24"/>
          <w:lang w:val="sq-AL"/>
        </w:rPr>
        <w:t xml:space="preserve">ër </w:t>
      </w:r>
      <w:r w:rsidR="00B97BE0">
        <w:rPr>
          <w:rFonts w:ascii="Times New Roman" w:hAnsi="Times New Roman" w:cs="Times New Roman"/>
          <w:noProof/>
          <w:color w:val="000000"/>
          <w:sz w:val="24"/>
          <w:szCs w:val="24"/>
          <w:lang w:val="sq-AL"/>
        </w:rPr>
        <w:t>zbatim</w:t>
      </w:r>
      <w:r w:rsidR="00B9743A">
        <w:rPr>
          <w:rFonts w:ascii="Times New Roman" w:hAnsi="Times New Roman" w:cs="Times New Roman"/>
          <w:noProof/>
          <w:color w:val="000000"/>
          <w:sz w:val="24"/>
          <w:szCs w:val="24"/>
          <w:lang w:val="sq-AL"/>
        </w:rPr>
        <w:t>i</w:t>
      </w:r>
      <w:r w:rsidR="00981D81" w:rsidRPr="00641640">
        <w:rPr>
          <w:rFonts w:ascii="Times New Roman" w:hAnsi="Times New Roman" w:cs="Times New Roman"/>
          <w:noProof/>
          <w:color w:val="000000"/>
          <w:sz w:val="24"/>
          <w:szCs w:val="24"/>
          <w:lang w:val="sq-AL"/>
        </w:rPr>
        <w:t>n e Strategji</w:t>
      </w:r>
      <w:r w:rsidRPr="00641640">
        <w:rPr>
          <w:rFonts w:ascii="Times New Roman" w:hAnsi="Times New Roman" w:cs="Times New Roman"/>
          <w:noProof/>
          <w:color w:val="000000"/>
          <w:sz w:val="24"/>
          <w:szCs w:val="24"/>
          <w:lang w:val="sq-AL"/>
        </w:rPr>
        <w:t>s</w:t>
      </w:r>
      <w:r w:rsidR="00981D81" w:rsidRPr="00641640">
        <w:rPr>
          <w:rFonts w:ascii="Times New Roman" w:hAnsi="Times New Roman" w:cs="Times New Roman"/>
          <w:noProof/>
          <w:color w:val="000000"/>
          <w:sz w:val="24"/>
          <w:szCs w:val="24"/>
          <w:lang w:val="sq-AL"/>
        </w:rPr>
        <w:t xml:space="preserve">ë Ndërsektoriale për Reformën  në Administratën Publike </w:t>
      </w:r>
      <w:r w:rsidR="00BB0410" w:rsidRPr="00641640">
        <w:rPr>
          <w:rFonts w:ascii="Times New Roman" w:hAnsi="Times New Roman" w:cs="Times New Roman"/>
          <w:noProof/>
          <w:color w:val="000000"/>
          <w:sz w:val="24"/>
          <w:szCs w:val="24"/>
          <w:lang w:val="sq-AL"/>
        </w:rPr>
        <w:t>202</w:t>
      </w:r>
      <w:r w:rsidR="00BC78B4">
        <w:rPr>
          <w:rFonts w:ascii="Times New Roman" w:hAnsi="Times New Roman" w:cs="Times New Roman"/>
          <w:noProof/>
          <w:color w:val="000000"/>
          <w:sz w:val="24"/>
          <w:szCs w:val="24"/>
          <w:lang w:val="sq-AL"/>
        </w:rPr>
        <w:t>5</w:t>
      </w:r>
      <w:r w:rsidR="00220B49">
        <w:rPr>
          <w:rFonts w:ascii="Times New Roman" w:hAnsi="Times New Roman" w:cs="Times New Roman"/>
          <w:noProof/>
          <w:color w:val="000000"/>
          <w:sz w:val="24"/>
          <w:szCs w:val="24"/>
          <w:lang w:val="sq-AL"/>
        </w:rPr>
        <w:t xml:space="preserve"> - </w:t>
      </w:r>
      <w:r w:rsidR="00981D81" w:rsidRPr="00641640">
        <w:rPr>
          <w:rFonts w:ascii="Times New Roman" w:hAnsi="Times New Roman" w:cs="Times New Roman"/>
          <w:noProof/>
          <w:color w:val="000000"/>
          <w:sz w:val="24"/>
          <w:szCs w:val="24"/>
          <w:lang w:val="sq-AL"/>
        </w:rPr>
        <w:t>2030</w:t>
      </w:r>
      <w:r w:rsidR="0090134F">
        <w:rPr>
          <w:rFonts w:ascii="Times New Roman" w:hAnsi="Times New Roman" w:cs="Times New Roman"/>
          <w:noProof/>
          <w:color w:val="000000"/>
          <w:sz w:val="24"/>
          <w:szCs w:val="24"/>
          <w:lang w:val="sq-AL"/>
        </w:rPr>
        <w:t xml:space="preserve">, </w:t>
      </w:r>
      <w:r w:rsidRPr="00641640">
        <w:rPr>
          <w:rFonts w:ascii="Times New Roman" w:hAnsi="Times New Roman" w:cs="Times New Roman"/>
          <w:noProof/>
          <w:color w:val="000000"/>
          <w:sz w:val="24"/>
          <w:szCs w:val="24"/>
          <w:lang w:val="sq-AL"/>
        </w:rPr>
        <w:t>p</w:t>
      </w:r>
      <w:r w:rsidR="00064AC5" w:rsidRPr="00641640">
        <w:rPr>
          <w:rFonts w:ascii="Times New Roman" w:hAnsi="Times New Roman" w:cs="Times New Roman"/>
          <w:noProof/>
          <w:color w:val="000000"/>
          <w:sz w:val="24"/>
          <w:szCs w:val="24"/>
          <w:lang w:val="sq-AL"/>
        </w:rPr>
        <w:t>ë</w:t>
      </w:r>
      <w:r w:rsidRPr="00641640">
        <w:rPr>
          <w:rFonts w:ascii="Times New Roman" w:hAnsi="Times New Roman" w:cs="Times New Roman"/>
          <w:noProof/>
          <w:color w:val="000000"/>
          <w:sz w:val="24"/>
          <w:szCs w:val="24"/>
          <w:lang w:val="sq-AL"/>
        </w:rPr>
        <w:t>r</w:t>
      </w:r>
      <w:r w:rsidR="002E5FD8" w:rsidRPr="00641640">
        <w:rPr>
          <w:rFonts w:ascii="Times New Roman" w:hAnsi="Times New Roman" w:cs="Times New Roman"/>
          <w:noProof/>
          <w:color w:val="000000"/>
          <w:sz w:val="24"/>
          <w:szCs w:val="24"/>
          <w:lang w:val="sq-AL"/>
        </w:rPr>
        <w:t>fshin</w:t>
      </w:r>
      <w:r w:rsidRPr="00641640">
        <w:rPr>
          <w:rFonts w:ascii="Times New Roman" w:hAnsi="Times New Roman" w:cs="Times New Roman"/>
          <w:noProof/>
          <w:color w:val="000000"/>
          <w:sz w:val="24"/>
          <w:szCs w:val="24"/>
          <w:lang w:val="sq-AL"/>
        </w:rPr>
        <w:t xml:space="preserve"> nj</w:t>
      </w:r>
      <w:r w:rsidR="00064AC5" w:rsidRPr="00641640">
        <w:rPr>
          <w:rFonts w:ascii="Times New Roman" w:hAnsi="Times New Roman" w:cs="Times New Roman"/>
          <w:noProof/>
          <w:color w:val="000000"/>
          <w:sz w:val="24"/>
          <w:szCs w:val="24"/>
          <w:lang w:val="sq-AL"/>
        </w:rPr>
        <w:t>ë</w:t>
      </w:r>
      <w:r w:rsidR="002E5FD8" w:rsidRPr="00641640">
        <w:rPr>
          <w:rFonts w:ascii="Times New Roman" w:hAnsi="Times New Roman" w:cs="Times New Roman"/>
          <w:noProof/>
          <w:color w:val="000000"/>
          <w:sz w:val="24"/>
          <w:szCs w:val="24"/>
          <w:lang w:val="sq-AL"/>
        </w:rPr>
        <w:t xml:space="preserve"> num</w:t>
      </w:r>
      <w:r w:rsidR="00870DCD" w:rsidRPr="00641640">
        <w:rPr>
          <w:rFonts w:ascii="Times New Roman" w:hAnsi="Times New Roman" w:cs="Times New Roman"/>
          <w:noProof/>
          <w:color w:val="000000"/>
          <w:sz w:val="24"/>
          <w:szCs w:val="24"/>
          <w:lang w:val="sq-AL"/>
        </w:rPr>
        <w:t>ë</w:t>
      </w:r>
      <w:r w:rsidR="002E5FD8" w:rsidRPr="00641640">
        <w:rPr>
          <w:rFonts w:ascii="Times New Roman" w:hAnsi="Times New Roman" w:cs="Times New Roman"/>
          <w:noProof/>
          <w:color w:val="000000"/>
          <w:sz w:val="24"/>
          <w:szCs w:val="24"/>
          <w:lang w:val="sq-AL"/>
        </w:rPr>
        <w:t xml:space="preserve">r </w:t>
      </w:r>
      <w:r w:rsidRPr="00641640">
        <w:rPr>
          <w:rFonts w:ascii="Times New Roman" w:hAnsi="Times New Roman" w:cs="Times New Roman"/>
          <w:noProof/>
          <w:color w:val="000000"/>
          <w:sz w:val="24"/>
          <w:szCs w:val="24"/>
          <w:lang w:val="sq-AL"/>
        </w:rPr>
        <w:t>institucione</w:t>
      </w:r>
      <w:r w:rsidR="002E5FD8" w:rsidRPr="00641640">
        <w:rPr>
          <w:rFonts w:ascii="Times New Roman" w:hAnsi="Times New Roman" w:cs="Times New Roman"/>
          <w:noProof/>
          <w:color w:val="000000"/>
          <w:sz w:val="24"/>
          <w:szCs w:val="24"/>
          <w:lang w:val="sq-AL"/>
        </w:rPr>
        <w:t>sh</w:t>
      </w:r>
      <w:r w:rsidRPr="00641640">
        <w:rPr>
          <w:rFonts w:ascii="Times New Roman" w:hAnsi="Times New Roman" w:cs="Times New Roman"/>
          <w:noProof/>
          <w:color w:val="000000"/>
          <w:sz w:val="24"/>
          <w:szCs w:val="24"/>
          <w:lang w:val="sq-AL"/>
        </w:rPr>
        <w:t xml:space="preserve"> bashk</w:t>
      </w:r>
      <w:r w:rsidR="00064AC5" w:rsidRPr="00641640">
        <w:rPr>
          <w:rFonts w:ascii="Times New Roman" w:hAnsi="Times New Roman" w:cs="Times New Roman"/>
          <w:noProof/>
          <w:color w:val="000000"/>
          <w:sz w:val="24"/>
          <w:szCs w:val="24"/>
          <w:lang w:val="sq-AL"/>
        </w:rPr>
        <w:t>ë</w:t>
      </w:r>
      <w:r w:rsidRPr="00641640">
        <w:rPr>
          <w:rFonts w:ascii="Times New Roman" w:hAnsi="Times New Roman" w:cs="Times New Roman"/>
          <w:noProof/>
          <w:color w:val="000000"/>
          <w:sz w:val="24"/>
          <w:szCs w:val="24"/>
          <w:lang w:val="sq-AL"/>
        </w:rPr>
        <w:t>p</w:t>
      </w:r>
      <w:r w:rsidR="00064AC5" w:rsidRPr="00641640">
        <w:rPr>
          <w:rFonts w:ascii="Times New Roman" w:hAnsi="Times New Roman" w:cs="Times New Roman"/>
          <w:noProof/>
          <w:color w:val="000000"/>
          <w:sz w:val="24"/>
          <w:szCs w:val="24"/>
          <w:lang w:val="sq-AL"/>
        </w:rPr>
        <w:t>ë</w:t>
      </w:r>
      <w:r w:rsidRPr="00641640">
        <w:rPr>
          <w:rFonts w:ascii="Times New Roman" w:hAnsi="Times New Roman" w:cs="Times New Roman"/>
          <w:noProof/>
          <w:color w:val="000000"/>
          <w:sz w:val="24"/>
          <w:szCs w:val="24"/>
          <w:lang w:val="sq-AL"/>
        </w:rPr>
        <w:t>rgjegj</w:t>
      </w:r>
      <w:r w:rsidR="00064AC5" w:rsidRPr="00641640">
        <w:rPr>
          <w:rFonts w:ascii="Times New Roman" w:hAnsi="Times New Roman" w:cs="Times New Roman"/>
          <w:noProof/>
          <w:color w:val="000000"/>
          <w:sz w:val="24"/>
          <w:szCs w:val="24"/>
          <w:lang w:val="sq-AL"/>
        </w:rPr>
        <w:t>ë</w:t>
      </w:r>
      <w:r w:rsidR="00BB0410" w:rsidRPr="00641640">
        <w:rPr>
          <w:rFonts w:ascii="Times New Roman" w:hAnsi="Times New Roman" w:cs="Times New Roman"/>
          <w:noProof/>
          <w:color w:val="000000"/>
          <w:sz w:val="24"/>
          <w:szCs w:val="24"/>
          <w:lang w:val="sq-AL"/>
        </w:rPr>
        <w:t xml:space="preserve">se </w:t>
      </w:r>
      <w:r w:rsidR="008F6E22" w:rsidRPr="00641640">
        <w:rPr>
          <w:rFonts w:ascii="Times New Roman" w:hAnsi="Times New Roman" w:cs="Times New Roman"/>
          <w:noProof/>
          <w:color w:val="000000"/>
          <w:sz w:val="24"/>
          <w:szCs w:val="24"/>
          <w:lang w:val="sq-AL"/>
        </w:rPr>
        <w:t>të qeverisjes qendrore</w:t>
      </w:r>
      <w:r w:rsidR="005A37B4">
        <w:rPr>
          <w:rFonts w:ascii="Times New Roman" w:hAnsi="Times New Roman" w:cs="Times New Roman"/>
          <w:noProof/>
          <w:color w:val="000000"/>
          <w:sz w:val="24"/>
          <w:szCs w:val="24"/>
          <w:lang w:val="sq-AL"/>
        </w:rPr>
        <w:t xml:space="preserve"> dhe var</w:t>
      </w:r>
      <w:r w:rsidR="00CD386B">
        <w:rPr>
          <w:rFonts w:ascii="Times New Roman" w:hAnsi="Times New Roman" w:cs="Times New Roman"/>
          <w:noProof/>
          <w:color w:val="000000"/>
          <w:sz w:val="24"/>
          <w:szCs w:val="24"/>
          <w:lang w:val="sq-AL"/>
        </w:rPr>
        <w:t>ë</w:t>
      </w:r>
      <w:r w:rsidR="005A37B4">
        <w:rPr>
          <w:rFonts w:ascii="Times New Roman" w:hAnsi="Times New Roman" w:cs="Times New Roman"/>
          <w:noProof/>
          <w:color w:val="000000"/>
          <w:sz w:val="24"/>
          <w:szCs w:val="24"/>
          <w:lang w:val="sq-AL"/>
        </w:rPr>
        <w:t>sit</w:t>
      </w:r>
      <w:r w:rsidR="00CD386B">
        <w:rPr>
          <w:rFonts w:ascii="Times New Roman" w:hAnsi="Times New Roman" w:cs="Times New Roman"/>
          <w:noProof/>
          <w:color w:val="000000"/>
          <w:sz w:val="24"/>
          <w:szCs w:val="24"/>
          <w:lang w:val="sq-AL"/>
        </w:rPr>
        <w:t>ë</w:t>
      </w:r>
      <w:r w:rsidR="005A37B4">
        <w:rPr>
          <w:rFonts w:ascii="Times New Roman" w:hAnsi="Times New Roman" w:cs="Times New Roman"/>
          <w:noProof/>
          <w:color w:val="000000"/>
          <w:sz w:val="24"/>
          <w:szCs w:val="24"/>
          <w:lang w:val="sq-AL"/>
        </w:rPr>
        <w:t xml:space="preserve"> e tyre</w:t>
      </w:r>
      <w:r w:rsidR="00BB0410" w:rsidRPr="00641640">
        <w:rPr>
          <w:rFonts w:ascii="Times New Roman" w:hAnsi="Times New Roman" w:cs="Times New Roman"/>
          <w:noProof/>
          <w:color w:val="000000"/>
          <w:sz w:val="24"/>
          <w:szCs w:val="24"/>
          <w:lang w:val="sq-AL"/>
        </w:rPr>
        <w:t>, t</w:t>
      </w:r>
      <w:r w:rsidR="00414343" w:rsidRPr="00641640">
        <w:rPr>
          <w:rFonts w:ascii="Times New Roman" w:hAnsi="Times New Roman" w:cs="Times New Roman"/>
          <w:noProof/>
          <w:color w:val="000000"/>
          <w:sz w:val="24"/>
          <w:szCs w:val="24"/>
          <w:lang w:val="sq-AL"/>
        </w:rPr>
        <w:t>ë</w:t>
      </w:r>
      <w:r w:rsidRPr="00641640">
        <w:rPr>
          <w:rFonts w:ascii="Times New Roman" w:hAnsi="Times New Roman" w:cs="Times New Roman"/>
          <w:noProof/>
          <w:color w:val="000000"/>
          <w:sz w:val="24"/>
          <w:szCs w:val="24"/>
          <w:lang w:val="sq-AL"/>
        </w:rPr>
        <w:t xml:space="preserve"> listuara si m</w:t>
      </w:r>
      <w:r w:rsidR="00064AC5" w:rsidRPr="00641640">
        <w:rPr>
          <w:rFonts w:ascii="Times New Roman" w:hAnsi="Times New Roman" w:cs="Times New Roman"/>
          <w:noProof/>
          <w:color w:val="000000"/>
          <w:sz w:val="24"/>
          <w:szCs w:val="24"/>
          <w:lang w:val="sq-AL"/>
        </w:rPr>
        <w:t>ë</w:t>
      </w:r>
      <w:r w:rsidRPr="00641640">
        <w:rPr>
          <w:rFonts w:ascii="Times New Roman" w:hAnsi="Times New Roman" w:cs="Times New Roman"/>
          <w:noProof/>
          <w:color w:val="000000"/>
          <w:sz w:val="24"/>
          <w:szCs w:val="24"/>
          <w:lang w:val="sq-AL"/>
        </w:rPr>
        <w:t xml:space="preserve"> posht</w:t>
      </w:r>
      <w:r w:rsidR="00064AC5" w:rsidRPr="00641640">
        <w:rPr>
          <w:rFonts w:ascii="Times New Roman" w:hAnsi="Times New Roman" w:cs="Times New Roman"/>
          <w:noProof/>
          <w:color w:val="000000"/>
          <w:sz w:val="24"/>
          <w:szCs w:val="24"/>
          <w:lang w:val="sq-AL"/>
        </w:rPr>
        <w:t>ë</w:t>
      </w:r>
      <w:r w:rsidRPr="00641640">
        <w:rPr>
          <w:rFonts w:ascii="Times New Roman" w:hAnsi="Times New Roman" w:cs="Times New Roman"/>
          <w:noProof/>
          <w:color w:val="000000"/>
          <w:sz w:val="24"/>
          <w:szCs w:val="24"/>
          <w:lang w:val="sq-AL"/>
        </w:rPr>
        <w:t xml:space="preserve">: </w:t>
      </w:r>
    </w:p>
    <w:p w14:paraId="63CFA004" w14:textId="77777777" w:rsidR="005A37B4" w:rsidRDefault="00636E6D" w:rsidP="00B54797">
      <w:pPr>
        <w:pStyle w:val="ListParagraph"/>
        <w:numPr>
          <w:ilvl w:val="0"/>
          <w:numId w:val="26"/>
        </w:numPr>
        <w:spacing w:line="276" w:lineRule="auto"/>
        <w:jc w:val="both"/>
        <w:rPr>
          <w:rFonts w:ascii="Times New Roman" w:hAnsi="Times New Roman" w:cs="Times New Roman"/>
          <w:noProof/>
          <w:color w:val="000000"/>
          <w:sz w:val="24"/>
          <w:szCs w:val="24"/>
          <w:lang w:val="sq-AL"/>
        </w:rPr>
      </w:pPr>
      <w:r w:rsidRPr="005A37B4">
        <w:rPr>
          <w:rFonts w:ascii="Times New Roman" w:hAnsi="Times New Roman" w:cs="Times New Roman"/>
          <w:noProof/>
          <w:color w:val="000000"/>
          <w:sz w:val="24"/>
          <w:szCs w:val="24"/>
          <w:lang w:val="sq-AL"/>
        </w:rPr>
        <w:t>Kryeministria;</w:t>
      </w:r>
    </w:p>
    <w:p w14:paraId="4C22B2E1" w14:textId="67FFEECA" w:rsidR="00AB4EA6" w:rsidRPr="006B7075" w:rsidRDefault="00981D81" w:rsidP="006B7075">
      <w:pPr>
        <w:pStyle w:val="ListParagraph"/>
        <w:numPr>
          <w:ilvl w:val="0"/>
          <w:numId w:val="26"/>
        </w:numPr>
        <w:spacing w:line="276" w:lineRule="auto"/>
        <w:jc w:val="both"/>
        <w:rPr>
          <w:rFonts w:ascii="Times New Roman" w:hAnsi="Times New Roman" w:cs="Times New Roman"/>
          <w:noProof/>
          <w:color w:val="000000"/>
          <w:sz w:val="24"/>
          <w:szCs w:val="24"/>
          <w:lang w:val="sq-AL"/>
        </w:rPr>
      </w:pPr>
      <w:r w:rsidRPr="007E4505">
        <w:rPr>
          <w:rFonts w:ascii="Times New Roman" w:hAnsi="Times New Roman" w:cs="Times New Roman"/>
          <w:noProof/>
          <w:color w:val="000000"/>
          <w:sz w:val="24"/>
          <w:szCs w:val="24"/>
          <w:lang w:val="sq-AL"/>
        </w:rPr>
        <w:t>Ministri i Shtetit për Administratën Publike dhe Antikorrupsionin;</w:t>
      </w:r>
    </w:p>
    <w:p w14:paraId="6A354684" w14:textId="4090EBC5" w:rsidR="00AB4EA6" w:rsidRPr="001D7836" w:rsidRDefault="00AB4EA6" w:rsidP="00B54797">
      <w:pPr>
        <w:pStyle w:val="ListParagraph"/>
        <w:numPr>
          <w:ilvl w:val="0"/>
          <w:numId w:val="26"/>
        </w:numPr>
        <w:spacing w:after="0" w:line="276" w:lineRule="auto"/>
        <w:jc w:val="both"/>
        <w:rPr>
          <w:rFonts w:ascii="Times New Roman" w:hAnsi="Times New Roman"/>
          <w:iCs/>
          <w:sz w:val="24"/>
          <w:szCs w:val="24"/>
          <w:lang w:val="it-IT"/>
        </w:rPr>
      </w:pPr>
      <w:r w:rsidRPr="001D7836">
        <w:rPr>
          <w:rFonts w:ascii="Times New Roman" w:hAnsi="Times New Roman"/>
          <w:iCs/>
          <w:sz w:val="24"/>
          <w:szCs w:val="24"/>
          <w:lang w:val="it-IT"/>
        </w:rPr>
        <w:t>Ministri</w:t>
      </w:r>
      <w:r w:rsidR="007E4505" w:rsidRPr="001D7836">
        <w:rPr>
          <w:rFonts w:ascii="Times New Roman" w:hAnsi="Times New Roman"/>
          <w:iCs/>
          <w:sz w:val="24"/>
          <w:szCs w:val="24"/>
          <w:lang w:val="it-IT"/>
        </w:rPr>
        <w:t xml:space="preserve">a e </w:t>
      </w:r>
      <w:r w:rsidRPr="001D7836">
        <w:rPr>
          <w:rFonts w:ascii="Times New Roman" w:hAnsi="Times New Roman"/>
          <w:iCs/>
          <w:sz w:val="24"/>
          <w:szCs w:val="24"/>
          <w:lang w:val="it-IT"/>
        </w:rPr>
        <w:t>Turizmit dhe Mjedisit;</w:t>
      </w:r>
    </w:p>
    <w:p w14:paraId="18DF1B8F" w14:textId="52E86368" w:rsidR="00AB4EA6" w:rsidRPr="001D7836" w:rsidRDefault="00AB4EA6" w:rsidP="00B54797">
      <w:pPr>
        <w:pStyle w:val="ListParagraph"/>
        <w:numPr>
          <w:ilvl w:val="0"/>
          <w:numId w:val="26"/>
        </w:numPr>
        <w:spacing w:after="0" w:line="276" w:lineRule="auto"/>
        <w:jc w:val="both"/>
        <w:rPr>
          <w:rFonts w:ascii="Times New Roman" w:hAnsi="Times New Roman"/>
          <w:iCs/>
          <w:sz w:val="24"/>
          <w:szCs w:val="24"/>
          <w:lang w:val="it-IT"/>
        </w:rPr>
      </w:pPr>
      <w:r w:rsidRPr="001D7836">
        <w:rPr>
          <w:rFonts w:ascii="Times New Roman" w:hAnsi="Times New Roman"/>
          <w:iCs/>
          <w:sz w:val="24"/>
          <w:szCs w:val="24"/>
          <w:lang w:val="it-IT"/>
        </w:rPr>
        <w:t>Ministri</w:t>
      </w:r>
      <w:r w:rsidR="007E4505" w:rsidRPr="001D7836">
        <w:rPr>
          <w:rFonts w:ascii="Times New Roman" w:hAnsi="Times New Roman"/>
          <w:iCs/>
          <w:sz w:val="24"/>
          <w:szCs w:val="24"/>
          <w:lang w:val="it-IT"/>
        </w:rPr>
        <w:t>a e</w:t>
      </w:r>
      <w:r w:rsidRPr="001D7836">
        <w:rPr>
          <w:rFonts w:ascii="Times New Roman" w:hAnsi="Times New Roman"/>
          <w:iCs/>
          <w:sz w:val="24"/>
          <w:szCs w:val="24"/>
          <w:lang w:val="it-IT"/>
        </w:rPr>
        <w:t xml:space="preserve"> Infrastrukturës dhe Energjisë;</w:t>
      </w:r>
    </w:p>
    <w:p w14:paraId="4230FC1D" w14:textId="22CD785E" w:rsidR="00AB4EA6" w:rsidRPr="001D7836" w:rsidRDefault="00AB4EA6" w:rsidP="00B54797">
      <w:pPr>
        <w:pStyle w:val="ListParagraph"/>
        <w:numPr>
          <w:ilvl w:val="0"/>
          <w:numId w:val="26"/>
        </w:numPr>
        <w:spacing w:after="0" w:line="276" w:lineRule="auto"/>
        <w:jc w:val="both"/>
        <w:rPr>
          <w:rFonts w:ascii="Times New Roman" w:hAnsi="Times New Roman"/>
          <w:iCs/>
          <w:sz w:val="24"/>
          <w:szCs w:val="24"/>
          <w:lang w:val="it-IT"/>
        </w:rPr>
      </w:pPr>
      <w:r w:rsidRPr="007E4505">
        <w:rPr>
          <w:rFonts w:ascii="Times New Roman" w:hAnsi="Times New Roman"/>
          <w:noProof/>
          <w:sz w:val="24"/>
          <w:szCs w:val="24"/>
          <w:lang w:val="sq-AL"/>
        </w:rPr>
        <w:t>Ministri</w:t>
      </w:r>
      <w:r w:rsidR="007E4505" w:rsidRPr="007E4505">
        <w:rPr>
          <w:rFonts w:ascii="Times New Roman" w:hAnsi="Times New Roman"/>
          <w:noProof/>
          <w:sz w:val="24"/>
          <w:szCs w:val="24"/>
          <w:lang w:val="sq-AL"/>
        </w:rPr>
        <w:t xml:space="preserve">a e </w:t>
      </w:r>
      <w:r w:rsidRPr="007E4505">
        <w:rPr>
          <w:rFonts w:ascii="Times New Roman" w:hAnsi="Times New Roman"/>
          <w:noProof/>
          <w:sz w:val="24"/>
          <w:szCs w:val="24"/>
          <w:lang w:val="sq-AL"/>
        </w:rPr>
        <w:t>Ekonomisë, Kulturës dhe Inovacionit;</w:t>
      </w:r>
    </w:p>
    <w:p w14:paraId="6C44C318" w14:textId="6E69E1A0" w:rsidR="00AB4EA6" w:rsidRPr="001D7836" w:rsidRDefault="00AB4EA6" w:rsidP="00B54797">
      <w:pPr>
        <w:pStyle w:val="ListParagraph"/>
        <w:numPr>
          <w:ilvl w:val="0"/>
          <w:numId w:val="26"/>
        </w:numPr>
        <w:spacing w:after="0" w:line="276" w:lineRule="auto"/>
        <w:jc w:val="both"/>
        <w:rPr>
          <w:rFonts w:ascii="Times New Roman" w:hAnsi="Times New Roman"/>
          <w:iCs/>
          <w:sz w:val="24"/>
          <w:szCs w:val="24"/>
          <w:lang w:val="it-IT"/>
        </w:rPr>
      </w:pPr>
      <w:r w:rsidRPr="001D7836">
        <w:rPr>
          <w:rFonts w:ascii="Times New Roman" w:hAnsi="Times New Roman"/>
          <w:iCs/>
          <w:sz w:val="24"/>
          <w:szCs w:val="24"/>
          <w:lang w:val="it-IT"/>
        </w:rPr>
        <w:t>Ministri</w:t>
      </w:r>
      <w:r w:rsidR="007E4505" w:rsidRPr="001D7836">
        <w:rPr>
          <w:rFonts w:ascii="Times New Roman" w:hAnsi="Times New Roman"/>
          <w:iCs/>
          <w:sz w:val="24"/>
          <w:szCs w:val="24"/>
          <w:lang w:val="it-IT"/>
        </w:rPr>
        <w:t xml:space="preserve">a e </w:t>
      </w:r>
      <w:r w:rsidRPr="001D7836">
        <w:rPr>
          <w:rFonts w:ascii="Times New Roman" w:hAnsi="Times New Roman"/>
          <w:iCs/>
          <w:sz w:val="24"/>
          <w:szCs w:val="24"/>
          <w:lang w:val="it-IT"/>
        </w:rPr>
        <w:t>Shtetit për Pushtetin Vendor;</w:t>
      </w:r>
    </w:p>
    <w:p w14:paraId="24FD5267" w14:textId="750DA4E8" w:rsidR="00AB4EA6" w:rsidRPr="007E4505" w:rsidRDefault="00AB4EA6" w:rsidP="00B54797">
      <w:pPr>
        <w:pStyle w:val="ListParagraph"/>
        <w:numPr>
          <w:ilvl w:val="0"/>
          <w:numId w:val="26"/>
        </w:numPr>
        <w:spacing w:line="276" w:lineRule="auto"/>
        <w:jc w:val="both"/>
        <w:rPr>
          <w:rFonts w:ascii="Times New Roman" w:hAnsi="Times New Roman"/>
          <w:iCs/>
          <w:sz w:val="24"/>
          <w:szCs w:val="24"/>
          <w:lang w:val="en-GB"/>
        </w:rPr>
      </w:pPr>
      <w:r w:rsidRPr="007E4505">
        <w:rPr>
          <w:rFonts w:ascii="Times New Roman" w:hAnsi="Times New Roman"/>
          <w:noProof/>
          <w:sz w:val="24"/>
          <w:szCs w:val="24"/>
          <w:lang w:val="sq-AL"/>
        </w:rPr>
        <w:t>Ministri</w:t>
      </w:r>
      <w:r w:rsidR="007E4505" w:rsidRPr="007E4505">
        <w:rPr>
          <w:rFonts w:ascii="Times New Roman" w:hAnsi="Times New Roman"/>
          <w:noProof/>
          <w:sz w:val="24"/>
          <w:szCs w:val="24"/>
          <w:lang w:val="sq-AL"/>
        </w:rPr>
        <w:t xml:space="preserve"> i </w:t>
      </w:r>
      <w:r w:rsidRPr="007E4505">
        <w:rPr>
          <w:rFonts w:ascii="Times New Roman" w:hAnsi="Times New Roman"/>
          <w:noProof/>
          <w:sz w:val="24"/>
          <w:szCs w:val="24"/>
          <w:lang w:val="sq-AL"/>
        </w:rPr>
        <w:t>Shtetit dhe Kryenegociator;</w:t>
      </w:r>
    </w:p>
    <w:p w14:paraId="1AAE89D9" w14:textId="10CD11AC" w:rsidR="005A37B4" w:rsidRPr="001D7836" w:rsidRDefault="00AB4EA6" w:rsidP="00B54797">
      <w:pPr>
        <w:pStyle w:val="ListParagraph"/>
        <w:numPr>
          <w:ilvl w:val="0"/>
          <w:numId w:val="26"/>
        </w:numPr>
        <w:spacing w:line="276" w:lineRule="auto"/>
        <w:jc w:val="both"/>
        <w:rPr>
          <w:rFonts w:ascii="Times New Roman" w:hAnsi="Times New Roman"/>
          <w:iCs/>
          <w:sz w:val="24"/>
          <w:szCs w:val="24"/>
          <w:lang w:val="it-IT"/>
        </w:rPr>
      </w:pPr>
      <w:r w:rsidRPr="001D7836">
        <w:rPr>
          <w:rFonts w:ascii="Times New Roman" w:hAnsi="Times New Roman"/>
          <w:iCs/>
          <w:sz w:val="24"/>
          <w:szCs w:val="24"/>
          <w:lang w:val="it-IT"/>
        </w:rPr>
        <w:t>Ministr</w:t>
      </w:r>
      <w:r w:rsidR="007E4505" w:rsidRPr="001D7836">
        <w:rPr>
          <w:rFonts w:ascii="Times New Roman" w:hAnsi="Times New Roman"/>
          <w:iCs/>
          <w:sz w:val="24"/>
          <w:szCs w:val="24"/>
          <w:lang w:val="it-IT"/>
        </w:rPr>
        <w:t>i i</w:t>
      </w:r>
      <w:r w:rsidRPr="001D7836">
        <w:rPr>
          <w:rFonts w:ascii="Times New Roman" w:hAnsi="Times New Roman"/>
          <w:iCs/>
          <w:sz w:val="24"/>
          <w:szCs w:val="24"/>
          <w:lang w:val="it-IT"/>
        </w:rPr>
        <w:t xml:space="preserve"> Shtetit për Marrëdhëniet me Parlamentin</w:t>
      </w:r>
      <w:r w:rsidR="006B7075">
        <w:rPr>
          <w:rFonts w:ascii="Times New Roman" w:hAnsi="Times New Roman"/>
          <w:noProof/>
          <w:sz w:val="24"/>
          <w:szCs w:val="24"/>
          <w:lang w:val="sq-AL"/>
        </w:rPr>
        <w:t>;</w:t>
      </w:r>
    </w:p>
    <w:p w14:paraId="71D9923F" w14:textId="58CAB479" w:rsidR="006B7075" w:rsidRPr="00ED6DF6" w:rsidRDefault="006B7075" w:rsidP="00B54797">
      <w:pPr>
        <w:pStyle w:val="ListParagraph"/>
        <w:numPr>
          <w:ilvl w:val="0"/>
          <w:numId w:val="26"/>
        </w:numPr>
        <w:spacing w:line="276" w:lineRule="auto"/>
        <w:jc w:val="both"/>
        <w:rPr>
          <w:rFonts w:ascii="Times New Roman" w:hAnsi="Times New Roman"/>
          <w:iCs/>
          <w:sz w:val="24"/>
          <w:szCs w:val="24"/>
          <w:lang w:val="en-GB"/>
        </w:rPr>
      </w:pPr>
      <w:r>
        <w:rPr>
          <w:rFonts w:ascii="Times New Roman" w:hAnsi="Times New Roman"/>
          <w:noProof/>
          <w:sz w:val="24"/>
          <w:szCs w:val="24"/>
          <w:lang w:val="sq-AL"/>
        </w:rPr>
        <w:t>Ministria e Financave;</w:t>
      </w:r>
    </w:p>
    <w:p w14:paraId="0A9177E4" w14:textId="77777777" w:rsidR="005A37B4" w:rsidRDefault="00981D81" w:rsidP="00B54797">
      <w:pPr>
        <w:pStyle w:val="ListParagraph"/>
        <w:numPr>
          <w:ilvl w:val="0"/>
          <w:numId w:val="26"/>
        </w:numPr>
        <w:spacing w:line="276" w:lineRule="auto"/>
        <w:jc w:val="both"/>
        <w:rPr>
          <w:rFonts w:ascii="Times New Roman" w:hAnsi="Times New Roman" w:cs="Times New Roman"/>
          <w:noProof/>
          <w:color w:val="000000"/>
          <w:sz w:val="24"/>
          <w:szCs w:val="24"/>
          <w:lang w:val="sq-AL"/>
        </w:rPr>
      </w:pPr>
      <w:r w:rsidRPr="005A37B4">
        <w:rPr>
          <w:rFonts w:ascii="Times New Roman" w:hAnsi="Times New Roman" w:cs="Times New Roman"/>
          <w:noProof/>
          <w:color w:val="000000"/>
          <w:sz w:val="24"/>
          <w:szCs w:val="24"/>
          <w:lang w:val="sq-AL"/>
        </w:rPr>
        <w:t>Departamenti i Administratës Publike;</w:t>
      </w:r>
    </w:p>
    <w:p w14:paraId="1AB622A3" w14:textId="77777777" w:rsidR="005A37B4" w:rsidRDefault="00981D81" w:rsidP="00D4074A">
      <w:pPr>
        <w:pStyle w:val="ListParagraph"/>
        <w:numPr>
          <w:ilvl w:val="0"/>
          <w:numId w:val="26"/>
        </w:numPr>
        <w:spacing w:line="276" w:lineRule="auto"/>
        <w:jc w:val="both"/>
        <w:rPr>
          <w:rFonts w:ascii="Times New Roman" w:hAnsi="Times New Roman" w:cs="Times New Roman"/>
          <w:noProof/>
          <w:color w:val="000000"/>
          <w:sz w:val="24"/>
          <w:szCs w:val="24"/>
          <w:lang w:val="sq-AL"/>
        </w:rPr>
      </w:pPr>
      <w:r w:rsidRPr="005A37B4">
        <w:rPr>
          <w:rFonts w:ascii="Times New Roman" w:hAnsi="Times New Roman" w:cs="Times New Roman"/>
          <w:noProof/>
          <w:color w:val="000000"/>
          <w:sz w:val="24"/>
          <w:szCs w:val="24"/>
          <w:lang w:val="sq-AL"/>
        </w:rPr>
        <w:t>Agjencia Shtetërore e Programimit Strategjik dhe Koordinimit të Ndihmës;</w:t>
      </w:r>
    </w:p>
    <w:p w14:paraId="27A4AD8F" w14:textId="77777777" w:rsidR="005A37B4" w:rsidRDefault="00981D81" w:rsidP="00D4074A">
      <w:pPr>
        <w:pStyle w:val="ListParagraph"/>
        <w:numPr>
          <w:ilvl w:val="0"/>
          <w:numId w:val="26"/>
        </w:numPr>
        <w:spacing w:line="276" w:lineRule="auto"/>
        <w:jc w:val="both"/>
        <w:rPr>
          <w:rFonts w:ascii="Times New Roman" w:hAnsi="Times New Roman" w:cs="Times New Roman"/>
          <w:noProof/>
          <w:color w:val="000000"/>
          <w:sz w:val="24"/>
          <w:szCs w:val="24"/>
          <w:lang w:val="sq-AL"/>
        </w:rPr>
      </w:pPr>
      <w:r w:rsidRPr="005A37B4">
        <w:rPr>
          <w:rFonts w:ascii="Times New Roman" w:hAnsi="Times New Roman" w:cs="Times New Roman"/>
          <w:noProof/>
          <w:color w:val="000000"/>
          <w:sz w:val="24"/>
          <w:szCs w:val="24"/>
          <w:lang w:val="sq-AL"/>
        </w:rPr>
        <w:t>Agjencia për Dialog dhe Bashkëqeverisje;</w:t>
      </w:r>
    </w:p>
    <w:p w14:paraId="407C1F1B" w14:textId="297212BC" w:rsidR="005A37B4" w:rsidRPr="00B311AC" w:rsidRDefault="00981D81" w:rsidP="00D4074A">
      <w:pPr>
        <w:pStyle w:val="ListParagraph"/>
        <w:numPr>
          <w:ilvl w:val="0"/>
          <w:numId w:val="26"/>
        </w:numPr>
        <w:spacing w:line="276" w:lineRule="auto"/>
        <w:jc w:val="both"/>
        <w:rPr>
          <w:rFonts w:ascii="Times New Roman" w:hAnsi="Times New Roman" w:cs="Times New Roman"/>
          <w:noProof/>
          <w:color w:val="000000"/>
          <w:sz w:val="24"/>
          <w:szCs w:val="24"/>
          <w:lang w:val="sq-AL"/>
        </w:rPr>
      </w:pPr>
      <w:r w:rsidRPr="005A37B4">
        <w:rPr>
          <w:rFonts w:ascii="Times New Roman" w:hAnsi="Times New Roman" w:cs="Times New Roman"/>
          <w:noProof/>
          <w:color w:val="000000"/>
          <w:sz w:val="24"/>
          <w:szCs w:val="24"/>
          <w:lang w:val="sq-AL"/>
        </w:rPr>
        <w:t>Agjencia Kombëtare e Shoqërisë së Informacionit;</w:t>
      </w:r>
    </w:p>
    <w:p w14:paraId="0290A913" w14:textId="284418F6" w:rsidR="00943FD2" w:rsidRDefault="00981D81" w:rsidP="00D4074A">
      <w:pPr>
        <w:pStyle w:val="ListParagraph"/>
        <w:numPr>
          <w:ilvl w:val="0"/>
          <w:numId w:val="26"/>
        </w:numPr>
        <w:spacing w:line="276" w:lineRule="auto"/>
        <w:jc w:val="both"/>
        <w:rPr>
          <w:rFonts w:ascii="Times New Roman" w:hAnsi="Times New Roman" w:cs="Times New Roman"/>
          <w:noProof/>
          <w:color w:val="000000"/>
          <w:sz w:val="24"/>
          <w:szCs w:val="24"/>
          <w:lang w:val="sq-AL"/>
        </w:rPr>
      </w:pPr>
      <w:r w:rsidRPr="005A37B4">
        <w:rPr>
          <w:rFonts w:ascii="Times New Roman" w:hAnsi="Times New Roman" w:cs="Times New Roman"/>
          <w:noProof/>
          <w:color w:val="000000"/>
          <w:sz w:val="24"/>
          <w:szCs w:val="24"/>
          <w:lang w:val="sq-AL"/>
        </w:rPr>
        <w:t>Shkolla Shqiptare e Administratës Publike</w:t>
      </w:r>
      <w:r w:rsidR="00D21936">
        <w:rPr>
          <w:rFonts w:ascii="Times New Roman" w:hAnsi="Times New Roman" w:cs="Times New Roman"/>
          <w:noProof/>
          <w:color w:val="000000"/>
          <w:sz w:val="24"/>
          <w:szCs w:val="24"/>
          <w:lang w:val="sq-AL"/>
        </w:rPr>
        <w:t>;</w:t>
      </w:r>
    </w:p>
    <w:p w14:paraId="2A91A73E" w14:textId="696A7E16" w:rsidR="00D72675" w:rsidRDefault="00D72675" w:rsidP="00D4074A">
      <w:pPr>
        <w:pStyle w:val="ListParagraph"/>
        <w:numPr>
          <w:ilvl w:val="0"/>
          <w:numId w:val="26"/>
        </w:numPr>
        <w:spacing w:line="276" w:lineRule="auto"/>
        <w:jc w:val="both"/>
        <w:rPr>
          <w:rFonts w:ascii="Times New Roman" w:hAnsi="Times New Roman" w:cs="Times New Roman"/>
          <w:noProof/>
          <w:color w:val="000000"/>
          <w:sz w:val="24"/>
          <w:szCs w:val="24"/>
          <w:lang w:val="sq-AL"/>
        </w:rPr>
      </w:pPr>
      <w:r>
        <w:rPr>
          <w:rFonts w:ascii="Times New Roman" w:hAnsi="Times New Roman" w:cs="Times New Roman"/>
          <w:noProof/>
          <w:color w:val="000000"/>
          <w:sz w:val="24"/>
          <w:szCs w:val="24"/>
          <w:lang w:val="sq-AL"/>
        </w:rPr>
        <w:t>Agjencia e Prokurimit Publik</w:t>
      </w:r>
      <w:r w:rsidR="00C534BD">
        <w:rPr>
          <w:rFonts w:ascii="Times New Roman" w:hAnsi="Times New Roman" w:cs="Times New Roman"/>
          <w:noProof/>
          <w:color w:val="000000"/>
          <w:sz w:val="24"/>
          <w:szCs w:val="24"/>
          <w:lang w:val="sq-AL"/>
        </w:rPr>
        <w:t>;</w:t>
      </w:r>
    </w:p>
    <w:p w14:paraId="3FD07DCB" w14:textId="29B3F47A" w:rsidR="00F265D2" w:rsidRDefault="00F265D2" w:rsidP="00D4074A">
      <w:pPr>
        <w:pStyle w:val="ListParagraph"/>
        <w:numPr>
          <w:ilvl w:val="0"/>
          <w:numId w:val="26"/>
        </w:numPr>
        <w:spacing w:line="276" w:lineRule="auto"/>
        <w:jc w:val="both"/>
        <w:rPr>
          <w:rFonts w:ascii="Times New Roman" w:hAnsi="Times New Roman" w:cs="Times New Roman"/>
          <w:noProof/>
          <w:color w:val="000000"/>
          <w:sz w:val="24"/>
          <w:szCs w:val="24"/>
          <w:lang w:val="sq-AL"/>
        </w:rPr>
      </w:pPr>
      <w:r>
        <w:rPr>
          <w:rFonts w:ascii="Times New Roman" w:hAnsi="Times New Roman" w:cs="Times New Roman"/>
          <w:noProof/>
          <w:color w:val="000000"/>
          <w:sz w:val="24"/>
          <w:szCs w:val="24"/>
          <w:lang w:val="sq-AL"/>
        </w:rPr>
        <w:t>Agjencia për Efiçencën e Energjisë</w:t>
      </w:r>
      <w:r w:rsidR="004C4437">
        <w:rPr>
          <w:rFonts w:ascii="Times New Roman" w:hAnsi="Times New Roman" w:cs="Times New Roman"/>
          <w:noProof/>
          <w:color w:val="000000"/>
          <w:sz w:val="24"/>
          <w:szCs w:val="24"/>
          <w:lang w:val="sq-AL"/>
        </w:rPr>
        <w:t>;</w:t>
      </w:r>
    </w:p>
    <w:p w14:paraId="52EECD33" w14:textId="38FBD8C1" w:rsidR="003B7186" w:rsidRDefault="003B7186" w:rsidP="00D4074A">
      <w:pPr>
        <w:pStyle w:val="ListParagraph"/>
        <w:numPr>
          <w:ilvl w:val="0"/>
          <w:numId w:val="26"/>
        </w:numPr>
        <w:spacing w:line="276" w:lineRule="auto"/>
        <w:jc w:val="both"/>
        <w:rPr>
          <w:rFonts w:ascii="Times New Roman" w:hAnsi="Times New Roman" w:cs="Times New Roman"/>
          <w:noProof/>
          <w:color w:val="000000"/>
          <w:sz w:val="24"/>
          <w:szCs w:val="24"/>
          <w:lang w:val="sq-AL"/>
        </w:rPr>
      </w:pPr>
      <w:r>
        <w:rPr>
          <w:rFonts w:ascii="Times New Roman" w:hAnsi="Times New Roman" w:cs="Times New Roman"/>
          <w:noProof/>
          <w:color w:val="000000"/>
          <w:sz w:val="24"/>
          <w:szCs w:val="24"/>
          <w:lang w:val="sq-AL"/>
        </w:rPr>
        <w:t>Agjencia</w:t>
      </w:r>
      <w:r w:rsidR="00D4074A">
        <w:rPr>
          <w:rFonts w:ascii="Times New Roman" w:hAnsi="Times New Roman" w:cs="Times New Roman"/>
          <w:noProof/>
          <w:color w:val="000000"/>
          <w:sz w:val="24"/>
          <w:szCs w:val="24"/>
          <w:lang w:val="sq-AL"/>
        </w:rPr>
        <w:t xml:space="preserve"> për Mbështetjen e Vetëqeverisjes Vendore;</w:t>
      </w:r>
    </w:p>
    <w:p w14:paraId="561F5A96" w14:textId="3F0C2545" w:rsidR="004828EC" w:rsidRDefault="004828EC" w:rsidP="00D4074A">
      <w:pPr>
        <w:pStyle w:val="ListParagraph"/>
        <w:numPr>
          <w:ilvl w:val="0"/>
          <w:numId w:val="26"/>
        </w:numPr>
        <w:spacing w:line="276" w:lineRule="auto"/>
        <w:jc w:val="both"/>
        <w:rPr>
          <w:rFonts w:ascii="Times New Roman" w:hAnsi="Times New Roman" w:cs="Times New Roman"/>
          <w:noProof/>
          <w:color w:val="000000"/>
          <w:sz w:val="24"/>
          <w:szCs w:val="24"/>
          <w:lang w:val="sq-AL"/>
        </w:rPr>
      </w:pPr>
      <w:r w:rsidRPr="004828EC">
        <w:rPr>
          <w:rFonts w:ascii="Times New Roman" w:hAnsi="Times New Roman" w:cs="Times New Roman"/>
          <w:noProof/>
          <w:color w:val="000000"/>
          <w:sz w:val="24"/>
          <w:szCs w:val="24"/>
          <w:lang w:val="sq-AL"/>
        </w:rPr>
        <w:t>Agjencia Kombëtare e Ekonomisë Qarkulluese</w:t>
      </w:r>
      <w:r>
        <w:rPr>
          <w:rFonts w:ascii="Times New Roman" w:hAnsi="Times New Roman" w:cs="Times New Roman"/>
          <w:noProof/>
          <w:color w:val="000000"/>
          <w:sz w:val="24"/>
          <w:szCs w:val="24"/>
          <w:lang w:val="sq-AL"/>
        </w:rPr>
        <w:t>;</w:t>
      </w:r>
    </w:p>
    <w:p w14:paraId="385D0803" w14:textId="18B8E42C" w:rsidR="00734EB7" w:rsidRDefault="00D21936" w:rsidP="00D4074A">
      <w:pPr>
        <w:pStyle w:val="ListParagraph"/>
        <w:numPr>
          <w:ilvl w:val="0"/>
          <w:numId w:val="26"/>
        </w:numPr>
        <w:spacing w:after="0" w:line="276" w:lineRule="auto"/>
        <w:jc w:val="both"/>
        <w:rPr>
          <w:rFonts w:ascii="Times New Roman" w:hAnsi="Times New Roman" w:cs="Times New Roman"/>
          <w:noProof/>
          <w:color w:val="000000"/>
          <w:sz w:val="24"/>
          <w:szCs w:val="24"/>
          <w:lang w:val="sq-AL"/>
        </w:rPr>
      </w:pPr>
      <w:r>
        <w:rPr>
          <w:rFonts w:ascii="Times New Roman" w:hAnsi="Times New Roman" w:cs="Times New Roman"/>
          <w:noProof/>
          <w:color w:val="000000"/>
          <w:sz w:val="24"/>
          <w:szCs w:val="24"/>
          <w:lang w:val="sq-AL"/>
        </w:rPr>
        <w:t>Qendra e B</w:t>
      </w:r>
      <w:r w:rsidR="00A90F37">
        <w:rPr>
          <w:rFonts w:ascii="Times New Roman" w:hAnsi="Times New Roman" w:cs="Times New Roman"/>
          <w:noProof/>
          <w:color w:val="000000"/>
          <w:sz w:val="24"/>
          <w:szCs w:val="24"/>
          <w:lang w:val="sq-AL"/>
        </w:rPr>
        <w:t>otimeve Zyrtare</w:t>
      </w:r>
      <w:r w:rsidR="00C534BD">
        <w:rPr>
          <w:rFonts w:ascii="Times New Roman" w:hAnsi="Times New Roman" w:cs="Times New Roman"/>
          <w:noProof/>
          <w:color w:val="000000"/>
          <w:sz w:val="24"/>
          <w:szCs w:val="24"/>
          <w:lang w:val="sq-AL"/>
        </w:rPr>
        <w:t>.</w:t>
      </w:r>
    </w:p>
    <w:p w14:paraId="5A2621E6" w14:textId="77777777" w:rsidR="00B54797" w:rsidRDefault="00B54797" w:rsidP="00D4074A">
      <w:pPr>
        <w:pStyle w:val="ListParagraph"/>
        <w:spacing w:after="0" w:line="276" w:lineRule="auto"/>
        <w:jc w:val="both"/>
        <w:rPr>
          <w:rFonts w:ascii="Times New Roman" w:hAnsi="Times New Roman" w:cs="Times New Roman"/>
          <w:noProof/>
          <w:color w:val="000000"/>
          <w:sz w:val="24"/>
          <w:szCs w:val="24"/>
          <w:lang w:val="sq-AL"/>
        </w:rPr>
      </w:pPr>
    </w:p>
    <w:p w14:paraId="12C8ED1F" w14:textId="42240C9E" w:rsidR="00B54797" w:rsidRDefault="00B54797" w:rsidP="00D4074A">
      <w:pPr>
        <w:spacing w:after="120" w:line="276" w:lineRule="auto"/>
        <w:jc w:val="both"/>
        <w:rPr>
          <w:rFonts w:ascii="Times New Roman" w:hAnsi="Times New Roman" w:cs="Times New Roman"/>
          <w:noProof/>
          <w:color w:val="000000"/>
          <w:sz w:val="24"/>
          <w:szCs w:val="24"/>
          <w:lang w:val="sq-AL"/>
        </w:rPr>
      </w:pPr>
      <w:r w:rsidRPr="00641640">
        <w:rPr>
          <w:rFonts w:ascii="Times New Roman" w:hAnsi="Times New Roman" w:cs="Times New Roman"/>
          <w:noProof/>
          <w:color w:val="000000"/>
          <w:sz w:val="24"/>
          <w:szCs w:val="24"/>
          <w:lang w:val="sq-AL"/>
        </w:rPr>
        <w:t>Krahas institucioneve të mësipërme q</w:t>
      </w:r>
      <w:r w:rsidR="000B2313">
        <w:rPr>
          <w:rFonts w:ascii="Times New Roman" w:hAnsi="Times New Roman" w:cs="Times New Roman"/>
          <w:noProof/>
          <w:color w:val="000000"/>
          <w:sz w:val="24"/>
          <w:szCs w:val="24"/>
          <w:lang w:val="sq-AL"/>
        </w:rPr>
        <w:t>e</w:t>
      </w:r>
      <w:r w:rsidRPr="00641640">
        <w:rPr>
          <w:rFonts w:ascii="Times New Roman" w:hAnsi="Times New Roman" w:cs="Times New Roman"/>
          <w:noProof/>
          <w:color w:val="000000"/>
          <w:sz w:val="24"/>
          <w:szCs w:val="24"/>
          <w:lang w:val="sq-AL"/>
        </w:rPr>
        <w:t>ndrore, edhe një numër institucionesh të pavarura gëzojnë kompetenca dhe përgjegjësi në zbatimin e Strategjisë, ku përfshihen:</w:t>
      </w:r>
    </w:p>
    <w:p w14:paraId="413D8A8A" w14:textId="77777777" w:rsidR="00B54797" w:rsidRDefault="00B54797" w:rsidP="00B54797">
      <w:pPr>
        <w:pStyle w:val="ListParagraph"/>
        <w:numPr>
          <w:ilvl w:val="0"/>
          <w:numId w:val="28"/>
        </w:numPr>
        <w:spacing w:before="120" w:after="120" w:line="276" w:lineRule="auto"/>
        <w:jc w:val="both"/>
        <w:rPr>
          <w:rFonts w:ascii="Times New Roman" w:hAnsi="Times New Roman" w:cs="Times New Roman"/>
          <w:noProof/>
          <w:color w:val="000000"/>
          <w:sz w:val="24"/>
          <w:szCs w:val="24"/>
          <w:lang w:val="sq-AL"/>
        </w:rPr>
      </w:pPr>
      <w:r w:rsidRPr="003A6DF5">
        <w:rPr>
          <w:rFonts w:ascii="Times New Roman" w:hAnsi="Times New Roman" w:cs="Times New Roman"/>
          <w:noProof/>
          <w:color w:val="000000"/>
          <w:sz w:val="24"/>
          <w:szCs w:val="24"/>
          <w:lang w:val="sq-AL"/>
        </w:rPr>
        <w:t>Kuvendi i Republikës së Shqipërisë;</w:t>
      </w:r>
    </w:p>
    <w:p w14:paraId="70F8A686" w14:textId="77777777" w:rsidR="00B54797" w:rsidRDefault="00B54797" w:rsidP="00B54797">
      <w:pPr>
        <w:pStyle w:val="ListParagraph"/>
        <w:numPr>
          <w:ilvl w:val="0"/>
          <w:numId w:val="28"/>
        </w:numPr>
        <w:spacing w:before="120" w:after="120" w:line="276" w:lineRule="auto"/>
        <w:jc w:val="both"/>
        <w:rPr>
          <w:rFonts w:ascii="Times New Roman" w:hAnsi="Times New Roman" w:cs="Times New Roman"/>
          <w:noProof/>
          <w:color w:val="000000"/>
          <w:sz w:val="24"/>
          <w:szCs w:val="24"/>
          <w:lang w:val="sq-AL"/>
        </w:rPr>
      </w:pPr>
      <w:r w:rsidRPr="003A6DF5">
        <w:rPr>
          <w:rFonts w:ascii="Times New Roman" w:hAnsi="Times New Roman" w:cs="Times New Roman"/>
          <w:noProof/>
          <w:color w:val="000000"/>
          <w:sz w:val="24"/>
          <w:szCs w:val="24"/>
          <w:lang w:val="sq-AL"/>
        </w:rPr>
        <w:t>Avokati i Popullit;</w:t>
      </w:r>
    </w:p>
    <w:p w14:paraId="63A37210" w14:textId="77777777" w:rsidR="00CF51E8" w:rsidRDefault="00B54797" w:rsidP="00CF51E8">
      <w:pPr>
        <w:pStyle w:val="ListParagraph"/>
        <w:numPr>
          <w:ilvl w:val="0"/>
          <w:numId w:val="28"/>
        </w:numPr>
        <w:spacing w:before="120" w:after="120" w:line="276" w:lineRule="auto"/>
        <w:jc w:val="both"/>
        <w:rPr>
          <w:rFonts w:ascii="Times New Roman" w:hAnsi="Times New Roman" w:cs="Times New Roman"/>
          <w:noProof/>
          <w:color w:val="000000"/>
          <w:sz w:val="24"/>
          <w:szCs w:val="24"/>
          <w:lang w:val="sq-AL"/>
        </w:rPr>
      </w:pPr>
      <w:r w:rsidRPr="003A6DF5">
        <w:rPr>
          <w:rFonts w:ascii="Times New Roman" w:hAnsi="Times New Roman" w:cs="Times New Roman"/>
          <w:noProof/>
          <w:color w:val="000000"/>
          <w:sz w:val="24"/>
          <w:szCs w:val="24"/>
          <w:lang w:val="sq-AL"/>
        </w:rPr>
        <w:t>Komisioneri për të Drejtën e Informimit dhe Mbrojtjen e të Dhënave Personale</w:t>
      </w:r>
      <w:r w:rsidR="00CF51E8">
        <w:rPr>
          <w:rFonts w:ascii="Times New Roman" w:hAnsi="Times New Roman" w:cs="Times New Roman"/>
          <w:noProof/>
          <w:color w:val="000000"/>
          <w:sz w:val="24"/>
          <w:szCs w:val="24"/>
          <w:lang w:val="sq-AL"/>
        </w:rPr>
        <w:t>;</w:t>
      </w:r>
    </w:p>
    <w:p w14:paraId="0E194D15" w14:textId="7F8AC574" w:rsidR="00B54797" w:rsidRPr="00CF51E8" w:rsidRDefault="00CF51E8" w:rsidP="00CF51E8">
      <w:pPr>
        <w:pStyle w:val="ListParagraph"/>
        <w:numPr>
          <w:ilvl w:val="0"/>
          <w:numId w:val="28"/>
        </w:numPr>
        <w:spacing w:before="120" w:after="120" w:line="276" w:lineRule="auto"/>
        <w:jc w:val="both"/>
        <w:rPr>
          <w:rFonts w:ascii="Times New Roman" w:hAnsi="Times New Roman" w:cs="Times New Roman"/>
          <w:noProof/>
          <w:color w:val="000000"/>
          <w:sz w:val="24"/>
          <w:szCs w:val="24"/>
          <w:lang w:val="sq-AL"/>
        </w:rPr>
      </w:pPr>
      <w:r>
        <w:rPr>
          <w:rFonts w:ascii="Times New Roman" w:hAnsi="Times New Roman" w:cs="Times New Roman"/>
          <w:noProof/>
          <w:color w:val="000000"/>
          <w:sz w:val="24"/>
          <w:szCs w:val="24"/>
          <w:lang w:val="sq-AL"/>
        </w:rPr>
        <w:t xml:space="preserve">Agjencia </w:t>
      </w:r>
      <w:r w:rsidR="00FF7D70">
        <w:rPr>
          <w:rFonts w:ascii="Times New Roman" w:hAnsi="Times New Roman" w:cs="Times New Roman"/>
          <w:noProof/>
          <w:color w:val="000000"/>
          <w:sz w:val="24"/>
          <w:szCs w:val="24"/>
          <w:lang w:val="sq-AL"/>
        </w:rPr>
        <w:t>për Mbështetjen e Shoqërisë Civile</w:t>
      </w:r>
      <w:r w:rsidR="00B54797" w:rsidRPr="00CF51E8">
        <w:rPr>
          <w:rFonts w:ascii="Times New Roman" w:hAnsi="Times New Roman" w:cs="Times New Roman"/>
          <w:noProof/>
          <w:color w:val="000000"/>
          <w:sz w:val="24"/>
          <w:szCs w:val="24"/>
          <w:lang w:val="sq-AL"/>
        </w:rPr>
        <w:t>.</w:t>
      </w:r>
    </w:p>
    <w:p w14:paraId="3E792858" w14:textId="77777777" w:rsidR="00B54797" w:rsidRPr="00B54797" w:rsidRDefault="00B54797" w:rsidP="00B54797">
      <w:pPr>
        <w:spacing w:after="0" w:line="276" w:lineRule="auto"/>
        <w:jc w:val="both"/>
        <w:rPr>
          <w:rFonts w:ascii="Times New Roman" w:hAnsi="Times New Roman" w:cs="Times New Roman"/>
          <w:noProof/>
          <w:color w:val="000000"/>
          <w:sz w:val="24"/>
          <w:szCs w:val="24"/>
          <w:lang w:val="sq-AL"/>
        </w:rPr>
      </w:pPr>
    </w:p>
    <w:p w14:paraId="4C83EEFA" w14:textId="425A637E" w:rsidR="00943FD2" w:rsidRPr="00641640" w:rsidRDefault="009C3DDD" w:rsidP="00981D81">
      <w:pPr>
        <w:spacing w:before="120" w:after="120" w:line="240" w:lineRule="auto"/>
        <w:jc w:val="both"/>
        <w:rPr>
          <w:rFonts w:ascii="Times New Roman" w:hAnsi="Times New Roman" w:cs="Times New Roman"/>
          <w:noProof/>
          <w:color w:val="000000"/>
          <w:lang w:val="sq-AL"/>
        </w:rPr>
      </w:pPr>
      <w:r w:rsidRPr="006B2686">
        <w:rPr>
          <w:noProof/>
        </w:rPr>
        <w:lastRenderedPageBreak/>
        <w:drawing>
          <wp:inline distT="0" distB="0" distL="0" distR="0" wp14:anchorId="20A7B3AA" wp14:editId="57704E3D">
            <wp:extent cx="5931673" cy="4104005"/>
            <wp:effectExtent l="0" t="57150" r="0" b="67945"/>
            <wp:docPr id="191631337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63F2B91" w14:textId="77777777" w:rsidR="00981D81" w:rsidRPr="00641640" w:rsidRDefault="00981D81" w:rsidP="00DD57F9">
      <w:pPr>
        <w:spacing w:line="276" w:lineRule="auto"/>
        <w:jc w:val="both"/>
        <w:rPr>
          <w:rFonts w:ascii="Times New Roman" w:hAnsi="Times New Roman" w:cs="Times New Roman"/>
          <w:noProof/>
          <w:color w:val="000000"/>
          <w:sz w:val="24"/>
          <w:szCs w:val="24"/>
          <w:lang w:val="sq-AL"/>
        </w:rPr>
      </w:pPr>
    </w:p>
    <w:p w14:paraId="5BC77525" w14:textId="0E656BDD" w:rsidR="00981D81" w:rsidRPr="000F45FE" w:rsidRDefault="006D7762" w:rsidP="000F45FE">
      <w:pPr>
        <w:spacing w:line="276" w:lineRule="auto"/>
        <w:jc w:val="both"/>
        <w:rPr>
          <w:rFonts w:ascii="Times New Roman" w:hAnsi="Times New Roman" w:cs="Times New Roman"/>
          <w:b/>
          <w:bCs/>
          <w:noProof/>
          <w:sz w:val="24"/>
          <w:szCs w:val="24"/>
          <w:lang w:val="sq-AL"/>
        </w:rPr>
      </w:pPr>
      <w:r>
        <w:rPr>
          <w:rFonts w:ascii="Times New Roman" w:hAnsi="Times New Roman" w:cs="Times New Roman"/>
          <w:b/>
          <w:bCs/>
          <w:noProof/>
          <w:sz w:val="24"/>
          <w:szCs w:val="24"/>
          <w:lang w:val="sq-AL"/>
        </w:rPr>
        <w:t>2</w:t>
      </w:r>
      <w:r w:rsidR="000F45FE" w:rsidRPr="000F45FE">
        <w:rPr>
          <w:rFonts w:ascii="Times New Roman" w:hAnsi="Times New Roman" w:cs="Times New Roman"/>
          <w:b/>
          <w:bCs/>
          <w:noProof/>
          <w:sz w:val="24"/>
          <w:szCs w:val="24"/>
          <w:lang w:val="sq-AL"/>
        </w:rPr>
        <w:t xml:space="preserve">. </w:t>
      </w:r>
      <w:r w:rsidR="00981D81" w:rsidRPr="000F45FE">
        <w:rPr>
          <w:rFonts w:ascii="Times New Roman" w:hAnsi="Times New Roman" w:cs="Times New Roman"/>
          <w:b/>
          <w:bCs/>
          <w:noProof/>
          <w:sz w:val="24"/>
          <w:szCs w:val="24"/>
          <w:lang w:val="sq-AL"/>
        </w:rPr>
        <w:t>P</w:t>
      </w:r>
      <w:r w:rsidR="0063574B" w:rsidRPr="000F45FE">
        <w:rPr>
          <w:rFonts w:ascii="Times New Roman" w:hAnsi="Times New Roman" w:cs="Times New Roman"/>
          <w:b/>
          <w:bCs/>
          <w:noProof/>
          <w:sz w:val="24"/>
          <w:szCs w:val="24"/>
          <w:lang w:val="sq-AL"/>
        </w:rPr>
        <w:t>ë</w:t>
      </w:r>
      <w:r w:rsidR="00981D81" w:rsidRPr="000F45FE">
        <w:rPr>
          <w:rFonts w:ascii="Times New Roman" w:hAnsi="Times New Roman" w:cs="Times New Roman"/>
          <w:b/>
          <w:bCs/>
          <w:noProof/>
          <w:sz w:val="24"/>
          <w:szCs w:val="24"/>
          <w:lang w:val="sq-AL"/>
        </w:rPr>
        <w:t>rgjegj</w:t>
      </w:r>
      <w:r w:rsidR="0063574B" w:rsidRPr="000F45FE">
        <w:rPr>
          <w:rFonts w:ascii="Times New Roman" w:hAnsi="Times New Roman" w:cs="Times New Roman"/>
          <w:b/>
          <w:bCs/>
          <w:noProof/>
          <w:sz w:val="24"/>
          <w:szCs w:val="24"/>
          <w:lang w:val="sq-AL"/>
        </w:rPr>
        <w:t>ë</w:t>
      </w:r>
      <w:r w:rsidR="00981D81" w:rsidRPr="000F45FE">
        <w:rPr>
          <w:rFonts w:ascii="Times New Roman" w:hAnsi="Times New Roman" w:cs="Times New Roman"/>
          <w:b/>
          <w:bCs/>
          <w:noProof/>
          <w:sz w:val="24"/>
          <w:szCs w:val="24"/>
          <w:lang w:val="sq-AL"/>
        </w:rPr>
        <w:t>sit</w:t>
      </w:r>
      <w:r w:rsidR="0063574B" w:rsidRPr="000F45FE">
        <w:rPr>
          <w:rFonts w:ascii="Times New Roman" w:hAnsi="Times New Roman" w:cs="Times New Roman"/>
          <w:b/>
          <w:bCs/>
          <w:noProof/>
          <w:sz w:val="24"/>
          <w:szCs w:val="24"/>
          <w:lang w:val="sq-AL"/>
        </w:rPr>
        <w:t>ë</w:t>
      </w:r>
      <w:r w:rsidR="00981D81" w:rsidRPr="000F45FE">
        <w:rPr>
          <w:rFonts w:ascii="Times New Roman" w:hAnsi="Times New Roman" w:cs="Times New Roman"/>
          <w:b/>
          <w:bCs/>
          <w:noProof/>
          <w:sz w:val="24"/>
          <w:szCs w:val="24"/>
          <w:lang w:val="sq-AL"/>
        </w:rPr>
        <w:t xml:space="preserve"> institucionale t</w:t>
      </w:r>
      <w:r w:rsidR="0063574B" w:rsidRPr="000F45FE">
        <w:rPr>
          <w:rFonts w:ascii="Times New Roman" w:hAnsi="Times New Roman" w:cs="Times New Roman"/>
          <w:b/>
          <w:bCs/>
          <w:noProof/>
          <w:sz w:val="24"/>
          <w:szCs w:val="24"/>
          <w:lang w:val="sq-AL"/>
        </w:rPr>
        <w:t>ë</w:t>
      </w:r>
      <w:r w:rsidR="00981D81" w:rsidRPr="000F45FE">
        <w:rPr>
          <w:rFonts w:ascii="Times New Roman" w:hAnsi="Times New Roman" w:cs="Times New Roman"/>
          <w:b/>
          <w:bCs/>
          <w:noProof/>
          <w:sz w:val="24"/>
          <w:szCs w:val="24"/>
          <w:lang w:val="sq-AL"/>
        </w:rPr>
        <w:t xml:space="preserve"> lidhura me monitorimin dhe raportimin</w:t>
      </w:r>
    </w:p>
    <w:p w14:paraId="1AAF73AF" w14:textId="350489AB" w:rsidR="009D4352" w:rsidRPr="000F45FE" w:rsidRDefault="0020014C" w:rsidP="000F45FE">
      <w:pPr>
        <w:spacing w:line="276" w:lineRule="auto"/>
        <w:jc w:val="both"/>
        <w:rPr>
          <w:rFonts w:ascii="Times New Roman" w:hAnsi="Times New Roman" w:cs="Times New Roman"/>
          <w:noProof/>
          <w:color w:val="000000"/>
          <w:sz w:val="24"/>
          <w:szCs w:val="24"/>
          <w:lang w:val="sq-AL"/>
        </w:rPr>
      </w:pPr>
      <w:r w:rsidRPr="000F45FE">
        <w:rPr>
          <w:rFonts w:ascii="Times New Roman" w:hAnsi="Times New Roman" w:cs="Times New Roman"/>
          <w:noProof/>
          <w:color w:val="000000"/>
          <w:sz w:val="24"/>
          <w:szCs w:val="24"/>
          <w:lang w:val="sq-AL"/>
        </w:rPr>
        <w:t>Përgjegjësitë institucionale p</w:t>
      </w:r>
      <w:r w:rsidR="00064AC5" w:rsidRPr="000F45FE">
        <w:rPr>
          <w:rFonts w:ascii="Times New Roman" w:hAnsi="Times New Roman" w:cs="Times New Roman"/>
          <w:noProof/>
          <w:color w:val="000000"/>
          <w:sz w:val="24"/>
          <w:szCs w:val="24"/>
          <w:lang w:val="sq-AL"/>
        </w:rPr>
        <w:t>ë</w:t>
      </w:r>
      <w:r w:rsidRPr="000F45FE">
        <w:rPr>
          <w:rFonts w:ascii="Times New Roman" w:hAnsi="Times New Roman" w:cs="Times New Roman"/>
          <w:noProof/>
          <w:color w:val="000000"/>
          <w:sz w:val="24"/>
          <w:szCs w:val="24"/>
          <w:lang w:val="sq-AL"/>
        </w:rPr>
        <w:t>r monitorimin dhe raportimin mbi zbatimin e Strategjis</w:t>
      </w:r>
      <w:r w:rsidR="00064AC5" w:rsidRPr="000F45FE">
        <w:rPr>
          <w:rFonts w:ascii="Times New Roman" w:hAnsi="Times New Roman" w:cs="Times New Roman"/>
          <w:noProof/>
          <w:color w:val="000000"/>
          <w:sz w:val="24"/>
          <w:szCs w:val="24"/>
          <w:lang w:val="sq-AL"/>
        </w:rPr>
        <w:t>ë</w:t>
      </w:r>
      <w:r w:rsidRPr="000F45FE">
        <w:rPr>
          <w:rFonts w:ascii="Times New Roman" w:hAnsi="Times New Roman" w:cs="Times New Roman"/>
          <w:noProof/>
          <w:color w:val="000000"/>
          <w:sz w:val="24"/>
          <w:szCs w:val="24"/>
          <w:lang w:val="sq-AL"/>
        </w:rPr>
        <w:t xml:space="preserve"> Nd</w:t>
      </w:r>
      <w:r w:rsidR="00064AC5" w:rsidRPr="000F45FE">
        <w:rPr>
          <w:rFonts w:ascii="Times New Roman" w:hAnsi="Times New Roman" w:cs="Times New Roman"/>
          <w:noProof/>
          <w:color w:val="000000"/>
          <w:sz w:val="24"/>
          <w:szCs w:val="24"/>
          <w:lang w:val="sq-AL"/>
        </w:rPr>
        <w:t>ë</w:t>
      </w:r>
      <w:r w:rsidRPr="000F45FE">
        <w:rPr>
          <w:rFonts w:ascii="Times New Roman" w:hAnsi="Times New Roman" w:cs="Times New Roman"/>
          <w:noProof/>
          <w:color w:val="000000"/>
          <w:sz w:val="24"/>
          <w:szCs w:val="24"/>
          <w:lang w:val="sq-AL"/>
        </w:rPr>
        <w:t>rsektoriale p</w:t>
      </w:r>
      <w:r w:rsidR="00064AC5" w:rsidRPr="000F45FE">
        <w:rPr>
          <w:rFonts w:ascii="Times New Roman" w:hAnsi="Times New Roman" w:cs="Times New Roman"/>
          <w:noProof/>
          <w:color w:val="000000"/>
          <w:sz w:val="24"/>
          <w:szCs w:val="24"/>
          <w:lang w:val="sq-AL"/>
        </w:rPr>
        <w:t>ë</w:t>
      </w:r>
      <w:r w:rsidRPr="000F45FE">
        <w:rPr>
          <w:rFonts w:ascii="Times New Roman" w:hAnsi="Times New Roman" w:cs="Times New Roman"/>
          <w:noProof/>
          <w:color w:val="000000"/>
          <w:sz w:val="24"/>
          <w:szCs w:val="24"/>
          <w:lang w:val="sq-AL"/>
        </w:rPr>
        <w:t>r Reform</w:t>
      </w:r>
      <w:r w:rsidR="00064AC5" w:rsidRPr="000F45FE">
        <w:rPr>
          <w:rFonts w:ascii="Times New Roman" w:hAnsi="Times New Roman" w:cs="Times New Roman"/>
          <w:noProof/>
          <w:color w:val="000000"/>
          <w:sz w:val="24"/>
          <w:szCs w:val="24"/>
          <w:lang w:val="sq-AL"/>
        </w:rPr>
        <w:t>ë</w:t>
      </w:r>
      <w:r w:rsidRPr="000F45FE">
        <w:rPr>
          <w:rFonts w:ascii="Times New Roman" w:hAnsi="Times New Roman" w:cs="Times New Roman"/>
          <w:noProof/>
          <w:color w:val="000000"/>
          <w:sz w:val="24"/>
          <w:szCs w:val="24"/>
          <w:lang w:val="sq-AL"/>
        </w:rPr>
        <w:t>n n</w:t>
      </w:r>
      <w:r w:rsidR="00064AC5" w:rsidRPr="000F45FE">
        <w:rPr>
          <w:rFonts w:ascii="Times New Roman" w:hAnsi="Times New Roman" w:cs="Times New Roman"/>
          <w:noProof/>
          <w:color w:val="000000"/>
          <w:sz w:val="24"/>
          <w:szCs w:val="24"/>
          <w:lang w:val="sq-AL"/>
        </w:rPr>
        <w:t>ë</w:t>
      </w:r>
      <w:r w:rsidRPr="000F45FE">
        <w:rPr>
          <w:rFonts w:ascii="Times New Roman" w:hAnsi="Times New Roman" w:cs="Times New Roman"/>
          <w:noProof/>
          <w:color w:val="000000"/>
          <w:sz w:val="24"/>
          <w:szCs w:val="24"/>
          <w:lang w:val="sq-AL"/>
        </w:rPr>
        <w:t xml:space="preserve"> Administrat</w:t>
      </w:r>
      <w:r w:rsidR="00064AC5" w:rsidRPr="000F45FE">
        <w:rPr>
          <w:rFonts w:ascii="Times New Roman" w:hAnsi="Times New Roman" w:cs="Times New Roman"/>
          <w:noProof/>
          <w:color w:val="000000"/>
          <w:sz w:val="24"/>
          <w:szCs w:val="24"/>
          <w:lang w:val="sq-AL"/>
        </w:rPr>
        <w:t>ë</w:t>
      </w:r>
      <w:r w:rsidR="001D7836">
        <w:rPr>
          <w:rFonts w:ascii="Times New Roman" w:hAnsi="Times New Roman" w:cs="Times New Roman"/>
          <w:noProof/>
          <w:color w:val="000000"/>
          <w:sz w:val="24"/>
          <w:szCs w:val="24"/>
          <w:lang w:val="sq-AL"/>
        </w:rPr>
        <w:t>n Publike 2025</w:t>
      </w:r>
      <w:r w:rsidRPr="000F45FE">
        <w:rPr>
          <w:rFonts w:ascii="Times New Roman" w:hAnsi="Times New Roman" w:cs="Times New Roman"/>
          <w:noProof/>
          <w:color w:val="000000"/>
          <w:sz w:val="24"/>
          <w:szCs w:val="24"/>
          <w:lang w:val="sq-AL"/>
        </w:rPr>
        <w:t>-2030 do t</w:t>
      </w:r>
      <w:r w:rsidR="00064AC5" w:rsidRPr="000F45FE">
        <w:rPr>
          <w:rFonts w:ascii="Times New Roman" w:hAnsi="Times New Roman" w:cs="Times New Roman"/>
          <w:noProof/>
          <w:color w:val="000000"/>
          <w:sz w:val="24"/>
          <w:szCs w:val="24"/>
          <w:lang w:val="sq-AL"/>
        </w:rPr>
        <w:t>ë</w:t>
      </w:r>
      <w:r w:rsidRPr="000F45FE">
        <w:rPr>
          <w:rFonts w:ascii="Times New Roman" w:hAnsi="Times New Roman" w:cs="Times New Roman"/>
          <w:noProof/>
          <w:color w:val="000000"/>
          <w:sz w:val="24"/>
          <w:szCs w:val="24"/>
          <w:lang w:val="sq-AL"/>
        </w:rPr>
        <w:t xml:space="preserve"> udh</w:t>
      </w:r>
      <w:r w:rsidR="00064AC5" w:rsidRPr="000F45FE">
        <w:rPr>
          <w:rFonts w:ascii="Times New Roman" w:hAnsi="Times New Roman" w:cs="Times New Roman"/>
          <w:noProof/>
          <w:color w:val="000000"/>
          <w:sz w:val="24"/>
          <w:szCs w:val="24"/>
          <w:lang w:val="sq-AL"/>
        </w:rPr>
        <w:t>ë</w:t>
      </w:r>
      <w:r w:rsidRPr="000F45FE">
        <w:rPr>
          <w:rFonts w:ascii="Times New Roman" w:hAnsi="Times New Roman" w:cs="Times New Roman"/>
          <w:noProof/>
          <w:color w:val="000000"/>
          <w:sz w:val="24"/>
          <w:szCs w:val="24"/>
          <w:lang w:val="sq-AL"/>
        </w:rPr>
        <w:t xml:space="preserve">hiqen nga </w:t>
      </w:r>
      <w:r w:rsidR="001F53F5" w:rsidRPr="000F45FE">
        <w:rPr>
          <w:rFonts w:ascii="Times New Roman" w:hAnsi="Times New Roman" w:cs="Times New Roman"/>
          <w:noProof/>
          <w:color w:val="000000"/>
          <w:sz w:val="24"/>
          <w:szCs w:val="24"/>
          <w:lang w:val="sq-AL"/>
        </w:rPr>
        <w:t>Departamenti i Administratës Publik</w:t>
      </w:r>
      <w:r w:rsidR="00E072C9" w:rsidRPr="000F45FE">
        <w:rPr>
          <w:rFonts w:ascii="Times New Roman" w:hAnsi="Times New Roman" w:cs="Times New Roman"/>
          <w:noProof/>
          <w:color w:val="000000"/>
          <w:sz w:val="24"/>
          <w:szCs w:val="24"/>
          <w:lang w:val="sq-AL"/>
        </w:rPr>
        <w:t>e</w:t>
      </w:r>
      <w:r w:rsidR="009D4352" w:rsidRPr="000F45FE">
        <w:rPr>
          <w:rFonts w:ascii="Times New Roman" w:hAnsi="Times New Roman" w:cs="Times New Roman"/>
          <w:noProof/>
          <w:color w:val="000000"/>
          <w:sz w:val="24"/>
          <w:szCs w:val="24"/>
          <w:lang w:val="sq-AL"/>
        </w:rPr>
        <w:t>. DAP</w:t>
      </w:r>
      <w:r w:rsidRPr="000F45FE">
        <w:rPr>
          <w:rFonts w:ascii="Times New Roman" w:hAnsi="Times New Roman" w:cs="Times New Roman"/>
          <w:noProof/>
          <w:color w:val="000000"/>
          <w:sz w:val="24"/>
          <w:szCs w:val="24"/>
          <w:lang w:val="sq-AL"/>
        </w:rPr>
        <w:t xml:space="preserve"> do t</w:t>
      </w:r>
      <w:r w:rsidR="00064AC5" w:rsidRPr="000F45FE">
        <w:rPr>
          <w:rFonts w:ascii="Times New Roman" w:hAnsi="Times New Roman" w:cs="Times New Roman"/>
          <w:noProof/>
          <w:color w:val="000000"/>
          <w:sz w:val="24"/>
          <w:szCs w:val="24"/>
          <w:lang w:val="sq-AL"/>
        </w:rPr>
        <w:t>ë</w:t>
      </w:r>
      <w:r w:rsidRPr="000F45FE">
        <w:rPr>
          <w:rFonts w:ascii="Times New Roman" w:hAnsi="Times New Roman" w:cs="Times New Roman"/>
          <w:noProof/>
          <w:color w:val="000000"/>
          <w:sz w:val="24"/>
          <w:szCs w:val="24"/>
          <w:lang w:val="sq-AL"/>
        </w:rPr>
        <w:t xml:space="preserve"> garantoj</w:t>
      </w:r>
      <w:r w:rsidR="00064AC5" w:rsidRPr="000F45FE">
        <w:rPr>
          <w:rFonts w:ascii="Times New Roman" w:hAnsi="Times New Roman" w:cs="Times New Roman"/>
          <w:noProof/>
          <w:color w:val="000000"/>
          <w:sz w:val="24"/>
          <w:szCs w:val="24"/>
          <w:lang w:val="sq-AL"/>
        </w:rPr>
        <w:t>ë</w:t>
      </w:r>
      <w:r w:rsidR="001F53F5" w:rsidRPr="000F45FE">
        <w:rPr>
          <w:rFonts w:ascii="Times New Roman" w:hAnsi="Times New Roman" w:cs="Times New Roman"/>
          <w:noProof/>
          <w:color w:val="000000"/>
          <w:sz w:val="24"/>
          <w:szCs w:val="24"/>
          <w:lang w:val="sq-AL"/>
        </w:rPr>
        <w:t xml:space="preserve"> </w:t>
      </w:r>
      <w:r w:rsidRPr="000F45FE">
        <w:rPr>
          <w:rFonts w:ascii="Times New Roman" w:hAnsi="Times New Roman" w:cs="Times New Roman"/>
          <w:noProof/>
          <w:color w:val="000000"/>
          <w:sz w:val="24"/>
          <w:szCs w:val="24"/>
          <w:lang w:val="sq-AL"/>
        </w:rPr>
        <w:t>m</w:t>
      </w:r>
      <w:r w:rsidR="001F53F5" w:rsidRPr="000F45FE">
        <w:rPr>
          <w:rFonts w:ascii="Times New Roman" w:hAnsi="Times New Roman" w:cs="Times New Roman"/>
          <w:noProof/>
          <w:color w:val="000000"/>
          <w:sz w:val="24"/>
          <w:szCs w:val="24"/>
          <w:lang w:val="sq-AL"/>
        </w:rPr>
        <w:t>onitorimi</w:t>
      </w:r>
      <w:r w:rsidRPr="000F45FE">
        <w:rPr>
          <w:rFonts w:ascii="Times New Roman" w:hAnsi="Times New Roman" w:cs="Times New Roman"/>
          <w:noProof/>
          <w:color w:val="000000"/>
          <w:sz w:val="24"/>
          <w:szCs w:val="24"/>
          <w:lang w:val="sq-AL"/>
        </w:rPr>
        <w:t xml:space="preserve">n efikas </w:t>
      </w:r>
      <w:r w:rsidR="001F53F5" w:rsidRPr="000F45FE">
        <w:rPr>
          <w:rFonts w:ascii="Times New Roman" w:hAnsi="Times New Roman" w:cs="Times New Roman"/>
          <w:noProof/>
          <w:color w:val="000000"/>
          <w:sz w:val="24"/>
          <w:szCs w:val="24"/>
          <w:lang w:val="sq-AL"/>
        </w:rPr>
        <w:t xml:space="preserve">të zbatimit të </w:t>
      </w:r>
      <w:r w:rsidR="00E072C9" w:rsidRPr="000F45FE">
        <w:rPr>
          <w:rFonts w:ascii="Times New Roman" w:hAnsi="Times New Roman" w:cs="Times New Roman"/>
          <w:noProof/>
          <w:color w:val="000000"/>
          <w:sz w:val="24"/>
          <w:szCs w:val="24"/>
          <w:lang w:val="sq-AL"/>
        </w:rPr>
        <w:t>S</w:t>
      </w:r>
      <w:r w:rsidR="001F53F5" w:rsidRPr="000F45FE">
        <w:rPr>
          <w:rFonts w:ascii="Times New Roman" w:hAnsi="Times New Roman" w:cs="Times New Roman"/>
          <w:noProof/>
          <w:color w:val="000000"/>
          <w:sz w:val="24"/>
          <w:szCs w:val="24"/>
          <w:lang w:val="sq-AL"/>
        </w:rPr>
        <w:t>trategjisë në nivel teknik</w:t>
      </w:r>
      <w:r w:rsidRPr="000F45FE">
        <w:rPr>
          <w:rFonts w:ascii="Times New Roman" w:hAnsi="Times New Roman" w:cs="Times New Roman"/>
          <w:noProof/>
          <w:color w:val="000000"/>
          <w:sz w:val="24"/>
          <w:szCs w:val="24"/>
          <w:lang w:val="sq-AL"/>
        </w:rPr>
        <w:t>, p</w:t>
      </w:r>
      <w:r w:rsidR="00064AC5" w:rsidRPr="000F45FE">
        <w:rPr>
          <w:rFonts w:ascii="Times New Roman" w:hAnsi="Times New Roman" w:cs="Times New Roman"/>
          <w:noProof/>
          <w:color w:val="000000"/>
          <w:sz w:val="24"/>
          <w:szCs w:val="24"/>
          <w:lang w:val="sq-AL"/>
        </w:rPr>
        <w:t>ë</w:t>
      </w:r>
      <w:r w:rsidRPr="000F45FE">
        <w:rPr>
          <w:rFonts w:ascii="Times New Roman" w:hAnsi="Times New Roman" w:cs="Times New Roman"/>
          <w:noProof/>
          <w:color w:val="000000"/>
          <w:sz w:val="24"/>
          <w:szCs w:val="24"/>
          <w:lang w:val="sq-AL"/>
        </w:rPr>
        <w:t>rmes Drejtoris</w:t>
      </w:r>
      <w:r w:rsidR="00064AC5" w:rsidRPr="000F45FE">
        <w:rPr>
          <w:rFonts w:ascii="Times New Roman" w:hAnsi="Times New Roman" w:cs="Times New Roman"/>
          <w:noProof/>
          <w:color w:val="000000"/>
          <w:sz w:val="24"/>
          <w:szCs w:val="24"/>
          <w:lang w:val="sq-AL"/>
        </w:rPr>
        <w:t>ë</w:t>
      </w:r>
      <w:r w:rsidRPr="000F45FE">
        <w:rPr>
          <w:rFonts w:ascii="Times New Roman" w:hAnsi="Times New Roman" w:cs="Times New Roman"/>
          <w:noProof/>
          <w:color w:val="000000"/>
          <w:sz w:val="24"/>
          <w:szCs w:val="24"/>
          <w:lang w:val="sq-AL"/>
        </w:rPr>
        <w:t xml:space="preserve"> s</w:t>
      </w:r>
      <w:r w:rsidR="00064AC5" w:rsidRPr="000F45FE">
        <w:rPr>
          <w:rFonts w:ascii="Times New Roman" w:hAnsi="Times New Roman" w:cs="Times New Roman"/>
          <w:noProof/>
          <w:color w:val="000000"/>
          <w:sz w:val="24"/>
          <w:szCs w:val="24"/>
          <w:lang w:val="sq-AL"/>
        </w:rPr>
        <w:t>ë</w:t>
      </w:r>
      <w:r w:rsidRPr="000F45FE">
        <w:rPr>
          <w:rFonts w:ascii="Times New Roman" w:hAnsi="Times New Roman" w:cs="Times New Roman"/>
          <w:noProof/>
          <w:color w:val="000000"/>
          <w:sz w:val="24"/>
          <w:szCs w:val="24"/>
          <w:lang w:val="sq-AL"/>
        </w:rPr>
        <w:t xml:space="preserve"> Programeve të Reformës në Administratën Publike n</w:t>
      </w:r>
      <w:r w:rsidR="00064AC5" w:rsidRPr="000F45FE">
        <w:rPr>
          <w:rFonts w:ascii="Times New Roman" w:hAnsi="Times New Roman" w:cs="Times New Roman"/>
          <w:noProof/>
          <w:color w:val="000000"/>
          <w:sz w:val="24"/>
          <w:szCs w:val="24"/>
          <w:lang w:val="sq-AL"/>
        </w:rPr>
        <w:t>ë</w:t>
      </w:r>
      <w:r w:rsidRPr="000F45FE">
        <w:rPr>
          <w:rFonts w:ascii="Times New Roman" w:hAnsi="Times New Roman" w:cs="Times New Roman"/>
          <w:noProof/>
          <w:color w:val="000000"/>
          <w:sz w:val="24"/>
          <w:szCs w:val="24"/>
          <w:lang w:val="sq-AL"/>
        </w:rPr>
        <w:t xml:space="preserve"> rolin e Sekretariatit Teknik n</w:t>
      </w:r>
      <w:r w:rsidR="00064AC5" w:rsidRPr="000F45FE">
        <w:rPr>
          <w:rFonts w:ascii="Times New Roman" w:hAnsi="Times New Roman" w:cs="Times New Roman"/>
          <w:noProof/>
          <w:color w:val="000000"/>
          <w:sz w:val="24"/>
          <w:szCs w:val="24"/>
          <w:lang w:val="sq-AL"/>
        </w:rPr>
        <w:t>ë</w:t>
      </w:r>
      <w:r w:rsidRPr="000F45FE">
        <w:rPr>
          <w:rFonts w:ascii="Times New Roman" w:hAnsi="Times New Roman" w:cs="Times New Roman"/>
          <w:noProof/>
          <w:color w:val="000000"/>
          <w:sz w:val="24"/>
          <w:szCs w:val="24"/>
          <w:lang w:val="sq-AL"/>
        </w:rPr>
        <w:t xml:space="preserve"> k</w:t>
      </w:r>
      <w:r w:rsidR="00064AC5" w:rsidRPr="000F45FE">
        <w:rPr>
          <w:rFonts w:ascii="Times New Roman" w:hAnsi="Times New Roman" w:cs="Times New Roman"/>
          <w:noProof/>
          <w:color w:val="000000"/>
          <w:sz w:val="24"/>
          <w:szCs w:val="24"/>
          <w:lang w:val="sq-AL"/>
        </w:rPr>
        <w:t>ë</w:t>
      </w:r>
      <w:r w:rsidRPr="000F45FE">
        <w:rPr>
          <w:rFonts w:ascii="Times New Roman" w:hAnsi="Times New Roman" w:cs="Times New Roman"/>
          <w:noProof/>
          <w:color w:val="000000"/>
          <w:sz w:val="24"/>
          <w:szCs w:val="24"/>
          <w:lang w:val="sq-AL"/>
        </w:rPr>
        <w:t>t</w:t>
      </w:r>
      <w:r w:rsidR="00064AC5" w:rsidRPr="000F45FE">
        <w:rPr>
          <w:rFonts w:ascii="Times New Roman" w:hAnsi="Times New Roman" w:cs="Times New Roman"/>
          <w:noProof/>
          <w:color w:val="000000"/>
          <w:sz w:val="24"/>
          <w:szCs w:val="24"/>
          <w:lang w:val="sq-AL"/>
        </w:rPr>
        <w:t>ë</w:t>
      </w:r>
      <w:r w:rsidRPr="000F45FE">
        <w:rPr>
          <w:rFonts w:ascii="Times New Roman" w:hAnsi="Times New Roman" w:cs="Times New Roman"/>
          <w:noProof/>
          <w:color w:val="000000"/>
          <w:sz w:val="24"/>
          <w:szCs w:val="24"/>
          <w:lang w:val="sq-AL"/>
        </w:rPr>
        <w:t xml:space="preserve"> proces.</w:t>
      </w:r>
      <w:r w:rsidRPr="000F45FE" w:rsidDel="0020014C">
        <w:rPr>
          <w:rFonts w:ascii="Times New Roman" w:hAnsi="Times New Roman" w:cs="Times New Roman"/>
          <w:noProof/>
          <w:color w:val="000000"/>
          <w:sz w:val="24"/>
          <w:szCs w:val="24"/>
          <w:lang w:val="sq-AL"/>
        </w:rPr>
        <w:t xml:space="preserve"> </w:t>
      </w:r>
    </w:p>
    <w:p w14:paraId="7A6FFFEB" w14:textId="07CBE683" w:rsidR="001F53F5" w:rsidRPr="000F45FE" w:rsidRDefault="001F53F5" w:rsidP="000F45FE">
      <w:pPr>
        <w:spacing w:line="276" w:lineRule="auto"/>
        <w:jc w:val="both"/>
        <w:rPr>
          <w:rFonts w:ascii="Times New Roman" w:hAnsi="Times New Roman" w:cs="Times New Roman"/>
          <w:noProof/>
          <w:color w:val="000000"/>
          <w:sz w:val="24"/>
          <w:szCs w:val="24"/>
          <w:lang w:val="sq-AL"/>
        </w:rPr>
      </w:pPr>
      <w:r w:rsidRPr="000F45FE">
        <w:rPr>
          <w:rFonts w:ascii="Times New Roman" w:hAnsi="Times New Roman" w:cs="Times New Roman"/>
          <w:noProof/>
          <w:color w:val="000000"/>
          <w:sz w:val="24"/>
          <w:szCs w:val="24"/>
          <w:lang w:val="sq-AL"/>
        </w:rPr>
        <w:t xml:space="preserve">Institucionet përgjegjëse për çdo masë sipas </w:t>
      </w:r>
      <w:r w:rsidR="00E47CCD" w:rsidRPr="000F45FE">
        <w:rPr>
          <w:rFonts w:ascii="Times New Roman" w:hAnsi="Times New Roman" w:cs="Times New Roman"/>
          <w:noProof/>
          <w:color w:val="000000"/>
          <w:sz w:val="24"/>
          <w:szCs w:val="24"/>
          <w:lang w:val="sq-AL"/>
        </w:rPr>
        <w:t>O</w:t>
      </w:r>
      <w:r w:rsidRPr="000F45FE">
        <w:rPr>
          <w:rFonts w:ascii="Times New Roman" w:hAnsi="Times New Roman" w:cs="Times New Roman"/>
          <w:noProof/>
          <w:color w:val="000000"/>
          <w:sz w:val="24"/>
          <w:szCs w:val="24"/>
          <w:lang w:val="sq-AL"/>
        </w:rPr>
        <w:t xml:space="preserve">bjektivave </w:t>
      </w:r>
      <w:r w:rsidR="00E47CCD" w:rsidRPr="000F45FE">
        <w:rPr>
          <w:rFonts w:ascii="Times New Roman" w:hAnsi="Times New Roman" w:cs="Times New Roman"/>
          <w:noProof/>
          <w:color w:val="000000"/>
          <w:sz w:val="24"/>
          <w:szCs w:val="24"/>
          <w:lang w:val="sq-AL"/>
        </w:rPr>
        <w:t>S</w:t>
      </w:r>
      <w:r w:rsidRPr="000F45FE">
        <w:rPr>
          <w:rFonts w:ascii="Times New Roman" w:hAnsi="Times New Roman" w:cs="Times New Roman"/>
          <w:noProof/>
          <w:color w:val="000000"/>
          <w:sz w:val="24"/>
          <w:szCs w:val="24"/>
          <w:lang w:val="sq-AL"/>
        </w:rPr>
        <w:t xml:space="preserve">pecifikë dhe </w:t>
      </w:r>
      <w:r w:rsidR="00E47CCD" w:rsidRPr="000F45FE">
        <w:rPr>
          <w:rFonts w:ascii="Times New Roman" w:hAnsi="Times New Roman" w:cs="Times New Roman"/>
          <w:noProof/>
          <w:color w:val="000000"/>
          <w:sz w:val="24"/>
          <w:szCs w:val="24"/>
          <w:lang w:val="sq-AL"/>
        </w:rPr>
        <w:t>F</w:t>
      </w:r>
      <w:r w:rsidRPr="000F45FE">
        <w:rPr>
          <w:rFonts w:ascii="Times New Roman" w:hAnsi="Times New Roman" w:cs="Times New Roman"/>
          <w:noProof/>
          <w:color w:val="000000"/>
          <w:sz w:val="24"/>
          <w:szCs w:val="24"/>
          <w:lang w:val="sq-AL"/>
        </w:rPr>
        <w:t xml:space="preserve">ushave të </w:t>
      </w:r>
      <w:r w:rsidR="00E47CCD" w:rsidRPr="000F45FE">
        <w:rPr>
          <w:rFonts w:ascii="Times New Roman" w:hAnsi="Times New Roman" w:cs="Times New Roman"/>
          <w:noProof/>
          <w:color w:val="000000"/>
          <w:sz w:val="24"/>
          <w:szCs w:val="24"/>
          <w:lang w:val="sq-AL"/>
        </w:rPr>
        <w:t>P</w:t>
      </w:r>
      <w:r w:rsidRPr="000F45FE">
        <w:rPr>
          <w:rFonts w:ascii="Times New Roman" w:hAnsi="Times New Roman" w:cs="Times New Roman"/>
          <w:noProof/>
          <w:color w:val="000000"/>
          <w:sz w:val="24"/>
          <w:szCs w:val="24"/>
          <w:lang w:val="sq-AL"/>
        </w:rPr>
        <w:t xml:space="preserve">olitikës janë të përcaktuar në </w:t>
      </w:r>
      <w:r w:rsidR="009D4352" w:rsidRPr="000F45FE">
        <w:rPr>
          <w:rFonts w:ascii="Times New Roman" w:hAnsi="Times New Roman" w:cs="Times New Roman"/>
          <w:noProof/>
          <w:color w:val="000000"/>
          <w:sz w:val="24"/>
          <w:szCs w:val="24"/>
          <w:lang w:val="sq-AL"/>
        </w:rPr>
        <w:t>P</w:t>
      </w:r>
      <w:r w:rsidRPr="000F45FE">
        <w:rPr>
          <w:rFonts w:ascii="Times New Roman" w:hAnsi="Times New Roman" w:cs="Times New Roman"/>
          <w:noProof/>
          <w:color w:val="000000"/>
          <w:sz w:val="24"/>
          <w:szCs w:val="24"/>
          <w:lang w:val="sq-AL"/>
        </w:rPr>
        <w:t xml:space="preserve">lanin e </w:t>
      </w:r>
      <w:r w:rsidR="009D4352" w:rsidRPr="000F45FE">
        <w:rPr>
          <w:rFonts w:ascii="Times New Roman" w:hAnsi="Times New Roman" w:cs="Times New Roman"/>
          <w:noProof/>
          <w:color w:val="000000"/>
          <w:sz w:val="24"/>
          <w:szCs w:val="24"/>
          <w:lang w:val="sq-AL"/>
        </w:rPr>
        <w:t>V</w:t>
      </w:r>
      <w:r w:rsidRPr="000F45FE">
        <w:rPr>
          <w:rFonts w:ascii="Times New Roman" w:hAnsi="Times New Roman" w:cs="Times New Roman"/>
          <w:noProof/>
          <w:color w:val="000000"/>
          <w:sz w:val="24"/>
          <w:szCs w:val="24"/>
          <w:lang w:val="sq-AL"/>
        </w:rPr>
        <w:t>eprimit të SNRAP</w:t>
      </w:r>
      <w:r w:rsidR="009D4352" w:rsidRPr="000F45FE">
        <w:rPr>
          <w:rFonts w:ascii="Times New Roman" w:hAnsi="Times New Roman" w:cs="Times New Roman"/>
          <w:noProof/>
          <w:color w:val="000000"/>
          <w:sz w:val="24"/>
          <w:szCs w:val="24"/>
          <w:lang w:val="sq-AL"/>
        </w:rPr>
        <w:t>, i cili i bashk</w:t>
      </w:r>
      <w:r w:rsidR="00064AC5" w:rsidRPr="000F45FE">
        <w:rPr>
          <w:rFonts w:ascii="Times New Roman" w:hAnsi="Times New Roman" w:cs="Times New Roman"/>
          <w:noProof/>
          <w:color w:val="000000"/>
          <w:sz w:val="24"/>
          <w:szCs w:val="24"/>
          <w:lang w:val="sq-AL"/>
        </w:rPr>
        <w:t>ë</w:t>
      </w:r>
      <w:r w:rsidR="009D4352" w:rsidRPr="000F45FE">
        <w:rPr>
          <w:rFonts w:ascii="Times New Roman" w:hAnsi="Times New Roman" w:cs="Times New Roman"/>
          <w:noProof/>
          <w:color w:val="000000"/>
          <w:sz w:val="24"/>
          <w:szCs w:val="24"/>
          <w:lang w:val="sq-AL"/>
        </w:rPr>
        <w:t>lidhet k</w:t>
      </w:r>
      <w:r w:rsidR="00064AC5" w:rsidRPr="000F45FE">
        <w:rPr>
          <w:rFonts w:ascii="Times New Roman" w:hAnsi="Times New Roman" w:cs="Times New Roman"/>
          <w:noProof/>
          <w:color w:val="000000"/>
          <w:sz w:val="24"/>
          <w:szCs w:val="24"/>
          <w:lang w:val="sq-AL"/>
        </w:rPr>
        <w:t>ë</w:t>
      </w:r>
      <w:r w:rsidR="009D4352" w:rsidRPr="000F45FE">
        <w:rPr>
          <w:rFonts w:ascii="Times New Roman" w:hAnsi="Times New Roman" w:cs="Times New Roman"/>
          <w:noProof/>
          <w:color w:val="000000"/>
          <w:sz w:val="24"/>
          <w:szCs w:val="24"/>
          <w:lang w:val="sq-AL"/>
        </w:rPr>
        <w:t>tij dokumenti</w:t>
      </w:r>
      <w:r w:rsidRPr="000F45FE">
        <w:rPr>
          <w:rFonts w:ascii="Times New Roman" w:hAnsi="Times New Roman" w:cs="Times New Roman"/>
          <w:noProof/>
          <w:color w:val="000000"/>
          <w:sz w:val="24"/>
          <w:szCs w:val="24"/>
          <w:lang w:val="sq-AL"/>
        </w:rPr>
        <w:t xml:space="preserve"> në Aneksin 1</w:t>
      </w:r>
      <w:r w:rsidR="009D4352" w:rsidRPr="000F45FE">
        <w:rPr>
          <w:rFonts w:ascii="Times New Roman" w:hAnsi="Times New Roman" w:cs="Times New Roman"/>
          <w:noProof/>
          <w:color w:val="000000"/>
          <w:sz w:val="24"/>
          <w:szCs w:val="24"/>
          <w:lang w:val="sq-AL"/>
        </w:rPr>
        <w:t>. Me q</w:t>
      </w:r>
      <w:r w:rsidR="00064AC5" w:rsidRPr="000F45FE">
        <w:rPr>
          <w:rFonts w:ascii="Times New Roman" w:hAnsi="Times New Roman" w:cs="Times New Roman"/>
          <w:noProof/>
          <w:color w:val="000000"/>
          <w:sz w:val="24"/>
          <w:szCs w:val="24"/>
          <w:lang w:val="sq-AL"/>
        </w:rPr>
        <w:t>ë</w:t>
      </w:r>
      <w:r w:rsidR="009D4352" w:rsidRPr="000F45FE">
        <w:rPr>
          <w:rFonts w:ascii="Times New Roman" w:hAnsi="Times New Roman" w:cs="Times New Roman"/>
          <w:noProof/>
          <w:color w:val="000000"/>
          <w:sz w:val="24"/>
          <w:szCs w:val="24"/>
          <w:lang w:val="sq-AL"/>
        </w:rPr>
        <w:t xml:space="preserve">llim zbatimin efikas </w:t>
      </w:r>
      <w:r w:rsidRPr="000F45FE">
        <w:rPr>
          <w:rFonts w:ascii="Times New Roman" w:hAnsi="Times New Roman" w:cs="Times New Roman"/>
          <w:noProof/>
          <w:color w:val="000000"/>
          <w:sz w:val="24"/>
          <w:szCs w:val="24"/>
          <w:lang w:val="sq-AL"/>
        </w:rPr>
        <w:t xml:space="preserve">të masave të përcaktuara në Strategji dhe </w:t>
      </w:r>
      <w:r w:rsidR="0020014C" w:rsidRPr="000F45FE">
        <w:rPr>
          <w:rFonts w:ascii="Times New Roman" w:hAnsi="Times New Roman" w:cs="Times New Roman"/>
          <w:noProof/>
          <w:color w:val="000000"/>
          <w:sz w:val="24"/>
          <w:szCs w:val="24"/>
          <w:lang w:val="sq-AL"/>
        </w:rPr>
        <w:t>n</w:t>
      </w:r>
      <w:r w:rsidR="00064AC5" w:rsidRPr="000F45FE">
        <w:rPr>
          <w:rFonts w:ascii="Times New Roman" w:hAnsi="Times New Roman" w:cs="Times New Roman"/>
          <w:noProof/>
          <w:color w:val="000000"/>
          <w:sz w:val="24"/>
          <w:szCs w:val="24"/>
          <w:lang w:val="sq-AL"/>
        </w:rPr>
        <w:t>ë</w:t>
      </w:r>
      <w:r w:rsidR="0020014C" w:rsidRPr="000F45FE">
        <w:rPr>
          <w:rFonts w:ascii="Times New Roman" w:hAnsi="Times New Roman" w:cs="Times New Roman"/>
          <w:noProof/>
          <w:color w:val="000000"/>
          <w:sz w:val="24"/>
          <w:szCs w:val="24"/>
          <w:lang w:val="sq-AL"/>
        </w:rPr>
        <w:t xml:space="preserve"> </w:t>
      </w:r>
      <w:r w:rsidRPr="000F45FE">
        <w:rPr>
          <w:rFonts w:ascii="Times New Roman" w:hAnsi="Times New Roman" w:cs="Times New Roman"/>
          <w:noProof/>
          <w:color w:val="000000"/>
          <w:sz w:val="24"/>
          <w:szCs w:val="24"/>
          <w:lang w:val="sq-AL"/>
        </w:rPr>
        <w:t xml:space="preserve">Planin e Veprimit, monitorimi i vazhdueshëm i punës së strukturave të angazhuara </w:t>
      </w:r>
      <w:r w:rsidR="009D4352" w:rsidRPr="000F45FE">
        <w:rPr>
          <w:rFonts w:ascii="Times New Roman" w:hAnsi="Times New Roman" w:cs="Times New Roman"/>
          <w:noProof/>
          <w:color w:val="000000"/>
          <w:sz w:val="24"/>
          <w:szCs w:val="24"/>
          <w:lang w:val="sq-AL"/>
        </w:rPr>
        <w:t>është thelbësor për të analizuar situatën p</w:t>
      </w:r>
      <w:r w:rsidR="00064AC5" w:rsidRPr="000F45FE">
        <w:rPr>
          <w:rFonts w:ascii="Times New Roman" w:hAnsi="Times New Roman" w:cs="Times New Roman"/>
          <w:noProof/>
          <w:color w:val="000000"/>
          <w:sz w:val="24"/>
          <w:szCs w:val="24"/>
          <w:lang w:val="sq-AL"/>
        </w:rPr>
        <w:t>ë</w:t>
      </w:r>
      <w:r w:rsidR="009D4352" w:rsidRPr="000F45FE">
        <w:rPr>
          <w:rFonts w:ascii="Times New Roman" w:hAnsi="Times New Roman" w:cs="Times New Roman"/>
          <w:noProof/>
          <w:color w:val="000000"/>
          <w:sz w:val="24"/>
          <w:szCs w:val="24"/>
          <w:lang w:val="sq-AL"/>
        </w:rPr>
        <w:t>rgjatë zbatimit dhe për të përmbushur objektivat në mënyrë efektive.</w:t>
      </w:r>
    </w:p>
    <w:p w14:paraId="30E7FA8D" w14:textId="1A4C8453" w:rsidR="0010275A" w:rsidRPr="000F45FE" w:rsidRDefault="0010275A" w:rsidP="000F45FE">
      <w:pPr>
        <w:spacing w:line="276" w:lineRule="auto"/>
        <w:jc w:val="both"/>
        <w:rPr>
          <w:rFonts w:ascii="Times New Roman" w:eastAsia="Times New Roman" w:hAnsi="Times New Roman" w:cs="Times New Roman"/>
          <w:noProof/>
          <w:sz w:val="24"/>
          <w:szCs w:val="24"/>
          <w:lang w:val="sq-AL"/>
        </w:rPr>
      </w:pPr>
      <w:r w:rsidRPr="000F45FE">
        <w:rPr>
          <w:rFonts w:ascii="Times New Roman" w:hAnsi="Times New Roman" w:cs="Times New Roman"/>
          <w:noProof/>
          <w:color w:val="000000"/>
          <w:sz w:val="24"/>
          <w:szCs w:val="24"/>
          <w:lang w:val="sq-AL"/>
        </w:rPr>
        <w:t xml:space="preserve">Institucionet bashkëpërgjegjëse do të raportojnë çdo 6-muaj për realizimin e masave, në zbatim të procedurave të </w:t>
      </w:r>
      <w:r w:rsidRPr="000F45FE">
        <w:rPr>
          <w:rFonts w:ascii="Times New Roman" w:hAnsi="Times New Roman" w:cs="Times New Roman"/>
          <w:noProof/>
          <w:sz w:val="24"/>
          <w:szCs w:val="24"/>
          <w:lang w:val="sq-AL"/>
        </w:rPr>
        <w:t xml:space="preserve">monitorimit në fuqi, në kuadër të Sistemit Informativ për Planifikimin Strategjik të Integruar (IPSIS). </w:t>
      </w:r>
      <w:r w:rsidRPr="00E04668">
        <w:rPr>
          <w:rFonts w:ascii="Times New Roman" w:hAnsi="Times New Roman" w:cs="Times New Roman"/>
          <w:noProof/>
          <w:sz w:val="24"/>
          <w:szCs w:val="24"/>
          <w:lang w:val="sq-AL"/>
        </w:rPr>
        <w:t xml:space="preserve">Me qëllimin garantimin e cilësisë së të dhënave, përfaqësuesit në </w:t>
      </w:r>
      <w:r w:rsidR="008840DB" w:rsidRPr="00E04668">
        <w:rPr>
          <w:rFonts w:ascii="Times New Roman" w:hAnsi="Times New Roman" w:cs="Times New Roman"/>
          <w:noProof/>
          <w:sz w:val="24"/>
          <w:szCs w:val="24"/>
          <w:lang w:val="sq-AL"/>
        </w:rPr>
        <w:t>m</w:t>
      </w:r>
      <w:r w:rsidRPr="00E04668">
        <w:rPr>
          <w:rFonts w:ascii="Times New Roman" w:hAnsi="Times New Roman" w:cs="Times New Roman"/>
          <w:noProof/>
          <w:sz w:val="24"/>
          <w:szCs w:val="24"/>
          <w:lang w:val="sq-AL"/>
        </w:rPr>
        <w:t xml:space="preserve">inistritë e </w:t>
      </w:r>
      <w:r w:rsidR="008840DB" w:rsidRPr="00E04668">
        <w:rPr>
          <w:rFonts w:ascii="Times New Roman" w:hAnsi="Times New Roman" w:cs="Times New Roman"/>
          <w:noProof/>
          <w:sz w:val="24"/>
          <w:szCs w:val="24"/>
          <w:lang w:val="sq-AL"/>
        </w:rPr>
        <w:t>l</w:t>
      </w:r>
      <w:r w:rsidRPr="00E04668">
        <w:rPr>
          <w:rFonts w:ascii="Times New Roman" w:hAnsi="Times New Roman" w:cs="Times New Roman"/>
          <w:noProof/>
          <w:sz w:val="24"/>
          <w:szCs w:val="24"/>
          <w:lang w:val="sq-AL"/>
        </w:rPr>
        <w:t xml:space="preserve">injës, do të bashkëpunojnë ngushtësisht me përfaqësuesit në nivel rajonal dhe vendor për monitorimin cilësor të progresit të Strategjisë. Në </w:t>
      </w:r>
      <w:r w:rsidRPr="000F45FE">
        <w:rPr>
          <w:rFonts w:ascii="Times New Roman" w:hAnsi="Times New Roman" w:cs="Times New Roman"/>
          <w:noProof/>
          <w:sz w:val="24"/>
          <w:szCs w:val="24"/>
          <w:lang w:val="sq-AL"/>
        </w:rPr>
        <w:t xml:space="preserve">rolin e institucionit udhëheqës për monitorimin </w:t>
      </w:r>
      <w:r w:rsidRPr="000F45FE">
        <w:rPr>
          <w:rFonts w:ascii="Times New Roman" w:hAnsi="Times New Roman" w:cs="Times New Roman"/>
          <w:noProof/>
          <w:sz w:val="24"/>
          <w:szCs w:val="24"/>
          <w:lang w:val="sq-AL"/>
        </w:rPr>
        <w:lastRenderedPageBreak/>
        <w:t xml:space="preserve">e zbatimit të Strategjisë, Departamenti i Administratës </w:t>
      </w:r>
      <w:r w:rsidRPr="000F45FE">
        <w:rPr>
          <w:rFonts w:ascii="Times New Roman" w:hAnsi="Times New Roman" w:cs="Times New Roman"/>
          <w:noProof/>
          <w:color w:val="000000"/>
          <w:sz w:val="24"/>
          <w:szCs w:val="24"/>
          <w:lang w:val="sq-AL"/>
        </w:rPr>
        <w:t xml:space="preserve">Publike do të mbledhë, përpunojë dhe analizojë në </w:t>
      </w:r>
      <w:r w:rsidR="00D50FCA" w:rsidRPr="000F45FE">
        <w:rPr>
          <w:rFonts w:ascii="Times New Roman" w:hAnsi="Times New Roman" w:cs="Times New Roman"/>
          <w:noProof/>
          <w:color w:val="000000"/>
          <w:sz w:val="24"/>
          <w:szCs w:val="24"/>
          <w:lang w:val="sq-AL"/>
        </w:rPr>
        <w:t>R</w:t>
      </w:r>
      <w:r w:rsidRPr="000F45FE">
        <w:rPr>
          <w:rFonts w:ascii="Times New Roman" w:hAnsi="Times New Roman" w:cs="Times New Roman"/>
          <w:noProof/>
          <w:color w:val="000000"/>
          <w:sz w:val="24"/>
          <w:szCs w:val="24"/>
          <w:lang w:val="sq-AL"/>
        </w:rPr>
        <w:t xml:space="preserve">aporte 6-mujore dhe 1-vjeçare Monitorimi të dhënat mbi ecurinë e zbatimit të Strategjisë. Raportet do të vijojnë të publikohen rregullisht për të garantuar transparencë dhe qasje të publikut të gjerë. </w:t>
      </w:r>
    </w:p>
    <w:p w14:paraId="3CE5F1DE" w14:textId="77777777" w:rsidR="0010275A" w:rsidRPr="00F46F86" w:rsidRDefault="0010275A" w:rsidP="000F45FE">
      <w:pPr>
        <w:spacing w:line="276" w:lineRule="auto"/>
        <w:jc w:val="both"/>
        <w:rPr>
          <w:rFonts w:ascii="Times New Roman" w:eastAsia="Times New Roman" w:hAnsi="Times New Roman" w:cs="Times New Roman"/>
          <w:noProof/>
          <w:sz w:val="24"/>
          <w:szCs w:val="24"/>
          <w:lang w:val="sq-AL"/>
        </w:rPr>
      </w:pPr>
      <w:r w:rsidRPr="000F45FE">
        <w:rPr>
          <w:rFonts w:ascii="Times New Roman" w:eastAsia="Times New Roman" w:hAnsi="Times New Roman" w:cs="Times New Roman"/>
          <w:noProof/>
          <w:sz w:val="24"/>
          <w:szCs w:val="24"/>
          <w:lang w:val="sq-AL"/>
        </w:rPr>
        <w:t xml:space="preserve">Procesi i monitorimit dhe vlerësimit të Strategjisë do të mbështetet në raportimin e unifikuar dhe sistematik të të dhënave të të gjitha institucioneve të përfshira në zbatimin e SNRAP-së 2025-2030. Sipas këtij dokumenti strategjik, secili institucion raporton mbi nivelin e zbatimit të çdo objektivi dhe mase, mbi buxhetin e caktuar, problematikat e hasura dhe vlerësimin e progresit të Strategjisë në përgjithësi. </w:t>
      </w:r>
    </w:p>
    <w:p w14:paraId="17A44A86" w14:textId="3AF26A40" w:rsidR="00784805" w:rsidRPr="000F45FE" w:rsidRDefault="0010275A" w:rsidP="000F45FE">
      <w:pPr>
        <w:spacing w:line="276" w:lineRule="auto"/>
        <w:jc w:val="both"/>
        <w:rPr>
          <w:rFonts w:ascii="Times New Roman" w:eastAsia="Times New Roman" w:hAnsi="Times New Roman" w:cs="Times New Roman"/>
          <w:noProof/>
          <w:sz w:val="24"/>
          <w:szCs w:val="24"/>
          <w:lang w:val="sq-AL"/>
        </w:rPr>
      </w:pPr>
      <w:r w:rsidRPr="00F46F86">
        <w:rPr>
          <w:rFonts w:ascii="Times New Roman" w:eastAsia="Times New Roman" w:hAnsi="Times New Roman" w:cs="Times New Roman"/>
          <w:noProof/>
          <w:sz w:val="24"/>
          <w:szCs w:val="24"/>
          <w:lang w:val="sq-AL"/>
        </w:rPr>
        <w:t xml:space="preserve">Përpunimi statistikor i të dhënave do të kryhet </w:t>
      </w:r>
      <w:r w:rsidR="00F46F86" w:rsidRPr="00F46F86">
        <w:rPr>
          <w:rFonts w:ascii="Times New Roman" w:eastAsia="Times New Roman" w:hAnsi="Times New Roman"/>
          <w:sz w:val="24"/>
          <w:szCs w:val="24"/>
          <w:lang w:val="sq-AL"/>
        </w:rPr>
        <w:t>nëpërmjet analizimit</w:t>
      </w:r>
      <w:r w:rsidR="00F46F86" w:rsidRPr="00F46F86">
        <w:rPr>
          <w:rFonts w:ascii="Times New Roman" w:eastAsia="Times New Roman" w:hAnsi="Times New Roman" w:cs="Times New Roman"/>
          <w:noProof/>
          <w:sz w:val="24"/>
          <w:szCs w:val="24"/>
          <w:lang w:val="sq-AL"/>
        </w:rPr>
        <w:t xml:space="preserve"> </w:t>
      </w:r>
      <w:r w:rsidRPr="00F46F86">
        <w:rPr>
          <w:rFonts w:ascii="Times New Roman" w:eastAsia="Times New Roman" w:hAnsi="Times New Roman" w:cs="Times New Roman"/>
          <w:noProof/>
          <w:sz w:val="24"/>
          <w:szCs w:val="24"/>
          <w:lang w:val="sq-AL"/>
        </w:rPr>
        <w:t>të përgjigjeve sipas raporteve të marra nga institucionet zbatuese. Këto raporte janë kryesisht</w:t>
      </w:r>
      <w:r w:rsidRPr="000F45FE">
        <w:rPr>
          <w:rFonts w:ascii="Times New Roman" w:eastAsia="Times New Roman" w:hAnsi="Times New Roman" w:cs="Times New Roman"/>
          <w:noProof/>
          <w:sz w:val="24"/>
          <w:szCs w:val="24"/>
          <w:lang w:val="sq-AL"/>
        </w:rPr>
        <w:t xml:space="preserve"> të karakterit narrativ, por edhe statistikor, duke raportuar Tregues të Performancës për të matur progresin e zbatimit të masave.</w:t>
      </w:r>
    </w:p>
    <w:p w14:paraId="35B9C6B8" w14:textId="4967E414" w:rsidR="001F53F5" w:rsidRDefault="0010275A" w:rsidP="000F45FE">
      <w:pPr>
        <w:spacing w:line="276" w:lineRule="auto"/>
        <w:jc w:val="both"/>
        <w:rPr>
          <w:rFonts w:ascii="Times New Roman" w:hAnsi="Times New Roman" w:cs="Times New Roman"/>
          <w:noProof/>
          <w:color w:val="000000"/>
          <w:sz w:val="24"/>
          <w:szCs w:val="24"/>
          <w:lang w:val="sq-AL"/>
        </w:rPr>
      </w:pPr>
      <w:r w:rsidRPr="000F45FE">
        <w:rPr>
          <w:rFonts w:ascii="Times New Roman" w:eastAsia="Times New Roman" w:hAnsi="Times New Roman" w:cs="Times New Roman"/>
          <w:noProof/>
          <w:sz w:val="24"/>
          <w:szCs w:val="24"/>
          <w:lang w:val="sq-AL"/>
        </w:rPr>
        <w:t>Në përputhje me procedurat që do të ndiqen për raportimin dhe monitorimin e Strategjisë, në zbatim të VKM-së nr. 290, datë 11.4.2020, “</w:t>
      </w:r>
      <w:r w:rsidRPr="000F45FE">
        <w:rPr>
          <w:rFonts w:ascii="Times New Roman" w:eastAsia="Times New Roman" w:hAnsi="Times New Roman" w:cs="Times New Roman"/>
          <w:i/>
          <w:iCs/>
          <w:noProof/>
          <w:sz w:val="24"/>
          <w:szCs w:val="24"/>
          <w:lang w:val="sq-AL"/>
        </w:rPr>
        <w:t>Për krijimin e bazës së të dhënave shtetërore të Sistemit Informatik të Planifikimit të Integruar (SIPI/IPSIS)</w:t>
      </w:r>
      <w:r w:rsidRPr="000F45FE">
        <w:rPr>
          <w:rFonts w:ascii="Times New Roman" w:eastAsia="Times New Roman" w:hAnsi="Times New Roman" w:cs="Times New Roman"/>
          <w:noProof/>
          <w:sz w:val="24"/>
          <w:szCs w:val="24"/>
          <w:lang w:val="sq-AL"/>
        </w:rPr>
        <w:t>”, procesi i përgatitjes së Raporteve të Monitorimit do të ndjekë fazat e mëposhtme:</w:t>
      </w:r>
      <w:r w:rsidR="009D4352" w:rsidRPr="000F45FE">
        <w:rPr>
          <w:rFonts w:ascii="Times New Roman" w:hAnsi="Times New Roman" w:cs="Times New Roman"/>
          <w:noProof/>
          <w:color w:val="000000"/>
          <w:sz w:val="24"/>
          <w:szCs w:val="24"/>
          <w:lang w:val="sq-AL"/>
        </w:rPr>
        <w:t xml:space="preserve"> </w:t>
      </w:r>
    </w:p>
    <w:p w14:paraId="30132F3D" w14:textId="77777777" w:rsidR="000F45FE" w:rsidRPr="000F45FE" w:rsidRDefault="000F45FE" w:rsidP="000F45FE">
      <w:pPr>
        <w:spacing w:line="276" w:lineRule="auto"/>
        <w:jc w:val="both"/>
        <w:rPr>
          <w:rFonts w:ascii="Times New Roman" w:eastAsia="Times New Roman" w:hAnsi="Times New Roman" w:cs="Times New Roman"/>
          <w:noProof/>
          <w:sz w:val="24"/>
          <w:szCs w:val="24"/>
          <w:lang w:val="sq-AL"/>
        </w:rPr>
      </w:pPr>
    </w:p>
    <w:p w14:paraId="33094D7F" w14:textId="77777777" w:rsidR="001F53F5" w:rsidRPr="000F45FE" w:rsidRDefault="001F53F5" w:rsidP="000F45FE">
      <w:pPr>
        <w:spacing w:line="276" w:lineRule="auto"/>
        <w:jc w:val="both"/>
        <w:rPr>
          <w:rFonts w:ascii="Times New Roman" w:hAnsi="Times New Roman" w:cs="Times New Roman"/>
          <w:noProof/>
          <w:color w:val="000000"/>
          <w:sz w:val="24"/>
          <w:szCs w:val="24"/>
          <w:highlight w:val="yellow"/>
          <w:lang w:val="sq-AL"/>
        </w:rPr>
      </w:pPr>
      <w:r w:rsidRPr="000F45FE">
        <w:rPr>
          <w:rFonts w:ascii="Times New Roman" w:hAnsi="Times New Roman" w:cs="Times New Roman"/>
          <w:noProof/>
          <w:sz w:val="24"/>
          <w:szCs w:val="24"/>
          <w:highlight w:val="yellow"/>
        </w:rPr>
        <w:drawing>
          <wp:inline distT="0" distB="0" distL="0" distR="0" wp14:anchorId="3069BC4C" wp14:editId="7B125C0A">
            <wp:extent cx="5929187" cy="3373582"/>
            <wp:effectExtent l="0" t="0" r="0" b="0"/>
            <wp:docPr id="1454420176"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20176" name="Picture 1" descr="A diagram of a company&#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2270" cy="3386716"/>
                    </a:xfrm>
                    <a:prstGeom prst="rect">
                      <a:avLst/>
                    </a:prstGeom>
                    <a:noFill/>
                    <a:ln>
                      <a:noFill/>
                    </a:ln>
                  </pic:spPr>
                </pic:pic>
              </a:graphicData>
            </a:graphic>
          </wp:inline>
        </w:drawing>
      </w:r>
    </w:p>
    <w:p w14:paraId="0F6C9FE5" w14:textId="77777777" w:rsidR="000F45FE" w:rsidRDefault="000F45FE" w:rsidP="000F45FE">
      <w:pPr>
        <w:pBdr>
          <w:top w:val="nil"/>
          <w:left w:val="nil"/>
          <w:bottom w:val="nil"/>
          <w:right w:val="nil"/>
          <w:between w:val="nil"/>
          <w:bar w:val="nil"/>
        </w:pBdr>
        <w:spacing w:after="0" w:line="276" w:lineRule="auto"/>
        <w:ind w:left="1440" w:hanging="1440"/>
        <w:jc w:val="both"/>
        <w:rPr>
          <w:rFonts w:ascii="Times New Roman" w:eastAsia="Arial Unicode MS" w:hAnsi="Times New Roman" w:cs="Times New Roman"/>
          <w:b/>
          <w:bCs/>
          <w:noProof/>
          <w:sz w:val="24"/>
          <w:szCs w:val="24"/>
          <w:u w:color="000000"/>
          <w:bdr w:val="nil"/>
          <w:lang w:val="sq-AL" w:eastAsia="en-GB"/>
        </w:rPr>
      </w:pPr>
    </w:p>
    <w:p w14:paraId="2CDD7D11" w14:textId="77777777" w:rsidR="000F45FE" w:rsidRDefault="000F45FE" w:rsidP="000F45FE">
      <w:pPr>
        <w:pBdr>
          <w:top w:val="nil"/>
          <w:left w:val="nil"/>
          <w:bottom w:val="nil"/>
          <w:right w:val="nil"/>
          <w:between w:val="nil"/>
          <w:bar w:val="nil"/>
        </w:pBdr>
        <w:spacing w:line="276" w:lineRule="auto"/>
        <w:ind w:left="1440" w:hanging="1440"/>
        <w:jc w:val="both"/>
        <w:rPr>
          <w:rFonts w:ascii="Times New Roman" w:eastAsia="Arial Unicode MS" w:hAnsi="Times New Roman" w:cs="Times New Roman"/>
          <w:b/>
          <w:bCs/>
          <w:noProof/>
          <w:sz w:val="24"/>
          <w:szCs w:val="24"/>
          <w:u w:color="000000"/>
          <w:bdr w:val="nil"/>
          <w:lang w:val="sq-AL" w:eastAsia="en-GB"/>
        </w:rPr>
      </w:pPr>
    </w:p>
    <w:p w14:paraId="575B20D7" w14:textId="2C63088A" w:rsidR="005C13C4" w:rsidRPr="000F45FE" w:rsidRDefault="005C13C4" w:rsidP="000F45FE">
      <w:pPr>
        <w:pBdr>
          <w:top w:val="nil"/>
          <w:left w:val="nil"/>
          <w:bottom w:val="nil"/>
          <w:right w:val="nil"/>
          <w:between w:val="nil"/>
          <w:bar w:val="nil"/>
        </w:pBdr>
        <w:spacing w:line="276" w:lineRule="auto"/>
        <w:ind w:left="1440" w:hanging="1440"/>
        <w:jc w:val="both"/>
        <w:rPr>
          <w:rFonts w:ascii="Times New Roman" w:eastAsia="Times New Roman" w:hAnsi="Times New Roman" w:cs="Times New Roman"/>
          <w:noProof/>
          <w:sz w:val="24"/>
          <w:szCs w:val="24"/>
          <w:u w:color="000000"/>
          <w:bdr w:val="nil"/>
          <w:lang w:val="sq-AL" w:eastAsia="en-GB"/>
        </w:rPr>
      </w:pPr>
      <w:r w:rsidRPr="000F45FE">
        <w:rPr>
          <w:rFonts w:ascii="Times New Roman" w:eastAsia="Arial Unicode MS" w:hAnsi="Times New Roman" w:cs="Times New Roman"/>
          <w:b/>
          <w:bCs/>
          <w:noProof/>
          <w:sz w:val="24"/>
          <w:szCs w:val="24"/>
          <w:u w:color="000000"/>
          <w:bdr w:val="nil"/>
          <w:lang w:val="sq-AL" w:eastAsia="en-GB"/>
        </w:rPr>
        <w:lastRenderedPageBreak/>
        <w:t>Faza 1:</w:t>
      </w:r>
      <w:r w:rsidR="00966B03">
        <w:rPr>
          <w:rFonts w:ascii="Times New Roman" w:eastAsia="Arial Unicode MS" w:hAnsi="Times New Roman" w:cs="Times New Roman"/>
          <w:noProof/>
          <w:sz w:val="24"/>
          <w:szCs w:val="24"/>
          <w:u w:color="000000"/>
          <w:bdr w:val="nil"/>
          <w:lang w:val="sq-AL" w:eastAsia="en-GB"/>
        </w:rPr>
        <w:t xml:space="preserve"> </w:t>
      </w:r>
      <w:r w:rsidRPr="000F45FE">
        <w:rPr>
          <w:rFonts w:ascii="Times New Roman" w:eastAsia="Arial Unicode MS" w:hAnsi="Times New Roman" w:cs="Times New Roman"/>
          <w:noProof/>
          <w:sz w:val="24"/>
          <w:szCs w:val="24"/>
          <w:u w:color="000000"/>
          <w:bdr w:val="nil"/>
          <w:lang w:val="sq-AL" w:eastAsia="en-GB"/>
        </w:rPr>
        <w:t>Marrja e kontributeve nga të gjitha institucionet raportuese dhe konsolidimi i paketës në përputhje me standardet e sistemit.</w:t>
      </w:r>
    </w:p>
    <w:p w14:paraId="5E07CC51" w14:textId="5DF12230" w:rsidR="005C13C4" w:rsidRPr="000F45FE" w:rsidRDefault="005C13C4" w:rsidP="000F45FE">
      <w:pPr>
        <w:pBdr>
          <w:top w:val="nil"/>
          <w:left w:val="nil"/>
          <w:bottom w:val="nil"/>
          <w:right w:val="nil"/>
          <w:between w:val="nil"/>
          <w:bar w:val="nil"/>
        </w:pBdr>
        <w:spacing w:after="0" w:line="276" w:lineRule="auto"/>
        <w:ind w:left="1440" w:hanging="1440"/>
        <w:jc w:val="both"/>
        <w:rPr>
          <w:rFonts w:ascii="Times New Roman" w:eastAsia="Times New Roman" w:hAnsi="Times New Roman" w:cs="Times New Roman"/>
          <w:noProof/>
          <w:sz w:val="24"/>
          <w:szCs w:val="24"/>
          <w:u w:color="000000"/>
          <w:bdr w:val="nil"/>
          <w:lang w:val="sq-AL" w:eastAsia="en-GB"/>
        </w:rPr>
      </w:pPr>
      <w:r w:rsidRPr="000F45FE">
        <w:rPr>
          <w:rFonts w:ascii="Times New Roman" w:eastAsia="Arial Unicode MS" w:hAnsi="Times New Roman" w:cs="Times New Roman"/>
          <w:b/>
          <w:bCs/>
          <w:noProof/>
          <w:sz w:val="24"/>
          <w:szCs w:val="24"/>
          <w:u w:color="000000"/>
          <w:bdr w:val="nil"/>
          <w:lang w:val="sq-AL" w:eastAsia="en-GB"/>
        </w:rPr>
        <w:t>Faza 2:</w:t>
      </w:r>
      <w:r w:rsidRPr="000F45FE">
        <w:rPr>
          <w:rFonts w:ascii="Times New Roman" w:eastAsia="Arial Unicode MS" w:hAnsi="Times New Roman" w:cs="Times New Roman"/>
          <w:noProof/>
          <w:sz w:val="24"/>
          <w:szCs w:val="24"/>
          <w:u w:color="000000"/>
          <w:bdr w:val="nil"/>
          <w:lang w:val="sq-AL" w:eastAsia="en-GB"/>
        </w:rPr>
        <w:t xml:space="preserve"> </w:t>
      </w:r>
      <w:r w:rsidR="00966B03">
        <w:rPr>
          <w:rFonts w:ascii="Times New Roman" w:eastAsia="Arial Unicode MS" w:hAnsi="Times New Roman" w:cs="Times New Roman"/>
          <w:noProof/>
          <w:sz w:val="24"/>
          <w:szCs w:val="24"/>
          <w:u w:color="000000"/>
          <w:bdr w:val="nil"/>
          <w:lang w:val="sq-AL" w:eastAsia="en-GB"/>
        </w:rPr>
        <w:t xml:space="preserve"> </w:t>
      </w:r>
      <w:r w:rsidRPr="000F45FE">
        <w:rPr>
          <w:rFonts w:ascii="Times New Roman" w:eastAsia="Arial Unicode MS" w:hAnsi="Times New Roman" w:cs="Times New Roman"/>
          <w:noProof/>
          <w:sz w:val="24"/>
          <w:szCs w:val="24"/>
          <w:u w:color="000000"/>
          <w:bdr w:val="nil"/>
          <w:lang w:val="sq-AL" w:eastAsia="en-GB"/>
        </w:rPr>
        <w:t>Kosolidimi i paket</w:t>
      </w:r>
      <w:r w:rsidR="00954BC9" w:rsidRPr="000F45FE">
        <w:rPr>
          <w:rFonts w:ascii="Times New Roman" w:eastAsia="Arial Unicode MS" w:hAnsi="Times New Roman" w:cs="Times New Roman"/>
          <w:noProof/>
          <w:sz w:val="24"/>
          <w:szCs w:val="24"/>
          <w:u w:color="000000"/>
          <w:bdr w:val="nil"/>
          <w:lang w:val="sq-AL" w:eastAsia="en-GB"/>
        </w:rPr>
        <w:t>ë</w:t>
      </w:r>
      <w:r w:rsidRPr="000F45FE">
        <w:rPr>
          <w:rFonts w:ascii="Times New Roman" w:eastAsia="Arial Unicode MS" w:hAnsi="Times New Roman" w:cs="Times New Roman"/>
          <w:noProof/>
          <w:sz w:val="24"/>
          <w:szCs w:val="24"/>
          <w:u w:color="000000"/>
          <w:bdr w:val="nil"/>
          <w:lang w:val="sq-AL" w:eastAsia="en-GB"/>
        </w:rPr>
        <w:t>s n</w:t>
      </w:r>
      <w:r w:rsidR="00954BC9" w:rsidRPr="000F45FE">
        <w:rPr>
          <w:rFonts w:ascii="Times New Roman" w:eastAsia="Arial Unicode MS" w:hAnsi="Times New Roman" w:cs="Times New Roman"/>
          <w:noProof/>
          <w:sz w:val="24"/>
          <w:szCs w:val="24"/>
          <w:u w:color="000000"/>
          <w:bdr w:val="nil"/>
          <w:lang w:val="sq-AL" w:eastAsia="en-GB"/>
        </w:rPr>
        <w:t>ë</w:t>
      </w:r>
      <w:r w:rsidRPr="000F45FE">
        <w:rPr>
          <w:rFonts w:ascii="Times New Roman" w:eastAsia="Arial Unicode MS" w:hAnsi="Times New Roman" w:cs="Times New Roman"/>
          <w:noProof/>
          <w:sz w:val="24"/>
          <w:szCs w:val="24"/>
          <w:u w:color="000000"/>
          <w:bdr w:val="nil"/>
          <w:lang w:val="sq-AL" w:eastAsia="en-GB"/>
        </w:rPr>
        <w:t xml:space="preserve"> p</w:t>
      </w:r>
      <w:r w:rsidR="00954BC9" w:rsidRPr="000F45FE">
        <w:rPr>
          <w:rFonts w:ascii="Times New Roman" w:eastAsia="Arial Unicode MS" w:hAnsi="Times New Roman" w:cs="Times New Roman"/>
          <w:noProof/>
          <w:sz w:val="24"/>
          <w:szCs w:val="24"/>
          <w:u w:color="000000"/>
          <w:bdr w:val="nil"/>
          <w:lang w:val="sq-AL" w:eastAsia="en-GB"/>
        </w:rPr>
        <w:t>ë</w:t>
      </w:r>
      <w:r w:rsidRPr="000F45FE">
        <w:rPr>
          <w:rFonts w:ascii="Times New Roman" w:eastAsia="Arial Unicode MS" w:hAnsi="Times New Roman" w:cs="Times New Roman"/>
          <w:noProof/>
          <w:sz w:val="24"/>
          <w:szCs w:val="24"/>
          <w:u w:color="000000"/>
          <w:bdr w:val="nil"/>
          <w:lang w:val="sq-AL" w:eastAsia="en-GB"/>
        </w:rPr>
        <w:t>rputhje me standartet e sistemit IPSIS. Paketa e plotë duhet të përfshijë materialet e mëposhtme:</w:t>
      </w:r>
    </w:p>
    <w:p w14:paraId="6C363510" w14:textId="494AF3B7" w:rsidR="005C13C4" w:rsidRPr="000F45FE" w:rsidRDefault="005C13C4" w:rsidP="000F45FE">
      <w:pPr>
        <w:numPr>
          <w:ilvl w:val="0"/>
          <w:numId w:val="25"/>
        </w:numPr>
        <w:pBdr>
          <w:top w:val="nil"/>
          <w:left w:val="nil"/>
          <w:bottom w:val="nil"/>
          <w:right w:val="nil"/>
          <w:between w:val="nil"/>
          <w:bar w:val="nil"/>
        </w:pBdr>
        <w:spacing w:after="0" w:line="276" w:lineRule="auto"/>
        <w:ind w:left="2520"/>
        <w:jc w:val="both"/>
        <w:rPr>
          <w:rFonts w:ascii="Times New Roman" w:eastAsia="Times New Roman" w:hAnsi="Times New Roman" w:cs="Times New Roman"/>
          <w:noProof/>
          <w:sz w:val="24"/>
          <w:szCs w:val="24"/>
          <w:u w:color="000000"/>
          <w:bdr w:val="nil"/>
          <w:lang w:val="sq-AL" w:eastAsia="en-GB"/>
        </w:rPr>
      </w:pPr>
      <w:r w:rsidRPr="000F45FE">
        <w:rPr>
          <w:rFonts w:ascii="Times New Roman" w:eastAsia="Arial Unicode MS" w:hAnsi="Times New Roman" w:cs="Times New Roman"/>
          <w:noProof/>
          <w:sz w:val="24"/>
          <w:szCs w:val="24"/>
          <w:u w:color="000000"/>
          <w:bdr w:val="nil"/>
          <w:lang w:val="sq-AL" w:eastAsia="en-GB"/>
        </w:rPr>
        <w:t xml:space="preserve">Raportin </w:t>
      </w:r>
      <w:r w:rsidR="009C1575" w:rsidRPr="000F45FE">
        <w:rPr>
          <w:rFonts w:ascii="Times New Roman" w:eastAsia="Arial Unicode MS" w:hAnsi="Times New Roman" w:cs="Times New Roman"/>
          <w:noProof/>
          <w:sz w:val="24"/>
          <w:szCs w:val="24"/>
          <w:u w:color="000000"/>
          <w:bdr w:val="nil"/>
          <w:lang w:val="sq-AL" w:eastAsia="en-GB"/>
        </w:rPr>
        <w:t>e</w:t>
      </w:r>
      <w:r w:rsidRPr="000F45FE">
        <w:rPr>
          <w:rFonts w:ascii="Times New Roman" w:eastAsia="Arial Unicode MS" w:hAnsi="Times New Roman" w:cs="Times New Roman"/>
          <w:noProof/>
          <w:sz w:val="24"/>
          <w:szCs w:val="24"/>
          <w:u w:color="000000"/>
          <w:bdr w:val="nil"/>
          <w:lang w:val="sq-AL" w:eastAsia="en-GB"/>
        </w:rPr>
        <w:t xml:space="preserve"> progresi</w:t>
      </w:r>
      <w:r w:rsidR="009C1575" w:rsidRPr="000F45FE">
        <w:rPr>
          <w:rFonts w:ascii="Times New Roman" w:eastAsia="Arial Unicode MS" w:hAnsi="Times New Roman" w:cs="Times New Roman"/>
          <w:noProof/>
          <w:sz w:val="24"/>
          <w:szCs w:val="24"/>
          <w:u w:color="000000"/>
          <w:bdr w:val="nil"/>
          <w:lang w:val="sq-AL" w:eastAsia="en-GB"/>
        </w:rPr>
        <w:t>t</w:t>
      </w:r>
      <w:r w:rsidRPr="000F45FE">
        <w:rPr>
          <w:rFonts w:ascii="Times New Roman" w:eastAsia="Arial Unicode MS" w:hAnsi="Times New Roman" w:cs="Times New Roman"/>
          <w:noProof/>
          <w:sz w:val="24"/>
          <w:szCs w:val="24"/>
          <w:u w:color="000000"/>
          <w:bdr w:val="nil"/>
          <w:lang w:val="sq-AL" w:eastAsia="en-GB"/>
        </w:rPr>
        <w:t xml:space="preserve"> </w:t>
      </w:r>
      <w:r w:rsidR="009C1575" w:rsidRPr="000F45FE">
        <w:rPr>
          <w:rFonts w:ascii="Times New Roman" w:eastAsia="Arial Unicode MS" w:hAnsi="Times New Roman" w:cs="Times New Roman"/>
          <w:noProof/>
          <w:sz w:val="24"/>
          <w:szCs w:val="24"/>
          <w:u w:color="000000"/>
          <w:bdr w:val="nil"/>
          <w:lang w:val="sq-AL" w:eastAsia="en-GB"/>
        </w:rPr>
        <w:t>p</w:t>
      </w:r>
      <w:r w:rsidRPr="000F45FE">
        <w:rPr>
          <w:rFonts w:ascii="Times New Roman" w:eastAsia="Arial Unicode MS" w:hAnsi="Times New Roman" w:cs="Times New Roman"/>
          <w:noProof/>
          <w:sz w:val="24"/>
          <w:szCs w:val="24"/>
          <w:u w:color="000000"/>
          <w:bdr w:val="nil"/>
          <w:lang w:val="sq-AL" w:eastAsia="en-GB"/>
        </w:rPr>
        <w:t>ë</w:t>
      </w:r>
      <w:r w:rsidR="009C1575" w:rsidRPr="000F45FE">
        <w:rPr>
          <w:rFonts w:ascii="Times New Roman" w:eastAsia="Arial Unicode MS" w:hAnsi="Times New Roman" w:cs="Times New Roman"/>
          <w:noProof/>
          <w:sz w:val="24"/>
          <w:szCs w:val="24"/>
          <w:u w:color="000000"/>
          <w:bdr w:val="nil"/>
          <w:lang w:val="sq-AL" w:eastAsia="en-GB"/>
        </w:rPr>
        <w:t>r</w:t>
      </w:r>
      <w:r w:rsidRPr="000F45FE">
        <w:rPr>
          <w:rFonts w:ascii="Times New Roman" w:eastAsia="Arial Unicode MS" w:hAnsi="Times New Roman" w:cs="Times New Roman"/>
          <w:noProof/>
          <w:sz w:val="24"/>
          <w:szCs w:val="24"/>
          <w:u w:color="000000"/>
          <w:bdr w:val="nil"/>
          <w:lang w:val="sq-AL" w:eastAsia="en-GB"/>
        </w:rPr>
        <w:t xml:space="preserve"> zbatim</w:t>
      </w:r>
      <w:r w:rsidR="009C1575" w:rsidRPr="000F45FE">
        <w:rPr>
          <w:rFonts w:ascii="Times New Roman" w:eastAsia="Arial Unicode MS" w:hAnsi="Times New Roman" w:cs="Times New Roman"/>
          <w:noProof/>
          <w:sz w:val="24"/>
          <w:szCs w:val="24"/>
          <w:u w:color="000000"/>
          <w:bdr w:val="nil"/>
          <w:lang w:val="sq-AL" w:eastAsia="en-GB"/>
        </w:rPr>
        <w:t>in e</w:t>
      </w:r>
      <w:r w:rsidRPr="000F45FE">
        <w:rPr>
          <w:rFonts w:ascii="Times New Roman" w:eastAsia="Arial Unicode MS" w:hAnsi="Times New Roman" w:cs="Times New Roman"/>
          <w:noProof/>
          <w:sz w:val="24"/>
          <w:szCs w:val="24"/>
          <w:u w:color="000000"/>
          <w:bdr w:val="nil"/>
          <w:lang w:val="sq-AL" w:eastAsia="en-GB"/>
        </w:rPr>
        <w:t xml:space="preserve"> Strategjisë në përputhje me standardet e sistemit IPSIS.</w:t>
      </w:r>
    </w:p>
    <w:p w14:paraId="769E8764" w14:textId="40FE277A" w:rsidR="005C13C4" w:rsidRPr="000F45FE" w:rsidRDefault="005C13C4" w:rsidP="000F45FE">
      <w:pPr>
        <w:numPr>
          <w:ilvl w:val="0"/>
          <w:numId w:val="25"/>
        </w:numPr>
        <w:pBdr>
          <w:top w:val="nil"/>
          <w:left w:val="nil"/>
          <w:bottom w:val="nil"/>
          <w:right w:val="nil"/>
          <w:between w:val="nil"/>
          <w:bar w:val="nil"/>
        </w:pBdr>
        <w:spacing w:after="0" w:line="276" w:lineRule="auto"/>
        <w:ind w:left="2520"/>
        <w:jc w:val="both"/>
        <w:rPr>
          <w:rFonts w:ascii="Times New Roman" w:eastAsia="Times New Roman" w:hAnsi="Times New Roman" w:cs="Times New Roman"/>
          <w:noProof/>
          <w:sz w:val="24"/>
          <w:szCs w:val="24"/>
          <w:u w:color="000000"/>
          <w:bdr w:val="nil"/>
          <w:lang w:val="sq-AL" w:eastAsia="en-GB"/>
        </w:rPr>
      </w:pPr>
      <w:r w:rsidRPr="000F45FE">
        <w:rPr>
          <w:rFonts w:ascii="Times New Roman" w:eastAsia="Arial Unicode MS" w:hAnsi="Times New Roman" w:cs="Times New Roman"/>
          <w:noProof/>
          <w:sz w:val="24"/>
          <w:szCs w:val="24"/>
          <w:u w:color="000000"/>
          <w:bdr w:val="nil"/>
          <w:lang w:val="sq-AL" w:eastAsia="en-GB"/>
        </w:rPr>
        <w:t>Planin e zbatueshmërisë së masave për periudhën r</w:t>
      </w:r>
      <w:r w:rsidR="00477C60" w:rsidRPr="000F45FE">
        <w:rPr>
          <w:rFonts w:ascii="Times New Roman" w:eastAsia="Arial Unicode MS" w:hAnsi="Times New Roman" w:cs="Times New Roman"/>
          <w:noProof/>
          <w:sz w:val="24"/>
          <w:szCs w:val="24"/>
          <w:u w:color="000000"/>
          <w:bdr w:val="nil"/>
          <w:lang w:val="sq-AL" w:eastAsia="en-GB"/>
        </w:rPr>
        <w:t>aportuese</w:t>
      </w:r>
      <w:r w:rsidRPr="000F45FE">
        <w:rPr>
          <w:rFonts w:ascii="Times New Roman" w:eastAsia="Arial Unicode MS" w:hAnsi="Times New Roman" w:cs="Times New Roman"/>
          <w:noProof/>
          <w:sz w:val="24"/>
          <w:szCs w:val="24"/>
          <w:u w:color="000000"/>
          <w:bdr w:val="nil"/>
          <w:lang w:val="sq-AL" w:eastAsia="en-GB"/>
        </w:rPr>
        <w:t xml:space="preserve"> në përputhje me standardet e sistemit.</w:t>
      </w:r>
    </w:p>
    <w:p w14:paraId="3ABD0CC7" w14:textId="5644F942" w:rsidR="005C13C4" w:rsidRPr="000F45FE" w:rsidRDefault="005C13C4" w:rsidP="000F45FE">
      <w:pPr>
        <w:numPr>
          <w:ilvl w:val="0"/>
          <w:numId w:val="25"/>
        </w:numPr>
        <w:pBdr>
          <w:top w:val="nil"/>
          <w:left w:val="nil"/>
          <w:bottom w:val="nil"/>
          <w:right w:val="nil"/>
          <w:between w:val="nil"/>
          <w:bar w:val="nil"/>
        </w:pBdr>
        <w:spacing w:line="276" w:lineRule="auto"/>
        <w:ind w:left="2520"/>
        <w:jc w:val="both"/>
        <w:rPr>
          <w:rFonts w:ascii="Times New Roman" w:eastAsia="Times New Roman" w:hAnsi="Times New Roman" w:cs="Times New Roman"/>
          <w:noProof/>
          <w:sz w:val="24"/>
          <w:szCs w:val="24"/>
          <w:u w:color="000000"/>
          <w:bdr w:val="nil"/>
          <w:lang w:val="sq-AL" w:eastAsia="en-GB"/>
        </w:rPr>
      </w:pPr>
      <w:r w:rsidRPr="000F45FE">
        <w:rPr>
          <w:rFonts w:ascii="Times New Roman" w:eastAsia="Arial Unicode MS" w:hAnsi="Times New Roman" w:cs="Times New Roman"/>
          <w:noProof/>
          <w:sz w:val="24"/>
          <w:szCs w:val="24"/>
          <w:u w:color="000000"/>
          <w:bdr w:val="nil"/>
          <w:lang w:val="sq-AL" w:eastAsia="en-GB"/>
        </w:rPr>
        <w:t>Pasaportën e Treguesve në përputhje me standardet e sistemit për periudhën r</w:t>
      </w:r>
      <w:r w:rsidR="00477C60" w:rsidRPr="000F45FE">
        <w:rPr>
          <w:rFonts w:ascii="Times New Roman" w:eastAsia="Arial Unicode MS" w:hAnsi="Times New Roman" w:cs="Times New Roman"/>
          <w:noProof/>
          <w:sz w:val="24"/>
          <w:szCs w:val="24"/>
          <w:u w:color="000000"/>
          <w:bdr w:val="nil"/>
          <w:lang w:val="sq-AL" w:eastAsia="en-GB"/>
        </w:rPr>
        <w:t>aportues</w:t>
      </w:r>
      <w:r w:rsidRPr="000F45FE">
        <w:rPr>
          <w:rFonts w:ascii="Times New Roman" w:eastAsia="Arial Unicode MS" w:hAnsi="Times New Roman" w:cs="Times New Roman"/>
          <w:noProof/>
          <w:sz w:val="24"/>
          <w:szCs w:val="24"/>
          <w:u w:color="000000"/>
          <w:bdr w:val="nil"/>
          <w:lang w:val="sq-AL" w:eastAsia="en-GB"/>
        </w:rPr>
        <w:t>e.</w:t>
      </w:r>
    </w:p>
    <w:p w14:paraId="019FF51B" w14:textId="16432EDC" w:rsidR="005C13C4" w:rsidRPr="000F45FE" w:rsidRDefault="005C13C4" w:rsidP="000F45FE">
      <w:pPr>
        <w:pBdr>
          <w:top w:val="nil"/>
          <w:left w:val="nil"/>
          <w:bottom w:val="nil"/>
          <w:right w:val="nil"/>
          <w:between w:val="nil"/>
          <w:bar w:val="nil"/>
        </w:pBdr>
        <w:spacing w:line="276" w:lineRule="auto"/>
        <w:jc w:val="both"/>
        <w:rPr>
          <w:rFonts w:ascii="Times New Roman" w:eastAsia="Arial Unicode MS" w:hAnsi="Times New Roman" w:cs="Times New Roman"/>
          <w:noProof/>
          <w:sz w:val="24"/>
          <w:szCs w:val="24"/>
          <w:u w:color="000000"/>
          <w:bdr w:val="nil"/>
          <w:lang w:val="sq-AL" w:eastAsia="en-GB"/>
        </w:rPr>
      </w:pPr>
      <w:r w:rsidRPr="000F45FE">
        <w:rPr>
          <w:rFonts w:ascii="Times New Roman" w:eastAsia="Arial Unicode MS" w:hAnsi="Times New Roman" w:cs="Times New Roman"/>
          <w:b/>
          <w:bCs/>
          <w:noProof/>
          <w:sz w:val="24"/>
          <w:szCs w:val="24"/>
          <w:u w:color="000000"/>
          <w:bdr w:val="nil"/>
          <w:lang w:val="sq-AL" w:eastAsia="en-GB"/>
        </w:rPr>
        <w:t>Faza 3:</w:t>
      </w:r>
      <w:r w:rsidRPr="000F45FE">
        <w:rPr>
          <w:rFonts w:ascii="Times New Roman" w:eastAsia="Arial Unicode MS" w:hAnsi="Times New Roman" w:cs="Times New Roman"/>
          <w:noProof/>
          <w:sz w:val="24"/>
          <w:szCs w:val="24"/>
          <w:u w:color="000000"/>
          <w:bdr w:val="nil"/>
          <w:lang w:val="sq-AL" w:eastAsia="en-GB"/>
        </w:rPr>
        <w:t xml:space="preserve"> </w:t>
      </w:r>
      <w:r w:rsidR="00966B03">
        <w:rPr>
          <w:rFonts w:ascii="Times New Roman" w:eastAsia="Arial Unicode MS" w:hAnsi="Times New Roman" w:cs="Times New Roman"/>
          <w:noProof/>
          <w:sz w:val="24"/>
          <w:szCs w:val="24"/>
          <w:u w:color="000000"/>
          <w:bdr w:val="nil"/>
          <w:lang w:val="sq-AL" w:eastAsia="en-GB"/>
        </w:rPr>
        <w:t xml:space="preserve"> </w:t>
      </w:r>
      <w:r w:rsidR="009F2583" w:rsidRPr="000F45FE">
        <w:rPr>
          <w:rFonts w:ascii="Times New Roman" w:eastAsia="Arial Unicode MS" w:hAnsi="Times New Roman" w:cs="Times New Roman"/>
          <w:noProof/>
          <w:sz w:val="24"/>
          <w:szCs w:val="24"/>
          <w:u w:color="000000"/>
          <w:bdr w:val="nil"/>
          <w:lang w:val="sq-AL" w:eastAsia="en-GB"/>
        </w:rPr>
        <w:t>D</w:t>
      </w:r>
      <w:r w:rsidR="00BF1CCE" w:rsidRPr="000F45FE">
        <w:rPr>
          <w:rFonts w:ascii="Times New Roman" w:eastAsia="Arial Unicode MS" w:hAnsi="Times New Roman" w:cs="Times New Roman"/>
          <w:noProof/>
          <w:sz w:val="24"/>
          <w:szCs w:val="24"/>
          <w:u w:color="000000"/>
          <w:bdr w:val="nil"/>
          <w:lang w:val="sq-AL" w:eastAsia="en-GB"/>
        </w:rPr>
        <w:t>ë</w:t>
      </w:r>
      <w:r w:rsidR="009F2583" w:rsidRPr="000F45FE">
        <w:rPr>
          <w:rFonts w:ascii="Times New Roman" w:eastAsia="Arial Unicode MS" w:hAnsi="Times New Roman" w:cs="Times New Roman"/>
          <w:noProof/>
          <w:sz w:val="24"/>
          <w:szCs w:val="24"/>
          <w:u w:color="000000"/>
          <w:bdr w:val="nil"/>
          <w:lang w:val="sq-AL" w:eastAsia="en-GB"/>
        </w:rPr>
        <w:t xml:space="preserve">rgimi i </w:t>
      </w:r>
      <w:r w:rsidR="00BF1CCE" w:rsidRPr="000F45FE">
        <w:rPr>
          <w:rFonts w:ascii="Times New Roman" w:eastAsia="Arial Unicode MS" w:hAnsi="Times New Roman" w:cs="Times New Roman"/>
          <w:noProof/>
          <w:sz w:val="24"/>
          <w:szCs w:val="24"/>
          <w:u w:color="000000"/>
          <w:bdr w:val="nil"/>
          <w:lang w:val="sq-AL" w:eastAsia="en-GB"/>
        </w:rPr>
        <w:t>paketës së plotë të monitorimit për vlerësim pranë SASPAC.</w:t>
      </w:r>
    </w:p>
    <w:p w14:paraId="708AB2DF" w14:textId="269F652E" w:rsidR="005C13C4" w:rsidRPr="000F45FE" w:rsidRDefault="005C13C4" w:rsidP="000F45FE">
      <w:pPr>
        <w:pBdr>
          <w:top w:val="nil"/>
          <w:left w:val="nil"/>
          <w:bottom w:val="nil"/>
          <w:right w:val="nil"/>
          <w:between w:val="nil"/>
          <w:bar w:val="nil"/>
        </w:pBdr>
        <w:spacing w:after="0" w:line="276" w:lineRule="auto"/>
        <w:jc w:val="both"/>
        <w:rPr>
          <w:rFonts w:ascii="Times New Roman" w:eastAsia="Arial Unicode MS" w:hAnsi="Times New Roman" w:cs="Times New Roman"/>
          <w:noProof/>
          <w:sz w:val="24"/>
          <w:szCs w:val="24"/>
          <w:u w:color="000000"/>
          <w:bdr w:val="nil"/>
          <w:lang w:val="sq-AL" w:eastAsia="en-GB"/>
        </w:rPr>
      </w:pPr>
      <w:r w:rsidRPr="000F45FE">
        <w:rPr>
          <w:rFonts w:ascii="Times New Roman" w:eastAsia="Arial Unicode MS" w:hAnsi="Times New Roman" w:cs="Times New Roman"/>
          <w:b/>
          <w:bCs/>
          <w:noProof/>
          <w:sz w:val="24"/>
          <w:szCs w:val="24"/>
          <w:u w:color="000000"/>
          <w:bdr w:val="nil"/>
          <w:lang w:val="sq-AL" w:eastAsia="en-GB"/>
        </w:rPr>
        <w:t xml:space="preserve">Faza 4: </w:t>
      </w:r>
      <w:r w:rsidR="00966B03">
        <w:rPr>
          <w:rFonts w:ascii="Times New Roman" w:eastAsia="Arial Unicode MS" w:hAnsi="Times New Roman" w:cs="Times New Roman"/>
          <w:b/>
          <w:bCs/>
          <w:noProof/>
          <w:sz w:val="24"/>
          <w:szCs w:val="24"/>
          <w:u w:color="000000"/>
          <w:bdr w:val="nil"/>
          <w:lang w:val="sq-AL" w:eastAsia="en-GB"/>
        </w:rPr>
        <w:t xml:space="preserve"> </w:t>
      </w:r>
      <w:r w:rsidRPr="000F45FE">
        <w:rPr>
          <w:rFonts w:ascii="Times New Roman" w:eastAsia="Arial Unicode MS" w:hAnsi="Times New Roman" w:cs="Times New Roman"/>
          <w:noProof/>
          <w:sz w:val="24"/>
          <w:szCs w:val="24"/>
          <w:u w:color="000000"/>
          <w:bdr w:val="nil"/>
          <w:lang w:val="sq-AL" w:eastAsia="en-GB"/>
        </w:rPr>
        <w:t>Konsultimi i paket</w:t>
      </w:r>
      <w:r w:rsidR="00954BC9" w:rsidRPr="000F45FE">
        <w:rPr>
          <w:rFonts w:ascii="Times New Roman" w:eastAsia="Arial Unicode MS" w:hAnsi="Times New Roman" w:cs="Times New Roman"/>
          <w:noProof/>
          <w:sz w:val="24"/>
          <w:szCs w:val="24"/>
          <w:u w:color="000000"/>
          <w:bdr w:val="nil"/>
          <w:lang w:val="sq-AL" w:eastAsia="en-GB"/>
        </w:rPr>
        <w:t>ë</w:t>
      </w:r>
      <w:r w:rsidRPr="000F45FE">
        <w:rPr>
          <w:rFonts w:ascii="Times New Roman" w:eastAsia="Arial Unicode MS" w:hAnsi="Times New Roman" w:cs="Times New Roman"/>
          <w:noProof/>
          <w:sz w:val="24"/>
          <w:szCs w:val="24"/>
          <w:u w:color="000000"/>
          <w:bdr w:val="nil"/>
          <w:lang w:val="sq-AL" w:eastAsia="en-GB"/>
        </w:rPr>
        <w:t>s s</w:t>
      </w:r>
      <w:r w:rsidR="00954BC9" w:rsidRPr="000F45FE">
        <w:rPr>
          <w:rFonts w:ascii="Times New Roman" w:eastAsia="Arial Unicode MS" w:hAnsi="Times New Roman" w:cs="Times New Roman"/>
          <w:noProof/>
          <w:sz w:val="24"/>
          <w:szCs w:val="24"/>
          <w:u w:color="000000"/>
          <w:bdr w:val="nil"/>
          <w:lang w:val="sq-AL" w:eastAsia="en-GB"/>
        </w:rPr>
        <w:t>ë</w:t>
      </w:r>
      <w:r w:rsidRPr="000F45FE">
        <w:rPr>
          <w:rFonts w:ascii="Times New Roman" w:eastAsia="Arial Unicode MS" w:hAnsi="Times New Roman" w:cs="Times New Roman"/>
          <w:noProof/>
          <w:sz w:val="24"/>
          <w:szCs w:val="24"/>
          <w:u w:color="000000"/>
          <w:bdr w:val="nil"/>
          <w:lang w:val="sq-AL" w:eastAsia="en-GB"/>
        </w:rPr>
        <w:t xml:space="preserve"> konsoliduar dhe marrja e komenteve nga aktor</w:t>
      </w:r>
      <w:r w:rsidR="00954BC9" w:rsidRPr="000F45FE">
        <w:rPr>
          <w:rFonts w:ascii="Times New Roman" w:eastAsia="Arial Unicode MS" w:hAnsi="Times New Roman" w:cs="Times New Roman"/>
          <w:noProof/>
          <w:sz w:val="24"/>
          <w:szCs w:val="24"/>
          <w:u w:color="000000"/>
          <w:bdr w:val="nil"/>
          <w:lang w:val="sq-AL" w:eastAsia="en-GB"/>
        </w:rPr>
        <w:t>ë</w:t>
      </w:r>
      <w:r w:rsidRPr="000F45FE">
        <w:rPr>
          <w:rFonts w:ascii="Times New Roman" w:eastAsia="Arial Unicode MS" w:hAnsi="Times New Roman" w:cs="Times New Roman"/>
          <w:noProof/>
          <w:sz w:val="24"/>
          <w:szCs w:val="24"/>
          <w:u w:color="000000"/>
          <w:bdr w:val="nil"/>
          <w:lang w:val="sq-AL" w:eastAsia="en-GB"/>
        </w:rPr>
        <w:t>t n</w:t>
      </w:r>
      <w:r w:rsidR="00954BC9" w:rsidRPr="000F45FE">
        <w:rPr>
          <w:rFonts w:ascii="Times New Roman" w:eastAsia="Arial Unicode MS" w:hAnsi="Times New Roman" w:cs="Times New Roman"/>
          <w:noProof/>
          <w:sz w:val="24"/>
          <w:szCs w:val="24"/>
          <w:u w:color="000000"/>
          <w:bdr w:val="nil"/>
          <w:lang w:val="sq-AL" w:eastAsia="en-GB"/>
        </w:rPr>
        <w:t>ë</w:t>
      </w:r>
      <w:r w:rsidRPr="000F45FE">
        <w:rPr>
          <w:rFonts w:ascii="Times New Roman" w:eastAsia="Arial Unicode MS" w:hAnsi="Times New Roman" w:cs="Times New Roman"/>
          <w:noProof/>
          <w:sz w:val="24"/>
          <w:szCs w:val="24"/>
          <w:u w:color="000000"/>
          <w:bdr w:val="nil"/>
          <w:lang w:val="sq-AL" w:eastAsia="en-GB"/>
        </w:rPr>
        <w:t xml:space="preserve"> </w:t>
      </w:r>
    </w:p>
    <w:p w14:paraId="13FCF958" w14:textId="3BD572E3" w:rsidR="005C13C4" w:rsidRPr="000F45FE" w:rsidRDefault="005C13C4" w:rsidP="000F45FE">
      <w:pPr>
        <w:pBdr>
          <w:top w:val="nil"/>
          <w:left w:val="nil"/>
          <w:bottom w:val="nil"/>
          <w:right w:val="nil"/>
          <w:between w:val="nil"/>
          <w:bar w:val="nil"/>
        </w:pBdr>
        <w:spacing w:line="276" w:lineRule="auto"/>
        <w:jc w:val="both"/>
        <w:rPr>
          <w:rFonts w:ascii="Times New Roman" w:eastAsia="Arial Unicode MS" w:hAnsi="Times New Roman" w:cs="Times New Roman"/>
          <w:noProof/>
          <w:sz w:val="24"/>
          <w:szCs w:val="24"/>
          <w:u w:color="000000"/>
          <w:bdr w:val="nil"/>
          <w:lang w:val="sq-AL" w:eastAsia="en-GB"/>
        </w:rPr>
      </w:pPr>
      <w:r w:rsidRPr="000F45FE">
        <w:rPr>
          <w:rFonts w:ascii="Times New Roman" w:eastAsia="Arial Unicode MS" w:hAnsi="Times New Roman" w:cs="Times New Roman"/>
          <w:noProof/>
          <w:sz w:val="24"/>
          <w:szCs w:val="24"/>
          <w:u w:color="000000"/>
          <w:bdr w:val="nil"/>
          <w:lang w:val="sq-AL" w:eastAsia="en-GB"/>
        </w:rPr>
        <w:t xml:space="preserve">                        mbledhjen e </w:t>
      </w:r>
      <w:r w:rsidR="00F863ED" w:rsidRPr="000F45FE">
        <w:rPr>
          <w:rFonts w:ascii="Times New Roman" w:eastAsia="Arial Unicode MS" w:hAnsi="Times New Roman" w:cs="Times New Roman"/>
          <w:noProof/>
          <w:sz w:val="24"/>
          <w:szCs w:val="24"/>
          <w:u w:color="000000"/>
          <w:bdr w:val="nil"/>
          <w:lang w:val="sq-AL" w:eastAsia="en-GB"/>
        </w:rPr>
        <w:t>struktur</w:t>
      </w:r>
      <w:r w:rsidR="002B2907" w:rsidRPr="000F45FE">
        <w:rPr>
          <w:rFonts w:ascii="Times New Roman" w:eastAsia="Arial Unicode MS" w:hAnsi="Times New Roman" w:cs="Times New Roman"/>
          <w:noProof/>
          <w:sz w:val="24"/>
          <w:szCs w:val="24"/>
          <w:u w:color="000000"/>
          <w:bdr w:val="nil"/>
          <w:lang w:val="sq-AL" w:eastAsia="en-GB"/>
        </w:rPr>
        <w:t>ë</w:t>
      </w:r>
      <w:r w:rsidR="00F863ED" w:rsidRPr="000F45FE">
        <w:rPr>
          <w:rFonts w:ascii="Times New Roman" w:eastAsia="Arial Unicode MS" w:hAnsi="Times New Roman" w:cs="Times New Roman"/>
          <w:noProof/>
          <w:sz w:val="24"/>
          <w:szCs w:val="24"/>
          <w:u w:color="000000"/>
          <w:bdr w:val="nil"/>
          <w:lang w:val="sq-AL" w:eastAsia="en-GB"/>
        </w:rPr>
        <w:t xml:space="preserve">s </w:t>
      </w:r>
      <w:r w:rsidR="00091232" w:rsidRPr="000F45FE">
        <w:rPr>
          <w:rFonts w:ascii="Times New Roman" w:eastAsia="Arial Unicode MS" w:hAnsi="Times New Roman" w:cs="Times New Roman"/>
          <w:noProof/>
          <w:sz w:val="24"/>
          <w:szCs w:val="24"/>
          <w:u w:color="000000"/>
          <w:bdr w:val="nil"/>
          <w:lang w:val="sq-AL" w:eastAsia="en-GB"/>
        </w:rPr>
        <w:t>nd</w:t>
      </w:r>
      <w:r w:rsidR="002B2907" w:rsidRPr="000F45FE">
        <w:rPr>
          <w:rFonts w:ascii="Times New Roman" w:eastAsia="Arial Unicode MS" w:hAnsi="Times New Roman" w:cs="Times New Roman"/>
          <w:noProof/>
          <w:sz w:val="24"/>
          <w:szCs w:val="24"/>
          <w:u w:color="000000"/>
          <w:bdr w:val="nil"/>
          <w:lang w:val="sq-AL" w:eastAsia="en-GB"/>
        </w:rPr>
        <w:t>ë</w:t>
      </w:r>
      <w:r w:rsidR="00091232" w:rsidRPr="000F45FE">
        <w:rPr>
          <w:rFonts w:ascii="Times New Roman" w:eastAsia="Arial Unicode MS" w:hAnsi="Times New Roman" w:cs="Times New Roman"/>
          <w:noProof/>
          <w:sz w:val="24"/>
          <w:szCs w:val="24"/>
          <w:u w:color="000000"/>
          <w:bdr w:val="nil"/>
          <w:lang w:val="sq-AL" w:eastAsia="en-GB"/>
        </w:rPr>
        <w:t xml:space="preserve">rinstitucionale monitoruese. </w:t>
      </w:r>
    </w:p>
    <w:p w14:paraId="6AF66C60" w14:textId="36653D81" w:rsidR="005C13C4" w:rsidRPr="000F45FE" w:rsidRDefault="005C13C4" w:rsidP="000F45FE">
      <w:pPr>
        <w:pBdr>
          <w:top w:val="nil"/>
          <w:left w:val="nil"/>
          <w:bottom w:val="nil"/>
          <w:right w:val="nil"/>
          <w:between w:val="nil"/>
          <w:bar w:val="nil"/>
        </w:pBdr>
        <w:spacing w:line="276" w:lineRule="auto"/>
        <w:jc w:val="both"/>
        <w:rPr>
          <w:rFonts w:ascii="Times New Roman" w:eastAsia="Times New Roman" w:hAnsi="Times New Roman" w:cs="Times New Roman"/>
          <w:noProof/>
          <w:sz w:val="24"/>
          <w:szCs w:val="24"/>
          <w:u w:color="000000"/>
          <w:bdr w:val="nil"/>
          <w:lang w:val="sq-AL" w:eastAsia="en-GB"/>
        </w:rPr>
      </w:pPr>
      <w:r w:rsidRPr="000F45FE">
        <w:rPr>
          <w:rFonts w:ascii="Times New Roman" w:eastAsia="Arial Unicode MS" w:hAnsi="Times New Roman" w:cs="Times New Roman"/>
          <w:b/>
          <w:bCs/>
          <w:noProof/>
          <w:sz w:val="24"/>
          <w:szCs w:val="24"/>
          <w:u w:color="000000"/>
          <w:bdr w:val="nil"/>
          <w:lang w:val="sq-AL" w:eastAsia="en-GB"/>
        </w:rPr>
        <w:t>Faza 5:</w:t>
      </w:r>
      <w:r w:rsidR="00966B03">
        <w:rPr>
          <w:rFonts w:ascii="Times New Roman" w:eastAsia="Arial Unicode MS" w:hAnsi="Times New Roman" w:cs="Times New Roman"/>
          <w:noProof/>
          <w:sz w:val="24"/>
          <w:szCs w:val="24"/>
          <w:u w:color="000000"/>
          <w:bdr w:val="nil"/>
          <w:lang w:val="sq-AL" w:eastAsia="en-GB"/>
        </w:rPr>
        <w:t xml:space="preserve"> </w:t>
      </w:r>
      <w:r w:rsidRPr="000F45FE">
        <w:rPr>
          <w:rFonts w:ascii="Times New Roman" w:eastAsia="Arial Unicode MS" w:hAnsi="Times New Roman" w:cs="Times New Roman"/>
          <w:noProof/>
          <w:sz w:val="24"/>
          <w:szCs w:val="24"/>
          <w:u w:color="000000"/>
          <w:bdr w:val="nil"/>
          <w:lang w:val="sq-AL" w:eastAsia="en-GB"/>
        </w:rPr>
        <w:t>Reflektimi i komenteve dhe finalizimi i paketës së raportit të monitorimit.</w:t>
      </w:r>
    </w:p>
    <w:p w14:paraId="5B94A7D0" w14:textId="343ADA2A" w:rsidR="003E3764" w:rsidRPr="000F45FE" w:rsidRDefault="005C13C4" w:rsidP="000F45FE">
      <w:pPr>
        <w:pBdr>
          <w:top w:val="nil"/>
          <w:left w:val="nil"/>
          <w:bottom w:val="nil"/>
          <w:right w:val="nil"/>
          <w:between w:val="nil"/>
          <w:bar w:val="nil"/>
        </w:pBdr>
        <w:spacing w:line="276" w:lineRule="auto"/>
        <w:jc w:val="both"/>
        <w:rPr>
          <w:rFonts w:ascii="Times New Roman" w:eastAsia="Times New Roman" w:hAnsi="Times New Roman" w:cs="Times New Roman"/>
          <w:noProof/>
          <w:sz w:val="24"/>
          <w:szCs w:val="24"/>
          <w:u w:color="000000"/>
          <w:bdr w:val="nil"/>
          <w:lang w:val="sq-AL" w:eastAsia="en-GB"/>
        </w:rPr>
      </w:pPr>
      <w:r w:rsidRPr="000F45FE">
        <w:rPr>
          <w:rFonts w:ascii="Times New Roman" w:eastAsia="Arial Unicode MS" w:hAnsi="Times New Roman" w:cs="Times New Roman"/>
          <w:b/>
          <w:bCs/>
          <w:noProof/>
          <w:sz w:val="24"/>
          <w:szCs w:val="24"/>
          <w:u w:color="000000"/>
          <w:bdr w:val="nil"/>
          <w:lang w:val="sq-AL" w:eastAsia="en-GB"/>
        </w:rPr>
        <w:t>Faza 6</w:t>
      </w:r>
      <w:r w:rsidRPr="000F45FE">
        <w:rPr>
          <w:rFonts w:ascii="Times New Roman" w:eastAsia="Arial Unicode MS" w:hAnsi="Times New Roman" w:cs="Times New Roman"/>
          <w:noProof/>
          <w:sz w:val="24"/>
          <w:szCs w:val="24"/>
          <w:u w:color="000000"/>
          <w:bdr w:val="nil"/>
          <w:lang w:val="sq-AL" w:eastAsia="en-GB"/>
        </w:rPr>
        <w:t>:</w:t>
      </w:r>
      <w:r w:rsidR="00966B03">
        <w:rPr>
          <w:rFonts w:ascii="Times New Roman" w:eastAsia="Arial Unicode MS" w:hAnsi="Times New Roman" w:cs="Times New Roman"/>
          <w:noProof/>
          <w:sz w:val="24"/>
          <w:szCs w:val="24"/>
          <w:u w:color="000000"/>
          <w:bdr w:val="nil"/>
          <w:lang w:val="sq-AL" w:eastAsia="en-GB"/>
        </w:rPr>
        <w:t xml:space="preserve"> </w:t>
      </w:r>
      <w:r w:rsidRPr="000F45FE">
        <w:rPr>
          <w:rFonts w:ascii="Times New Roman" w:eastAsia="Arial Unicode MS" w:hAnsi="Times New Roman" w:cs="Times New Roman"/>
          <w:noProof/>
          <w:sz w:val="24"/>
          <w:szCs w:val="24"/>
          <w:u w:color="000000"/>
          <w:bdr w:val="nil"/>
          <w:lang w:val="sq-AL" w:eastAsia="en-GB"/>
        </w:rPr>
        <w:t>Publikimi i raportit të monitorimit.</w:t>
      </w:r>
    </w:p>
    <w:p w14:paraId="671C222E" w14:textId="517EB5D4" w:rsidR="00734EB7" w:rsidRPr="000F45FE" w:rsidRDefault="001F5C18" w:rsidP="00E04668">
      <w:pPr>
        <w:spacing w:line="276" w:lineRule="auto"/>
        <w:jc w:val="both"/>
        <w:rPr>
          <w:rFonts w:ascii="Times New Roman" w:hAnsi="Times New Roman" w:cs="Times New Roman"/>
          <w:noProof/>
          <w:sz w:val="24"/>
          <w:szCs w:val="24"/>
          <w:lang w:val="sq-AL"/>
        </w:rPr>
      </w:pPr>
      <w:r w:rsidRPr="000F45FE">
        <w:rPr>
          <w:rFonts w:ascii="Times New Roman" w:hAnsi="Times New Roman" w:cs="Times New Roman"/>
          <w:noProof/>
          <w:sz w:val="24"/>
          <w:szCs w:val="24"/>
          <w:lang w:val="sq-AL"/>
        </w:rPr>
        <w:t xml:space="preserve">Në funksion të planifikimit efikas për periudhën e zbatimit të Strategjisë që pason Planin e </w:t>
      </w:r>
      <w:r w:rsidR="00156FCA">
        <w:rPr>
          <w:rFonts w:ascii="Times New Roman" w:hAnsi="Times New Roman" w:cs="Times New Roman"/>
          <w:noProof/>
          <w:sz w:val="24"/>
          <w:szCs w:val="24"/>
          <w:lang w:val="sq-AL"/>
        </w:rPr>
        <w:t>I-</w:t>
      </w:r>
      <w:r w:rsidRPr="000F45FE">
        <w:rPr>
          <w:rFonts w:ascii="Times New Roman" w:hAnsi="Times New Roman" w:cs="Times New Roman"/>
          <w:noProof/>
          <w:sz w:val="24"/>
          <w:szCs w:val="24"/>
          <w:lang w:val="sq-AL"/>
        </w:rPr>
        <w:t xml:space="preserve">rë të Veprimit 2025-2027, SNRAP do t’i nënshtrohet edhe një procesi vlerësimi afatmesëm, i cili do të evidentojë arritjet e viteve të para të zbatimit të Strategjisë, përmes një metodologjie monitorimi që do të zhvillohet nga DAP.  Vlerësimi do të shërbejë për përcaktimin e një Plani të qartë dhe të përshtatshëm të aktiviteteve për zbatim, si dhe për vlerësimin e nevojave financiare për zbatimin e Strategjisë për periudhën vijuese 2028-2030, në përputhje me Programin Buxhetor Afatmesëm. </w:t>
      </w:r>
    </w:p>
    <w:p w14:paraId="29BF62E8" w14:textId="77777777" w:rsidR="00EF7B8D" w:rsidRDefault="00734EB7" w:rsidP="00EF7B8D">
      <w:pPr>
        <w:pBdr>
          <w:bottom w:val="single" w:sz="24" w:space="1" w:color="F0CDA1"/>
        </w:pBdr>
        <w:spacing w:before="120" w:after="120"/>
        <w:jc w:val="both"/>
        <w:rPr>
          <w:rFonts w:ascii="Times New Roman" w:eastAsia="Arial" w:hAnsi="Times New Roman" w:cs="Times New Roman"/>
          <w:b/>
          <w:noProof/>
          <w:color w:val="003300"/>
          <w:sz w:val="36"/>
          <w:szCs w:val="36"/>
          <w:lang w:val="sq-AL"/>
        </w:rPr>
      </w:pPr>
      <w:r w:rsidRPr="000F45FE">
        <w:rPr>
          <w:rFonts w:ascii="Times New Roman" w:hAnsi="Times New Roman" w:cs="Times New Roman"/>
          <w:noProof/>
          <w:sz w:val="24"/>
          <w:szCs w:val="24"/>
          <w:lang w:val="sq-AL"/>
        </w:rPr>
        <w:br w:type="page"/>
      </w:r>
      <w:r w:rsidR="00EF7B8D">
        <w:rPr>
          <w:rFonts w:ascii="Times New Roman" w:eastAsia="Arial" w:hAnsi="Times New Roman" w:cs="Times New Roman"/>
          <w:b/>
          <w:noProof/>
          <w:color w:val="003300"/>
          <w:sz w:val="36"/>
          <w:szCs w:val="36"/>
          <w:lang w:val="sq-AL"/>
        </w:rPr>
        <w:lastRenderedPageBreak/>
        <w:t>PJESA IV – FINANCIMI I STRATEGJISË</w:t>
      </w:r>
    </w:p>
    <w:p w14:paraId="05B2A3E9" w14:textId="77777777" w:rsidR="003A66F8" w:rsidRDefault="003A66F8" w:rsidP="003A66F8">
      <w:pPr>
        <w:spacing w:after="0" w:line="276" w:lineRule="auto"/>
        <w:jc w:val="both"/>
        <w:rPr>
          <w:rFonts w:ascii="Times New Roman" w:hAnsi="Times New Roman" w:cs="Times New Roman"/>
          <w:noProof/>
          <w:sz w:val="24"/>
          <w:szCs w:val="24"/>
          <w:lang w:val="sq-AL"/>
        </w:rPr>
      </w:pPr>
    </w:p>
    <w:p w14:paraId="553834C3" w14:textId="77777777" w:rsidR="00951674" w:rsidRPr="00205002" w:rsidRDefault="00951674" w:rsidP="00951674">
      <w:pPr>
        <w:spacing w:line="276" w:lineRule="auto"/>
        <w:jc w:val="both"/>
        <w:rPr>
          <w:rFonts w:ascii="Times New Roman" w:hAnsi="Times New Roman" w:cs="Times New Roman"/>
          <w:noProof/>
          <w:sz w:val="24"/>
          <w:szCs w:val="24"/>
          <w:lang w:val="sq-AL"/>
        </w:rPr>
      </w:pPr>
      <w:r w:rsidRPr="00205002">
        <w:rPr>
          <w:rFonts w:ascii="Times New Roman" w:hAnsi="Times New Roman" w:cs="Times New Roman"/>
          <w:noProof/>
          <w:sz w:val="24"/>
          <w:szCs w:val="24"/>
          <w:lang w:val="sq-AL"/>
        </w:rPr>
        <w:t>Procesi i financimit të Strategjisë do të kryhet në bashkëpunim me të gjitha institucionet e përfshira në procesin e hartimit të këtij dokumenti, si edhe të Planit të Veprimit. Financimi përfshin të gjitha aktivitete</w:t>
      </w:r>
      <w:r>
        <w:rPr>
          <w:rFonts w:ascii="Times New Roman" w:hAnsi="Times New Roman" w:cs="Times New Roman"/>
          <w:noProof/>
          <w:sz w:val="24"/>
          <w:szCs w:val="24"/>
          <w:lang w:val="sq-AL"/>
        </w:rPr>
        <w:t>t</w:t>
      </w:r>
      <w:r w:rsidRPr="00205002">
        <w:rPr>
          <w:rFonts w:ascii="Times New Roman" w:hAnsi="Times New Roman" w:cs="Times New Roman"/>
          <w:noProof/>
          <w:sz w:val="24"/>
          <w:szCs w:val="24"/>
          <w:lang w:val="sq-AL"/>
        </w:rPr>
        <w:t xml:space="preserve"> që mbulohen përmes buxhetit të shtetit, financimet nga donatorë të huaj (aktuale apo të planifikuara) si edhe nxjerr në pah boshllëqet financiare për të cilat institucionet duhet të marrin masa për t’i mbuluar. </w:t>
      </w:r>
    </w:p>
    <w:p w14:paraId="684D0E34" w14:textId="77777777" w:rsidR="00951674" w:rsidRPr="00205002" w:rsidRDefault="00951674" w:rsidP="00951674">
      <w:pPr>
        <w:spacing w:line="276" w:lineRule="auto"/>
        <w:jc w:val="both"/>
        <w:rPr>
          <w:rFonts w:ascii="Times New Roman" w:hAnsi="Times New Roman" w:cs="Times New Roman"/>
          <w:noProof/>
          <w:sz w:val="24"/>
          <w:szCs w:val="24"/>
          <w:lang w:val="sq-AL"/>
        </w:rPr>
      </w:pPr>
      <w:r w:rsidRPr="00205002">
        <w:rPr>
          <w:rFonts w:ascii="Times New Roman" w:hAnsi="Times New Roman" w:cs="Times New Roman"/>
          <w:noProof/>
          <w:sz w:val="24"/>
          <w:szCs w:val="24"/>
          <w:lang w:val="sq-AL"/>
        </w:rPr>
        <w:t xml:space="preserve">Përgjatë procesit të hartimit të Strategjisë dhe Planit të Veprimit, institucionet janë udhëzuar paraprakisht lidhur me rëndësinë e mbulimit të kostove financiare për secilin aktivitet, duke konsideruar si burimet e tyre te brendshme financiare, përfshirë këtu kostot kryesisht të natyrës administrative ose në investime, ashtu edhe projektet e financuara nga donatorë të huaj apo ato që priten të nisin, për të siguruara qendrueshmërinë financiare të të gjitha aktiviteteve të propozuara. </w:t>
      </w:r>
    </w:p>
    <w:p w14:paraId="6F26DA46" w14:textId="77777777" w:rsidR="00951674" w:rsidRPr="00205002" w:rsidRDefault="00951674" w:rsidP="00951674">
      <w:pPr>
        <w:spacing w:line="276" w:lineRule="auto"/>
        <w:jc w:val="both"/>
        <w:rPr>
          <w:rFonts w:ascii="Times New Roman" w:hAnsi="Times New Roman" w:cs="Times New Roman"/>
          <w:sz w:val="24"/>
          <w:szCs w:val="24"/>
          <w:lang w:val="sq-AL"/>
        </w:rPr>
      </w:pPr>
      <w:r w:rsidRPr="00205002">
        <w:rPr>
          <w:rFonts w:ascii="Times New Roman" w:hAnsi="Times New Roman" w:cs="Times New Roman"/>
          <w:sz w:val="24"/>
          <w:szCs w:val="24"/>
          <w:lang w:val="sq-AL"/>
        </w:rPr>
        <w:t xml:space="preserve">Zbatimi i masave me aktivitetet përkatëse për objektivat specifikë të strategjisë mbulon periudhën 2025 – 2030, ndërkohë plani i veprimit i kostuar mbulon periudhën 2025 – 2027. Plani i </w:t>
      </w:r>
      <w:r>
        <w:rPr>
          <w:rFonts w:ascii="Times New Roman" w:hAnsi="Times New Roman" w:cs="Times New Roman"/>
          <w:sz w:val="24"/>
          <w:szCs w:val="24"/>
          <w:lang w:val="sq-AL"/>
        </w:rPr>
        <w:t>V</w:t>
      </w:r>
      <w:r w:rsidRPr="00205002">
        <w:rPr>
          <w:rFonts w:ascii="Times New Roman" w:hAnsi="Times New Roman" w:cs="Times New Roman"/>
          <w:sz w:val="24"/>
          <w:szCs w:val="24"/>
          <w:lang w:val="sq-AL"/>
        </w:rPr>
        <w:t>eprim</w:t>
      </w:r>
      <w:r>
        <w:rPr>
          <w:rFonts w:ascii="Times New Roman" w:hAnsi="Times New Roman" w:cs="Times New Roman"/>
          <w:sz w:val="24"/>
          <w:szCs w:val="24"/>
          <w:lang w:val="sq-AL"/>
        </w:rPr>
        <w:t>i</w:t>
      </w:r>
      <w:r w:rsidRPr="00205002">
        <w:rPr>
          <w:rFonts w:ascii="Times New Roman" w:hAnsi="Times New Roman" w:cs="Times New Roman"/>
          <w:sz w:val="24"/>
          <w:szCs w:val="24"/>
          <w:lang w:val="sq-AL"/>
        </w:rPr>
        <w:t>t me detajet e kostove është bashkëngjitur dokumentit. Identifikimi i burimeve financiare është realizuar në përputhje me metodologjinë e sistemit IPSIS duke bërë edhe ndarjen e kostove për programet buxhetore, edhe sipas institucioneve.</w:t>
      </w:r>
      <w:r>
        <w:rPr>
          <w:rFonts w:ascii="Times New Roman" w:hAnsi="Times New Roman" w:cs="Times New Roman"/>
          <w:sz w:val="24"/>
          <w:szCs w:val="24"/>
          <w:lang w:val="sq-AL"/>
        </w:rPr>
        <w:t xml:space="preserve"> Identifikimi i kostove është bazuar në informacionin e dhënë nga institucionet që janë përgjegjëse apo pjesëmarrëse në masat e planit të veprimit, dokumentet e buxhetit vjetor apo PBA, dokumente apo raporte të donatorëve, raporte monitorimi të institucioneve. Si pasojë e ambjentit dinamik dhe periudhës që po kalon vendi me hapjen e grupkapitujve të acquis, edhe informacioni financiar ka ndryshuar vazhdimisht. Kjo ka ardhur si pasojë e fokusimit të institucioneve qeveritare në realizimin e politikave që ndikojnë në përmirësimin e cilësisë së administratës, nxitjen e punonjësve të administratës dhe përmirësimin e cilësisë së shërbimeve të ofruara për qytetarët nga institucionet publike. Një mbështetje e vazhdueshme, nga ana financiare, ka ardhur edhe nga donatorë të ndryshëm si Bashkimi Europian, Banka Botërore të cilët kanë financuar projekte që ndihmojnë qeverinë shqiptare në realizimin e objektivave të saj. Kështu, në mars 2025, Banka Botërore ka miratuar një financim shtesë prej 80 milion dollarë, që nuk është llogaritur në kostot e strategjisë, </w:t>
      </w:r>
      <w:r w:rsidRPr="002A624D">
        <w:rPr>
          <w:rFonts w:ascii="Times New Roman" w:hAnsi="Times New Roman" w:cs="Times New Roman"/>
          <w:sz w:val="24"/>
          <w:szCs w:val="24"/>
          <w:lang w:val="sq-AL"/>
        </w:rPr>
        <w:t>për të mbështetur agjendën ambicioze të Shqipërisë për modernizimi</w:t>
      </w:r>
      <w:r>
        <w:rPr>
          <w:rFonts w:ascii="Times New Roman" w:hAnsi="Times New Roman" w:cs="Times New Roman"/>
          <w:sz w:val="24"/>
          <w:szCs w:val="24"/>
          <w:lang w:val="sq-AL"/>
        </w:rPr>
        <w:t>n</w:t>
      </w:r>
      <w:r w:rsidRPr="002A624D">
        <w:rPr>
          <w:rFonts w:ascii="Times New Roman" w:hAnsi="Times New Roman" w:cs="Times New Roman"/>
          <w:sz w:val="24"/>
          <w:szCs w:val="24"/>
          <w:lang w:val="sq-AL"/>
        </w:rPr>
        <w:t xml:space="preserve"> dhe transformimin digjital të sektorit publik, duke përmirësuar aksesin në shërbimet kryesore për qytetarët, veçanërisht për grupet e cënueshme</w:t>
      </w:r>
      <w:r>
        <w:rPr>
          <w:rFonts w:ascii="Times New Roman" w:hAnsi="Times New Roman" w:cs="Times New Roman"/>
          <w:sz w:val="24"/>
          <w:szCs w:val="24"/>
          <w:lang w:val="sq-AL"/>
        </w:rPr>
        <w:t>.</w:t>
      </w:r>
      <w:r>
        <w:rPr>
          <w:rStyle w:val="FootnoteReference"/>
          <w:rFonts w:ascii="Times New Roman" w:hAnsi="Times New Roman" w:cs="Times New Roman"/>
          <w:sz w:val="24"/>
          <w:szCs w:val="24"/>
          <w:lang w:val="sq-AL"/>
        </w:rPr>
        <w:footnoteReference w:id="65"/>
      </w:r>
      <w:r>
        <w:rPr>
          <w:rFonts w:ascii="Times New Roman" w:hAnsi="Times New Roman" w:cs="Times New Roman"/>
          <w:sz w:val="24"/>
          <w:szCs w:val="24"/>
          <w:lang w:val="sq-AL"/>
        </w:rPr>
        <w:t xml:space="preserve"> Po kështu, së fundmi ka hyrë në fuqi </w:t>
      </w:r>
      <w:r w:rsidRPr="00CC788E">
        <w:rPr>
          <w:rFonts w:ascii="Times New Roman" w:hAnsi="Times New Roman" w:cs="Times New Roman"/>
          <w:sz w:val="24"/>
          <w:szCs w:val="24"/>
          <w:lang w:val="sq-AL"/>
        </w:rPr>
        <w:t>Programi operacional shumëvjeçar për energjinë në kuadër të Instrumentit të Asistencës së Paraanëtarësimit (IPA III), me një vlerë prej 79 m</w:t>
      </w:r>
      <w:r>
        <w:rPr>
          <w:rFonts w:ascii="Times New Roman" w:hAnsi="Times New Roman" w:cs="Times New Roman"/>
          <w:sz w:val="24"/>
          <w:szCs w:val="24"/>
          <w:lang w:val="sq-AL"/>
        </w:rPr>
        <w:t>i</w:t>
      </w:r>
      <w:r w:rsidRPr="00CC788E">
        <w:rPr>
          <w:rFonts w:ascii="Times New Roman" w:hAnsi="Times New Roman" w:cs="Times New Roman"/>
          <w:sz w:val="24"/>
          <w:szCs w:val="24"/>
          <w:lang w:val="sq-AL"/>
        </w:rPr>
        <w:t>l</w:t>
      </w:r>
      <w:r>
        <w:rPr>
          <w:rFonts w:ascii="Times New Roman" w:hAnsi="Times New Roman" w:cs="Times New Roman"/>
          <w:sz w:val="24"/>
          <w:szCs w:val="24"/>
          <w:lang w:val="sq-AL"/>
        </w:rPr>
        <w:t>io</w:t>
      </w:r>
      <w:r w:rsidRPr="00CC788E">
        <w:rPr>
          <w:rFonts w:ascii="Times New Roman" w:hAnsi="Times New Roman" w:cs="Times New Roman"/>
          <w:sz w:val="24"/>
          <w:szCs w:val="24"/>
          <w:lang w:val="sq-AL"/>
        </w:rPr>
        <w:t>n euro</w:t>
      </w:r>
      <w:r>
        <w:rPr>
          <w:rFonts w:ascii="Times New Roman" w:hAnsi="Times New Roman" w:cs="Times New Roman"/>
          <w:sz w:val="24"/>
          <w:szCs w:val="24"/>
          <w:lang w:val="sq-AL"/>
        </w:rPr>
        <w:t xml:space="preserve"> dhe kohëzgjatje 12 vjet.</w:t>
      </w:r>
      <w:r>
        <w:rPr>
          <w:rStyle w:val="FootnoteReference"/>
          <w:rFonts w:ascii="Times New Roman" w:hAnsi="Times New Roman" w:cs="Times New Roman"/>
          <w:sz w:val="24"/>
          <w:szCs w:val="24"/>
          <w:lang w:val="sq-AL"/>
        </w:rPr>
        <w:footnoteReference w:id="66"/>
      </w:r>
      <w:r>
        <w:rPr>
          <w:rFonts w:ascii="Times New Roman" w:hAnsi="Times New Roman" w:cs="Times New Roman"/>
          <w:sz w:val="24"/>
          <w:szCs w:val="24"/>
          <w:lang w:val="sq-AL"/>
        </w:rPr>
        <w:t xml:space="preserve"> </w:t>
      </w:r>
    </w:p>
    <w:p w14:paraId="40909329" w14:textId="77777777" w:rsidR="00951674" w:rsidRPr="00205002" w:rsidRDefault="00951674" w:rsidP="00951674">
      <w:pPr>
        <w:pStyle w:val="Default"/>
        <w:spacing w:after="240" w:line="276" w:lineRule="auto"/>
        <w:jc w:val="both"/>
        <w:rPr>
          <w:rFonts w:ascii="Times New Roman" w:hAnsi="Times New Roman" w:cs="Times New Roman"/>
          <w:lang w:val="sq-AL"/>
        </w:rPr>
      </w:pPr>
      <w:r w:rsidRPr="00205002">
        <w:rPr>
          <w:rFonts w:ascii="Times New Roman" w:hAnsi="Times New Roman" w:cs="Times New Roman"/>
          <w:color w:val="auto"/>
          <w:lang w:val="sq-AL"/>
        </w:rPr>
        <w:t xml:space="preserve">Plani </w:t>
      </w:r>
      <w:r>
        <w:rPr>
          <w:rFonts w:ascii="Times New Roman" w:hAnsi="Times New Roman" w:cs="Times New Roman"/>
          <w:color w:val="auto"/>
          <w:lang w:val="sq-AL"/>
        </w:rPr>
        <w:t xml:space="preserve">i Veprimit </w:t>
      </w:r>
      <w:r w:rsidRPr="00205002">
        <w:rPr>
          <w:rFonts w:ascii="Times New Roman" w:hAnsi="Times New Roman" w:cs="Times New Roman"/>
          <w:color w:val="auto"/>
          <w:lang w:val="sq-AL"/>
        </w:rPr>
        <w:t xml:space="preserve">përfshin informacionin në lidhje me shpërndarjen e burimeve sipas qëllimeve të politikës si dhe nevojat e paplotësuara me financim ose hendeku financiar për secilin nga qëllimet </w:t>
      </w:r>
      <w:r w:rsidRPr="00205002">
        <w:rPr>
          <w:rFonts w:ascii="Times New Roman" w:hAnsi="Times New Roman" w:cs="Times New Roman"/>
          <w:color w:val="auto"/>
          <w:lang w:val="sq-AL"/>
        </w:rPr>
        <w:lastRenderedPageBreak/>
        <w:t xml:space="preserve">e politikës. Hendeku i financimit mund të mbulohet direkt nga buxheti i shtetit, donatorët nëpërmjet granteve apo edhe fonde të tjera të asistencës teknike. </w:t>
      </w:r>
    </w:p>
    <w:p w14:paraId="056A5CBF" w14:textId="5A5DE684" w:rsidR="00951674" w:rsidRPr="00205002" w:rsidRDefault="00951674" w:rsidP="00951674">
      <w:pPr>
        <w:pStyle w:val="Default"/>
        <w:spacing w:after="120" w:line="276" w:lineRule="auto"/>
        <w:jc w:val="both"/>
        <w:rPr>
          <w:rFonts w:ascii="Times New Roman" w:eastAsiaTheme="minorHAnsi" w:hAnsi="Times New Roman" w:cs="Times New Roman"/>
          <w:color w:val="000000" w:themeColor="text1"/>
          <w:lang w:val="sq-AL"/>
        </w:rPr>
      </w:pPr>
      <w:r w:rsidRPr="00205002">
        <w:rPr>
          <w:rFonts w:ascii="Times New Roman" w:eastAsiaTheme="minorHAnsi" w:hAnsi="Times New Roman" w:cs="Times New Roman"/>
          <w:color w:val="000000" w:themeColor="text1"/>
          <w:lang w:val="sq-AL"/>
        </w:rPr>
        <w:t xml:space="preserve">Strategjia përbëhet nga pesë </w:t>
      </w:r>
      <w:r w:rsidR="007B5F7A">
        <w:rPr>
          <w:rFonts w:ascii="Times New Roman" w:eastAsiaTheme="minorHAnsi" w:hAnsi="Times New Roman" w:cs="Times New Roman"/>
          <w:color w:val="000000" w:themeColor="text1"/>
          <w:lang w:val="sq-AL"/>
        </w:rPr>
        <w:t>“Q</w:t>
      </w:r>
      <w:r w:rsidRPr="00205002">
        <w:rPr>
          <w:rFonts w:ascii="Times New Roman" w:eastAsiaTheme="minorHAnsi" w:hAnsi="Times New Roman" w:cs="Times New Roman"/>
          <w:color w:val="000000" w:themeColor="text1"/>
          <w:lang w:val="sq-AL"/>
        </w:rPr>
        <w:t xml:space="preserve">ëllime të </w:t>
      </w:r>
      <w:r w:rsidR="007B5F7A">
        <w:rPr>
          <w:rFonts w:ascii="Times New Roman" w:eastAsiaTheme="minorHAnsi" w:hAnsi="Times New Roman" w:cs="Times New Roman"/>
          <w:color w:val="000000" w:themeColor="text1"/>
          <w:lang w:val="sq-AL"/>
        </w:rPr>
        <w:t>P</w:t>
      </w:r>
      <w:r w:rsidRPr="00205002">
        <w:rPr>
          <w:rFonts w:ascii="Times New Roman" w:eastAsiaTheme="minorHAnsi" w:hAnsi="Times New Roman" w:cs="Times New Roman"/>
          <w:color w:val="000000" w:themeColor="text1"/>
          <w:lang w:val="sq-AL"/>
        </w:rPr>
        <w:t>olitikës</w:t>
      </w:r>
      <w:r w:rsidR="007B5F7A">
        <w:rPr>
          <w:rFonts w:ascii="Times New Roman" w:eastAsiaTheme="minorHAnsi" w:hAnsi="Times New Roman" w:cs="Times New Roman"/>
          <w:color w:val="000000" w:themeColor="text1"/>
          <w:lang w:val="sq-AL"/>
        </w:rPr>
        <w:t>”</w:t>
      </w:r>
      <w:r w:rsidRPr="00205002">
        <w:rPr>
          <w:rFonts w:ascii="Times New Roman" w:eastAsiaTheme="minorHAnsi" w:hAnsi="Times New Roman" w:cs="Times New Roman"/>
          <w:color w:val="000000" w:themeColor="text1"/>
          <w:lang w:val="sq-AL"/>
        </w:rPr>
        <w:t xml:space="preserve"> ku për secilin prej tyre jepet edhe institucioni përgjegjës dhe institucionet pjesëmarrëse. MAPA është institucioni përgjegjës për koordinimin e veprimeve në mënyrë që masat e parashikuara në strategji të realizohen me sukses. </w:t>
      </w:r>
    </w:p>
    <w:p w14:paraId="5C74BE7D" w14:textId="04685131" w:rsidR="00951674" w:rsidRDefault="00951674" w:rsidP="004A5F67">
      <w:pPr>
        <w:pStyle w:val="Default"/>
        <w:spacing w:line="276" w:lineRule="auto"/>
        <w:jc w:val="both"/>
        <w:rPr>
          <w:rFonts w:ascii="Times New Roman" w:eastAsia="Arial" w:hAnsi="Times New Roman" w:cs="Times New Roman"/>
          <w:lang w:val="sq-AL"/>
        </w:rPr>
      </w:pPr>
      <w:r w:rsidRPr="00205002">
        <w:rPr>
          <w:rFonts w:ascii="Times New Roman" w:eastAsiaTheme="minorHAnsi" w:hAnsi="Times New Roman" w:cs="Times New Roman"/>
          <w:color w:val="000000" w:themeColor="text1"/>
          <w:lang w:val="sq-AL"/>
        </w:rPr>
        <w:t xml:space="preserve">Kosto totale e </w:t>
      </w:r>
      <w:r>
        <w:rPr>
          <w:rFonts w:ascii="Times New Roman" w:eastAsiaTheme="minorHAnsi" w:hAnsi="Times New Roman" w:cs="Times New Roman"/>
          <w:color w:val="000000" w:themeColor="text1"/>
          <w:lang w:val="sq-AL"/>
        </w:rPr>
        <w:t>P</w:t>
      </w:r>
      <w:r w:rsidRPr="00205002">
        <w:rPr>
          <w:rFonts w:ascii="Times New Roman" w:eastAsiaTheme="minorHAnsi" w:hAnsi="Times New Roman" w:cs="Times New Roman"/>
          <w:color w:val="000000" w:themeColor="text1"/>
          <w:lang w:val="sq-AL"/>
        </w:rPr>
        <w:t xml:space="preserve">lanit të </w:t>
      </w:r>
      <w:r>
        <w:rPr>
          <w:rFonts w:ascii="Times New Roman" w:eastAsiaTheme="minorHAnsi" w:hAnsi="Times New Roman" w:cs="Times New Roman"/>
          <w:color w:val="000000" w:themeColor="text1"/>
          <w:lang w:val="sq-AL"/>
        </w:rPr>
        <w:t>V</w:t>
      </w:r>
      <w:r w:rsidRPr="00205002">
        <w:rPr>
          <w:rFonts w:ascii="Times New Roman" w:eastAsiaTheme="minorHAnsi" w:hAnsi="Times New Roman" w:cs="Times New Roman"/>
          <w:color w:val="000000" w:themeColor="text1"/>
          <w:lang w:val="sq-AL"/>
        </w:rPr>
        <w:t xml:space="preserve">eprimit të strategjisë është </w:t>
      </w:r>
      <w:r>
        <w:rPr>
          <w:rFonts w:ascii="Times New Roman" w:eastAsiaTheme="minorHAnsi" w:hAnsi="Times New Roman" w:cs="Times New Roman"/>
          <w:b/>
          <w:bCs/>
          <w:color w:val="000000" w:themeColor="text1"/>
          <w:lang w:val="sq-AL"/>
        </w:rPr>
        <w:t>9.27</w:t>
      </w:r>
      <w:r w:rsidRPr="00205002">
        <w:rPr>
          <w:rFonts w:ascii="Times New Roman" w:eastAsiaTheme="minorHAnsi" w:hAnsi="Times New Roman" w:cs="Times New Roman"/>
          <w:b/>
          <w:bCs/>
          <w:color w:val="000000" w:themeColor="text1"/>
          <w:lang w:val="sq-AL"/>
        </w:rPr>
        <w:t xml:space="preserve"> </w:t>
      </w:r>
      <w:r w:rsidRPr="00205002">
        <w:rPr>
          <w:rFonts w:ascii="Times New Roman" w:eastAsiaTheme="minorHAnsi" w:hAnsi="Times New Roman" w:cs="Times New Roman"/>
          <w:bCs/>
          <w:color w:val="000000" w:themeColor="text1"/>
          <w:lang w:val="sq-AL"/>
        </w:rPr>
        <w:t>miliard</w:t>
      </w:r>
      <w:r w:rsidRPr="00205002">
        <w:rPr>
          <w:rFonts w:ascii="Times New Roman" w:eastAsiaTheme="minorHAnsi" w:hAnsi="Times New Roman" w:cs="Times New Roman"/>
          <w:b/>
          <w:bCs/>
          <w:color w:val="000000" w:themeColor="text1"/>
          <w:lang w:val="sq-AL"/>
        </w:rPr>
        <w:t xml:space="preserve"> </w:t>
      </w:r>
      <w:r w:rsidRPr="00205002">
        <w:rPr>
          <w:rFonts w:ascii="Times New Roman" w:eastAsiaTheme="minorHAnsi" w:hAnsi="Times New Roman" w:cs="Times New Roman"/>
          <w:bCs/>
          <w:color w:val="000000" w:themeColor="text1"/>
          <w:lang w:val="sq-AL"/>
        </w:rPr>
        <w:t xml:space="preserve">lekë dhe hendeku financiar është </w:t>
      </w:r>
      <w:r>
        <w:rPr>
          <w:rFonts w:ascii="Times New Roman" w:eastAsiaTheme="minorHAnsi" w:hAnsi="Times New Roman" w:cs="Times New Roman"/>
          <w:bCs/>
          <w:color w:val="000000" w:themeColor="text1"/>
          <w:lang w:val="sq-AL"/>
        </w:rPr>
        <w:t>6.84</w:t>
      </w:r>
      <w:r w:rsidRPr="00205002">
        <w:rPr>
          <w:rFonts w:ascii="Times New Roman" w:eastAsiaTheme="minorHAnsi" w:hAnsi="Times New Roman" w:cs="Times New Roman"/>
          <w:bCs/>
          <w:color w:val="000000" w:themeColor="text1"/>
          <w:lang w:val="sq-AL"/>
        </w:rPr>
        <w:t>%</w:t>
      </w:r>
      <w:r w:rsidRPr="00205002">
        <w:rPr>
          <w:rFonts w:ascii="Times New Roman" w:eastAsia="Arial" w:hAnsi="Times New Roman" w:cs="Times New Roman"/>
          <w:bCs/>
          <w:color w:val="000000" w:themeColor="text1"/>
          <w:lang w:val="sq-AL"/>
        </w:rPr>
        <w:t xml:space="preserve">. Si vlerë hendeku financiar në total është </w:t>
      </w:r>
      <w:r w:rsidRPr="00205002">
        <w:rPr>
          <w:rFonts w:ascii="Times New Roman" w:eastAsia="Arial" w:hAnsi="Times New Roman" w:cs="Times New Roman"/>
          <w:b/>
          <w:bCs/>
          <w:color w:val="000000" w:themeColor="text1"/>
          <w:lang w:val="sq-AL"/>
        </w:rPr>
        <w:t>-</w:t>
      </w:r>
      <w:r>
        <w:rPr>
          <w:rFonts w:ascii="Times New Roman" w:eastAsia="Arial" w:hAnsi="Times New Roman" w:cs="Times New Roman"/>
          <w:b/>
          <w:bCs/>
          <w:color w:val="000000" w:themeColor="text1"/>
          <w:lang w:val="sq-AL"/>
        </w:rPr>
        <w:t>634</w:t>
      </w:r>
      <w:r w:rsidRPr="00205002">
        <w:rPr>
          <w:rFonts w:ascii="Times New Roman" w:eastAsia="Arial" w:hAnsi="Times New Roman" w:cs="Times New Roman"/>
          <w:b/>
          <w:bCs/>
          <w:color w:val="000000" w:themeColor="text1"/>
          <w:lang w:val="sq-AL"/>
        </w:rPr>
        <w:t>.</w:t>
      </w:r>
      <w:r>
        <w:rPr>
          <w:rFonts w:ascii="Times New Roman" w:eastAsia="Arial" w:hAnsi="Times New Roman" w:cs="Times New Roman"/>
          <w:b/>
          <w:bCs/>
          <w:color w:val="000000" w:themeColor="text1"/>
          <w:lang w:val="sq-AL"/>
        </w:rPr>
        <w:t>2</w:t>
      </w:r>
      <w:r w:rsidRPr="00205002">
        <w:rPr>
          <w:rFonts w:ascii="Times New Roman" w:eastAsia="Arial" w:hAnsi="Times New Roman" w:cs="Times New Roman"/>
          <w:b/>
          <w:bCs/>
          <w:color w:val="000000" w:themeColor="text1"/>
          <w:lang w:val="sq-AL"/>
        </w:rPr>
        <w:t xml:space="preserve"> </w:t>
      </w:r>
      <w:r w:rsidRPr="00205002">
        <w:rPr>
          <w:rFonts w:ascii="Times New Roman" w:eastAsia="Arial" w:hAnsi="Times New Roman" w:cs="Times New Roman"/>
          <w:bCs/>
          <w:color w:val="000000" w:themeColor="text1"/>
          <w:lang w:val="sq-AL"/>
        </w:rPr>
        <w:t>milion lekë. Në grafikun e mëposhtëm jepet hendeku financiar për secilin nga qëllimet e politikës</w:t>
      </w:r>
      <w:r w:rsidRPr="00205002">
        <w:rPr>
          <w:rFonts w:ascii="Times New Roman" w:eastAsia="Arial" w:hAnsi="Times New Roman" w:cs="Times New Roman"/>
          <w:lang w:val="sq-AL"/>
        </w:rPr>
        <w:t xml:space="preserve">. Vlen të evidentohet, se falë fokusit në digjitalizimin e shërbimeve që u ofrohen qytetarëve, sipas planeve aktuale, </w:t>
      </w:r>
      <w:r w:rsidR="00812F11">
        <w:rPr>
          <w:rFonts w:ascii="Times New Roman" w:eastAsia="Arial" w:hAnsi="Times New Roman" w:cs="Times New Roman"/>
          <w:lang w:val="sq-AL"/>
        </w:rPr>
        <w:t>Q</w:t>
      </w:r>
      <w:r w:rsidRPr="00205002">
        <w:rPr>
          <w:rFonts w:ascii="Times New Roman" w:eastAsia="Arial" w:hAnsi="Times New Roman" w:cs="Times New Roman"/>
          <w:lang w:val="sq-AL"/>
        </w:rPr>
        <w:t xml:space="preserve">ëllimi i </w:t>
      </w:r>
      <w:r w:rsidR="00875976">
        <w:rPr>
          <w:rFonts w:ascii="Times New Roman" w:eastAsia="Arial" w:hAnsi="Times New Roman" w:cs="Times New Roman"/>
          <w:lang w:val="sq-AL"/>
        </w:rPr>
        <w:t xml:space="preserve">tretë i </w:t>
      </w:r>
      <w:r w:rsidR="00812F11">
        <w:rPr>
          <w:rFonts w:ascii="Times New Roman" w:eastAsia="Arial" w:hAnsi="Times New Roman" w:cs="Times New Roman"/>
          <w:lang w:val="sq-AL"/>
        </w:rPr>
        <w:t>P</w:t>
      </w:r>
      <w:r w:rsidRPr="00205002">
        <w:rPr>
          <w:rFonts w:ascii="Times New Roman" w:eastAsia="Arial" w:hAnsi="Times New Roman" w:cs="Times New Roman"/>
          <w:lang w:val="sq-AL"/>
        </w:rPr>
        <w:t xml:space="preserve">olitikës </w:t>
      </w:r>
      <w:r w:rsidR="00812F11">
        <w:rPr>
          <w:rFonts w:ascii="Times New Roman" w:eastAsia="Arial" w:hAnsi="Times New Roman" w:cs="Times New Roman"/>
          <w:lang w:val="sq-AL"/>
        </w:rPr>
        <w:t>“</w:t>
      </w:r>
      <w:r w:rsidRPr="00812F11">
        <w:rPr>
          <w:rFonts w:ascii="Times New Roman" w:eastAsia="Arial" w:hAnsi="Times New Roman" w:cs="Times New Roman"/>
          <w:i/>
          <w:iCs/>
          <w:lang w:val="sq-AL"/>
        </w:rPr>
        <w:t>Ofrimi i Shërbimeve dhe Digjitalizimi</w:t>
      </w:r>
      <w:r w:rsidR="00812F11">
        <w:rPr>
          <w:rFonts w:ascii="Times New Roman" w:eastAsia="Arial" w:hAnsi="Times New Roman" w:cs="Times New Roman"/>
          <w:lang w:val="sq-AL"/>
        </w:rPr>
        <w:t>”</w:t>
      </w:r>
      <w:r w:rsidRPr="00205002">
        <w:rPr>
          <w:rFonts w:ascii="Times New Roman" w:eastAsia="Arial" w:hAnsi="Times New Roman" w:cs="Times New Roman"/>
          <w:lang w:val="sq-AL"/>
        </w:rPr>
        <w:t xml:space="preserve"> rezulton pa hendek financiar</w:t>
      </w:r>
      <w:r>
        <w:rPr>
          <w:rFonts w:ascii="Times New Roman" w:eastAsia="Arial" w:hAnsi="Times New Roman" w:cs="Times New Roman"/>
          <w:lang w:val="sq-AL"/>
        </w:rPr>
        <w:t>.</w:t>
      </w:r>
    </w:p>
    <w:p w14:paraId="4E07F30A" w14:textId="77777777" w:rsidR="004A5F67" w:rsidRPr="00205002" w:rsidRDefault="004A5F67" w:rsidP="004A5F67">
      <w:pPr>
        <w:pStyle w:val="Default"/>
        <w:spacing w:line="276" w:lineRule="auto"/>
        <w:jc w:val="both"/>
        <w:rPr>
          <w:rFonts w:ascii="Times New Roman" w:eastAsiaTheme="minorHAnsi" w:hAnsi="Times New Roman" w:cs="Times New Roman"/>
          <w:b/>
          <w:bCs/>
          <w:color w:val="000000" w:themeColor="text1"/>
          <w:lang w:val="sq-AL"/>
        </w:rPr>
      </w:pPr>
    </w:p>
    <w:p w14:paraId="05BC969C" w14:textId="77777777" w:rsidR="00951674" w:rsidRPr="00F56EB9" w:rsidRDefault="00951674" w:rsidP="00951674">
      <w:pPr>
        <w:tabs>
          <w:tab w:val="left" w:pos="900"/>
        </w:tabs>
        <w:spacing w:line="360" w:lineRule="auto"/>
        <w:jc w:val="both"/>
        <w:rPr>
          <w:rFonts w:ascii="Times New Roman" w:eastAsia="Arial" w:hAnsi="Times New Roman" w:cs="Times New Roman"/>
          <w:b/>
          <w:bCs/>
          <w:szCs w:val="24"/>
          <w:lang w:val="sq-AL"/>
        </w:rPr>
      </w:pPr>
      <w:r w:rsidRPr="00F56EB9">
        <w:rPr>
          <w:rFonts w:ascii="Times New Roman" w:eastAsia="Arial" w:hAnsi="Times New Roman" w:cs="Times New Roman"/>
          <w:b/>
          <w:bCs/>
          <w:szCs w:val="24"/>
          <w:lang w:val="sq-AL"/>
        </w:rPr>
        <w:t>Grafiku 1: Hendeku financiar për çdo qëllim politike (në milion lekë)</w:t>
      </w:r>
    </w:p>
    <w:p w14:paraId="2EEA7FF1" w14:textId="77777777" w:rsidR="00951674" w:rsidRDefault="00951674" w:rsidP="00951674">
      <w:pPr>
        <w:tabs>
          <w:tab w:val="left" w:pos="900"/>
        </w:tabs>
        <w:spacing w:line="360" w:lineRule="auto"/>
        <w:jc w:val="both"/>
        <w:rPr>
          <w:rFonts w:ascii="Times New Roman" w:eastAsia="Arial" w:hAnsi="Times New Roman" w:cs="Times New Roman"/>
          <w:szCs w:val="24"/>
          <w:lang w:val="sq-AL"/>
        </w:rPr>
      </w:pPr>
      <w:r>
        <w:rPr>
          <w:rFonts w:ascii="Times New Roman" w:eastAsia="Arial" w:hAnsi="Times New Roman" w:cs="Times New Roman"/>
          <w:noProof/>
          <w:szCs w:val="24"/>
        </w:rPr>
        <w:drawing>
          <wp:inline distT="0" distB="0" distL="0" distR="0" wp14:anchorId="310859DE" wp14:editId="286C56A4">
            <wp:extent cx="4584700" cy="2702409"/>
            <wp:effectExtent l="0" t="0" r="6350" b="3175"/>
            <wp:docPr id="1269449624" name="Picture 1269449624" descr="A blue and orange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49624" name="Picture 1269449624" descr="A blue and orange pie char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5177" cy="2714479"/>
                    </a:xfrm>
                    <a:prstGeom prst="rect">
                      <a:avLst/>
                    </a:prstGeom>
                    <a:noFill/>
                  </pic:spPr>
                </pic:pic>
              </a:graphicData>
            </a:graphic>
          </wp:inline>
        </w:drawing>
      </w:r>
    </w:p>
    <w:p w14:paraId="753B0CE6" w14:textId="212CF93B" w:rsidR="00951674" w:rsidRPr="00205002" w:rsidRDefault="00951674" w:rsidP="00951674">
      <w:pPr>
        <w:tabs>
          <w:tab w:val="left" w:pos="900"/>
        </w:tabs>
        <w:spacing w:line="276" w:lineRule="auto"/>
        <w:jc w:val="both"/>
        <w:rPr>
          <w:rFonts w:ascii="Times New Roman" w:eastAsia="Arial" w:hAnsi="Times New Roman" w:cs="Times New Roman"/>
          <w:sz w:val="24"/>
          <w:szCs w:val="24"/>
          <w:lang w:val="sq-AL"/>
        </w:rPr>
      </w:pPr>
      <w:r w:rsidRPr="00205002">
        <w:rPr>
          <w:rFonts w:ascii="Times New Roman" w:eastAsia="Arial" w:hAnsi="Times New Roman" w:cs="Times New Roman"/>
          <w:sz w:val="24"/>
          <w:szCs w:val="24"/>
          <w:lang w:val="sq-AL"/>
        </w:rPr>
        <w:t>8</w:t>
      </w:r>
      <w:r>
        <w:rPr>
          <w:rFonts w:ascii="Times New Roman" w:eastAsia="Arial" w:hAnsi="Times New Roman" w:cs="Times New Roman"/>
          <w:sz w:val="24"/>
          <w:szCs w:val="24"/>
          <w:lang w:val="sq-AL"/>
        </w:rPr>
        <w:t>8.1</w:t>
      </w:r>
      <w:r w:rsidRPr="00205002">
        <w:rPr>
          <w:rFonts w:ascii="Times New Roman" w:eastAsia="Arial" w:hAnsi="Times New Roman" w:cs="Times New Roman"/>
          <w:sz w:val="24"/>
          <w:szCs w:val="24"/>
          <w:lang w:val="sq-AL"/>
        </w:rPr>
        <w:t xml:space="preserve">% të hendekut financiar e zënë fondet që duhen për të realizuar </w:t>
      </w:r>
      <w:r w:rsidR="0081028C">
        <w:rPr>
          <w:rFonts w:ascii="Times New Roman" w:eastAsia="Arial" w:hAnsi="Times New Roman" w:cs="Times New Roman"/>
          <w:sz w:val="24"/>
          <w:szCs w:val="24"/>
          <w:lang w:val="sq-AL"/>
        </w:rPr>
        <w:t>Q</w:t>
      </w:r>
      <w:r w:rsidRPr="00205002">
        <w:rPr>
          <w:rFonts w:ascii="Times New Roman" w:eastAsia="Arial" w:hAnsi="Times New Roman" w:cs="Times New Roman"/>
          <w:sz w:val="24"/>
          <w:szCs w:val="24"/>
          <w:lang w:val="sq-AL"/>
        </w:rPr>
        <w:t xml:space="preserve">ëllimin e pestë të </w:t>
      </w:r>
      <w:r w:rsidR="0081028C">
        <w:rPr>
          <w:rFonts w:ascii="Times New Roman" w:eastAsia="Arial" w:hAnsi="Times New Roman" w:cs="Times New Roman"/>
          <w:sz w:val="24"/>
          <w:szCs w:val="24"/>
          <w:lang w:val="sq-AL"/>
        </w:rPr>
        <w:t>P</w:t>
      </w:r>
      <w:r w:rsidRPr="00205002">
        <w:rPr>
          <w:rFonts w:ascii="Times New Roman" w:eastAsia="Arial" w:hAnsi="Times New Roman" w:cs="Times New Roman"/>
          <w:sz w:val="24"/>
          <w:szCs w:val="24"/>
          <w:lang w:val="sq-AL"/>
        </w:rPr>
        <w:t xml:space="preserve">olitikës, </w:t>
      </w:r>
      <w:r>
        <w:rPr>
          <w:rFonts w:ascii="Times New Roman" w:eastAsia="Arial" w:hAnsi="Times New Roman" w:cs="Times New Roman"/>
          <w:sz w:val="24"/>
          <w:szCs w:val="24"/>
          <w:lang w:val="sq-AL"/>
        </w:rPr>
        <w:t>8</w:t>
      </w:r>
      <w:r w:rsidRPr="00205002">
        <w:rPr>
          <w:rFonts w:ascii="Times New Roman" w:eastAsia="Arial" w:hAnsi="Times New Roman" w:cs="Times New Roman"/>
          <w:sz w:val="24"/>
          <w:szCs w:val="24"/>
          <w:lang w:val="sq-AL"/>
        </w:rPr>
        <w:t>.</w:t>
      </w:r>
      <w:r>
        <w:rPr>
          <w:rFonts w:ascii="Times New Roman" w:eastAsia="Arial" w:hAnsi="Times New Roman" w:cs="Times New Roman"/>
          <w:sz w:val="24"/>
          <w:szCs w:val="24"/>
          <w:lang w:val="sq-AL"/>
        </w:rPr>
        <w:t>7</w:t>
      </w:r>
      <w:r w:rsidRPr="00205002">
        <w:rPr>
          <w:rFonts w:ascii="Times New Roman" w:eastAsia="Arial" w:hAnsi="Times New Roman" w:cs="Times New Roman"/>
          <w:sz w:val="24"/>
          <w:szCs w:val="24"/>
          <w:lang w:val="sq-AL"/>
        </w:rPr>
        <w:t xml:space="preserve">% e hendekut përbëhet nga fondet që duhen për të realizuar qëllimin e katërt të politikës, </w:t>
      </w:r>
      <w:r>
        <w:rPr>
          <w:rFonts w:ascii="Times New Roman" w:eastAsia="Arial" w:hAnsi="Times New Roman" w:cs="Times New Roman"/>
          <w:sz w:val="24"/>
          <w:szCs w:val="24"/>
          <w:lang w:val="sq-AL"/>
        </w:rPr>
        <w:t>2</w:t>
      </w:r>
      <w:r w:rsidRPr="00205002">
        <w:rPr>
          <w:rFonts w:ascii="Times New Roman" w:eastAsia="Arial" w:hAnsi="Times New Roman" w:cs="Times New Roman"/>
          <w:sz w:val="24"/>
          <w:szCs w:val="24"/>
          <w:lang w:val="sq-AL"/>
        </w:rPr>
        <w:t>.</w:t>
      </w:r>
      <w:r>
        <w:rPr>
          <w:rFonts w:ascii="Times New Roman" w:eastAsia="Arial" w:hAnsi="Times New Roman" w:cs="Times New Roman"/>
          <w:sz w:val="24"/>
          <w:szCs w:val="24"/>
          <w:lang w:val="sq-AL"/>
        </w:rPr>
        <w:t>1</w:t>
      </w:r>
      <w:r w:rsidRPr="00205002">
        <w:rPr>
          <w:rFonts w:ascii="Times New Roman" w:eastAsia="Arial" w:hAnsi="Times New Roman" w:cs="Times New Roman"/>
          <w:sz w:val="24"/>
          <w:szCs w:val="24"/>
          <w:lang w:val="sq-AL"/>
        </w:rPr>
        <w:t xml:space="preserve">% e hendekut janë fondet që duhen për të realizuar </w:t>
      </w:r>
      <w:r w:rsidR="0081028C">
        <w:rPr>
          <w:rFonts w:ascii="Times New Roman" w:eastAsia="Arial" w:hAnsi="Times New Roman" w:cs="Times New Roman"/>
          <w:sz w:val="24"/>
          <w:szCs w:val="24"/>
          <w:lang w:val="sq-AL"/>
        </w:rPr>
        <w:t>Q</w:t>
      </w:r>
      <w:r w:rsidRPr="00205002">
        <w:rPr>
          <w:rFonts w:ascii="Times New Roman" w:eastAsia="Arial" w:hAnsi="Times New Roman" w:cs="Times New Roman"/>
          <w:sz w:val="24"/>
          <w:szCs w:val="24"/>
          <w:lang w:val="sq-AL"/>
        </w:rPr>
        <w:t xml:space="preserve">ëllimin e dytë të </w:t>
      </w:r>
      <w:r w:rsidR="0081028C">
        <w:rPr>
          <w:rFonts w:ascii="Times New Roman" w:eastAsia="Arial" w:hAnsi="Times New Roman" w:cs="Times New Roman"/>
          <w:sz w:val="24"/>
          <w:szCs w:val="24"/>
          <w:lang w:val="sq-AL"/>
        </w:rPr>
        <w:t>P</w:t>
      </w:r>
      <w:r w:rsidRPr="00205002">
        <w:rPr>
          <w:rFonts w:ascii="Times New Roman" w:eastAsia="Arial" w:hAnsi="Times New Roman" w:cs="Times New Roman"/>
          <w:sz w:val="24"/>
          <w:szCs w:val="24"/>
          <w:lang w:val="sq-AL"/>
        </w:rPr>
        <w:t xml:space="preserve">olitikës dhe </w:t>
      </w:r>
      <w:r>
        <w:rPr>
          <w:rFonts w:ascii="Times New Roman" w:eastAsia="Arial" w:hAnsi="Times New Roman" w:cs="Times New Roman"/>
          <w:sz w:val="24"/>
          <w:szCs w:val="24"/>
          <w:lang w:val="sq-AL"/>
        </w:rPr>
        <w:t>1</w:t>
      </w:r>
      <w:r w:rsidRPr="00205002">
        <w:rPr>
          <w:rFonts w:ascii="Times New Roman" w:eastAsia="Arial" w:hAnsi="Times New Roman" w:cs="Times New Roman"/>
          <w:sz w:val="24"/>
          <w:szCs w:val="24"/>
          <w:lang w:val="sq-AL"/>
        </w:rPr>
        <w:t>.</w:t>
      </w:r>
      <w:r>
        <w:rPr>
          <w:rFonts w:ascii="Times New Roman" w:eastAsia="Arial" w:hAnsi="Times New Roman" w:cs="Times New Roman"/>
          <w:sz w:val="24"/>
          <w:szCs w:val="24"/>
          <w:lang w:val="sq-AL"/>
        </w:rPr>
        <w:t>1</w:t>
      </w:r>
      <w:r w:rsidRPr="00205002">
        <w:rPr>
          <w:rFonts w:ascii="Times New Roman" w:eastAsia="Arial" w:hAnsi="Times New Roman" w:cs="Times New Roman"/>
          <w:sz w:val="24"/>
          <w:szCs w:val="24"/>
          <w:lang w:val="sq-AL"/>
        </w:rPr>
        <w:t xml:space="preserve">% janë fondet që duhen për të realizuar </w:t>
      </w:r>
      <w:r w:rsidR="00875976">
        <w:rPr>
          <w:rFonts w:ascii="Times New Roman" w:eastAsia="Arial" w:hAnsi="Times New Roman" w:cs="Times New Roman"/>
          <w:sz w:val="24"/>
          <w:szCs w:val="24"/>
          <w:lang w:val="sq-AL"/>
        </w:rPr>
        <w:t>Q</w:t>
      </w:r>
      <w:r w:rsidRPr="00205002">
        <w:rPr>
          <w:rFonts w:ascii="Times New Roman" w:eastAsia="Arial" w:hAnsi="Times New Roman" w:cs="Times New Roman"/>
          <w:sz w:val="24"/>
          <w:szCs w:val="24"/>
          <w:lang w:val="sq-AL"/>
        </w:rPr>
        <w:t xml:space="preserve">ëllimin e parë të </w:t>
      </w:r>
      <w:r w:rsidR="00875976">
        <w:rPr>
          <w:rFonts w:ascii="Times New Roman" w:eastAsia="Arial" w:hAnsi="Times New Roman" w:cs="Times New Roman"/>
          <w:sz w:val="24"/>
          <w:szCs w:val="24"/>
          <w:lang w:val="sq-AL"/>
        </w:rPr>
        <w:t>P</w:t>
      </w:r>
      <w:r w:rsidRPr="00205002">
        <w:rPr>
          <w:rFonts w:ascii="Times New Roman" w:eastAsia="Arial" w:hAnsi="Times New Roman" w:cs="Times New Roman"/>
          <w:sz w:val="24"/>
          <w:szCs w:val="24"/>
          <w:lang w:val="sq-AL"/>
        </w:rPr>
        <w:t xml:space="preserve">olitikës. Pra, më së shumti, hendeku i financimit lidhet me politikat dhe veprimet që duhen ndërmarrë për të arritur objektivat e </w:t>
      </w:r>
      <w:r w:rsidR="004F43A1">
        <w:rPr>
          <w:rFonts w:ascii="Times New Roman" w:eastAsia="Arial" w:hAnsi="Times New Roman" w:cs="Times New Roman"/>
          <w:sz w:val="24"/>
          <w:szCs w:val="24"/>
          <w:lang w:val="sq-AL"/>
        </w:rPr>
        <w:t>“A</w:t>
      </w:r>
      <w:r w:rsidRPr="00205002">
        <w:rPr>
          <w:rFonts w:ascii="Times New Roman" w:eastAsia="Arial" w:hAnsi="Times New Roman" w:cs="Times New Roman"/>
          <w:sz w:val="24"/>
          <w:szCs w:val="24"/>
          <w:lang w:val="sq-AL"/>
        </w:rPr>
        <w:t xml:space="preserve">dministratës </w:t>
      </w:r>
      <w:r w:rsidR="004F43A1">
        <w:rPr>
          <w:rFonts w:ascii="Times New Roman" w:eastAsia="Arial" w:hAnsi="Times New Roman" w:cs="Times New Roman"/>
          <w:sz w:val="24"/>
          <w:szCs w:val="24"/>
          <w:lang w:val="sq-AL"/>
        </w:rPr>
        <w:t>s</w:t>
      </w:r>
      <w:r w:rsidRPr="00205002">
        <w:rPr>
          <w:rFonts w:ascii="Times New Roman" w:eastAsia="Arial" w:hAnsi="Times New Roman" w:cs="Times New Roman"/>
          <w:sz w:val="24"/>
          <w:szCs w:val="24"/>
          <w:lang w:val="sq-AL"/>
        </w:rPr>
        <w:t>ë gjelbër</w:t>
      </w:r>
      <w:r w:rsidR="004F43A1">
        <w:rPr>
          <w:rFonts w:ascii="Times New Roman" w:eastAsia="Arial" w:hAnsi="Times New Roman" w:cs="Times New Roman"/>
          <w:sz w:val="24"/>
          <w:szCs w:val="24"/>
          <w:lang w:val="sq-AL"/>
        </w:rPr>
        <w:t>”</w:t>
      </w:r>
      <w:r w:rsidRPr="00205002">
        <w:rPr>
          <w:rFonts w:ascii="Times New Roman" w:eastAsia="Arial" w:hAnsi="Times New Roman" w:cs="Times New Roman"/>
          <w:sz w:val="24"/>
          <w:szCs w:val="24"/>
          <w:lang w:val="sq-AL"/>
        </w:rPr>
        <w:t>. Gjithashtu hendeku lidhet me shpenzimet e trajnimit, studim i situatës aktuale, apo edhe shpërndarje informacioni.</w:t>
      </w:r>
    </w:p>
    <w:p w14:paraId="756AD747" w14:textId="77777777" w:rsidR="00951674" w:rsidRDefault="00951674" w:rsidP="00951674">
      <w:pPr>
        <w:tabs>
          <w:tab w:val="left" w:pos="900"/>
        </w:tabs>
        <w:spacing w:line="276" w:lineRule="auto"/>
        <w:jc w:val="both"/>
        <w:rPr>
          <w:rFonts w:ascii="Times New Roman" w:eastAsia="Arial" w:hAnsi="Times New Roman" w:cs="Times New Roman"/>
          <w:sz w:val="24"/>
          <w:szCs w:val="24"/>
          <w:lang w:val="sq-AL"/>
        </w:rPr>
      </w:pPr>
      <w:r w:rsidRPr="00205002">
        <w:rPr>
          <w:rFonts w:ascii="Times New Roman" w:eastAsia="Arial" w:hAnsi="Times New Roman" w:cs="Times New Roman"/>
          <w:sz w:val="24"/>
          <w:szCs w:val="24"/>
          <w:lang w:val="sq-AL"/>
        </w:rPr>
        <w:t xml:space="preserve">Siç tregon edhe grafiku i mëposhtëm, përsa i përket burimit të financimit për aktivitetet, masat, objektivat specifikë dhe qëllimet e politikës së strategjisë për periudhën 2025 – 2027 mund të thuhet se buxheti i shtetit zë peshën më të madhe me </w:t>
      </w:r>
      <w:r>
        <w:rPr>
          <w:rFonts w:ascii="Times New Roman" w:eastAsia="Arial" w:hAnsi="Times New Roman" w:cs="Times New Roman"/>
          <w:sz w:val="24"/>
          <w:szCs w:val="24"/>
          <w:lang w:val="sq-AL"/>
        </w:rPr>
        <w:t>rreth 54</w:t>
      </w:r>
      <w:r w:rsidRPr="00205002">
        <w:rPr>
          <w:rFonts w:ascii="Times New Roman" w:eastAsia="Arial" w:hAnsi="Times New Roman" w:cs="Times New Roman"/>
          <w:sz w:val="24"/>
          <w:szCs w:val="24"/>
          <w:lang w:val="sq-AL"/>
        </w:rPr>
        <w:t>%.</w:t>
      </w:r>
    </w:p>
    <w:p w14:paraId="1ED1A539" w14:textId="77777777" w:rsidR="00951674" w:rsidRPr="00205002" w:rsidRDefault="00951674" w:rsidP="00951674">
      <w:pPr>
        <w:tabs>
          <w:tab w:val="left" w:pos="900"/>
        </w:tabs>
        <w:spacing w:line="276" w:lineRule="auto"/>
        <w:jc w:val="both"/>
        <w:rPr>
          <w:rFonts w:ascii="Times New Roman" w:eastAsia="Arial" w:hAnsi="Times New Roman" w:cs="Times New Roman"/>
          <w:sz w:val="24"/>
          <w:szCs w:val="24"/>
          <w:lang w:val="sq-AL"/>
        </w:rPr>
      </w:pPr>
    </w:p>
    <w:p w14:paraId="6BBC3ADF" w14:textId="77777777" w:rsidR="00951674" w:rsidRPr="00F56EB9" w:rsidRDefault="00951674" w:rsidP="004A5F67">
      <w:pPr>
        <w:pStyle w:val="Default"/>
        <w:spacing w:line="276" w:lineRule="auto"/>
        <w:jc w:val="both"/>
        <w:rPr>
          <w:rFonts w:ascii="Times New Roman" w:eastAsia="Arial" w:hAnsi="Times New Roman" w:cs="Times New Roman"/>
          <w:b/>
          <w:color w:val="000000" w:themeColor="text1"/>
          <w:lang w:val="sq-AL"/>
        </w:rPr>
      </w:pPr>
      <w:r w:rsidRPr="00F56EB9">
        <w:rPr>
          <w:rFonts w:ascii="Times New Roman" w:eastAsia="Arial" w:hAnsi="Times New Roman" w:cs="Times New Roman"/>
          <w:b/>
          <w:color w:val="000000" w:themeColor="text1"/>
          <w:lang w:val="sq-AL"/>
        </w:rPr>
        <w:lastRenderedPageBreak/>
        <w:t>Grafiku 2:  Përbërja e kostove sipas burimit të financimit</w:t>
      </w:r>
    </w:p>
    <w:p w14:paraId="2F2B5B93" w14:textId="77777777" w:rsidR="00951674" w:rsidRPr="004A5F67" w:rsidRDefault="00951674" w:rsidP="00951674">
      <w:pPr>
        <w:pStyle w:val="Default"/>
        <w:spacing w:after="120" w:line="276" w:lineRule="auto"/>
        <w:jc w:val="both"/>
        <w:rPr>
          <w:rFonts w:ascii="Times New Roman" w:eastAsia="Arial" w:hAnsi="Times New Roman" w:cs="Times New Roman"/>
          <w:bCs/>
          <w:color w:val="000000" w:themeColor="text1"/>
          <w:sz w:val="8"/>
          <w:szCs w:val="8"/>
          <w:lang w:val="sq-AL"/>
        </w:rPr>
      </w:pPr>
    </w:p>
    <w:p w14:paraId="2D64D2DF" w14:textId="77777777" w:rsidR="00951674" w:rsidRDefault="00951674" w:rsidP="00951674">
      <w:pPr>
        <w:pStyle w:val="Default"/>
        <w:spacing w:after="120" w:line="276" w:lineRule="auto"/>
        <w:jc w:val="both"/>
        <w:rPr>
          <w:rFonts w:ascii="Times New Roman" w:eastAsia="Arial" w:hAnsi="Times New Roman" w:cs="Times New Roman"/>
          <w:bCs/>
          <w:color w:val="000000" w:themeColor="text1"/>
          <w:lang w:val="sq-AL"/>
        </w:rPr>
      </w:pPr>
      <w:r>
        <w:rPr>
          <w:rFonts w:ascii="Times New Roman" w:eastAsia="Arial" w:hAnsi="Times New Roman" w:cs="Times New Roman"/>
          <w:bCs/>
          <w:noProof/>
          <w:color w:val="000000" w:themeColor="text1"/>
        </w:rPr>
        <w:drawing>
          <wp:inline distT="0" distB="0" distL="0" distR="0" wp14:anchorId="5F44A5DF" wp14:editId="77E1F8DB">
            <wp:extent cx="4571086" cy="2329732"/>
            <wp:effectExtent l="0" t="0" r="1270" b="0"/>
            <wp:docPr id="3" name="Picture 3" descr="A pie chart with numbers and a number of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e chart with numbers and a number of percentages&#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7783" cy="2338242"/>
                    </a:xfrm>
                    <a:prstGeom prst="rect">
                      <a:avLst/>
                    </a:prstGeom>
                    <a:noFill/>
                  </pic:spPr>
                </pic:pic>
              </a:graphicData>
            </a:graphic>
          </wp:inline>
        </w:drawing>
      </w:r>
    </w:p>
    <w:p w14:paraId="0FFA7EE5" w14:textId="7F1A700D" w:rsidR="00951674" w:rsidRPr="00205002" w:rsidRDefault="00951674" w:rsidP="00951674">
      <w:pPr>
        <w:pStyle w:val="Default"/>
        <w:spacing w:after="120" w:line="276" w:lineRule="auto"/>
        <w:jc w:val="both"/>
        <w:rPr>
          <w:rFonts w:ascii="Times New Roman" w:eastAsia="Arial" w:hAnsi="Times New Roman" w:cs="Times New Roman"/>
          <w:bCs/>
          <w:color w:val="000000" w:themeColor="text1"/>
          <w:lang w:val="sq-AL"/>
        </w:rPr>
      </w:pPr>
      <w:r w:rsidRPr="00205002">
        <w:rPr>
          <w:rFonts w:ascii="Times New Roman" w:eastAsia="Arial" w:hAnsi="Times New Roman" w:cs="Times New Roman"/>
          <w:bCs/>
          <w:color w:val="000000" w:themeColor="text1"/>
          <w:lang w:val="sq-AL"/>
        </w:rPr>
        <w:t xml:space="preserve">Ndërkohë, kontributi i donatorëve është i ndjeshëm pasi mbulojnë </w:t>
      </w:r>
      <w:r>
        <w:rPr>
          <w:rFonts w:ascii="Times New Roman" w:eastAsia="Arial" w:hAnsi="Times New Roman" w:cs="Times New Roman"/>
          <w:bCs/>
          <w:color w:val="000000" w:themeColor="text1"/>
          <w:lang w:val="sq-AL"/>
        </w:rPr>
        <w:t>39.4</w:t>
      </w:r>
      <w:r w:rsidRPr="00205002">
        <w:rPr>
          <w:rFonts w:ascii="Times New Roman" w:eastAsia="Arial" w:hAnsi="Times New Roman" w:cs="Times New Roman"/>
          <w:bCs/>
          <w:color w:val="000000" w:themeColor="text1"/>
          <w:lang w:val="sq-AL"/>
        </w:rPr>
        <w:t xml:space="preserve">% të kostove totale të realizimit të </w:t>
      </w:r>
      <w:r w:rsidR="008403C9">
        <w:rPr>
          <w:rFonts w:ascii="Times New Roman" w:eastAsia="Arial" w:hAnsi="Times New Roman" w:cs="Times New Roman"/>
          <w:bCs/>
          <w:color w:val="000000" w:themeColor="text1"/>
          <w:lang w:val="sq-AL"/>
        </w:rPr>
        <w:t>P</w:t>
      </w:r>
      <w:r w:rsidRPr="00205002">
        <w:rPr>
          <w:rFonts w:ascii="Times New Roman" w:eastAsia="Arial" w:hAnsi="Times New Roman" w:cs="Times New Roman"/>
          <w:bCs/>
          <w:color w:val="000000" w:themeColor="text1"/>
          <w:lang w:val="sq-AL"/>
        </w:rPr>
        <w:t xml:space="preserve">lanit të </w:t>
      </w:r>
      <w:r w:rsidR="008403C9">
        <w:rPr>
          <w:rFonts w:ascii="Times New Roman" w:eastAsia="Arial" w:hAnsi="Times New Roman" w:cs="Times New Roman"/>
          <w:bCs/>
          <w:color w:val="000000" w:themeColor="text1"/>
          <w:lang w:val="sq-AL"/>
        </w:rPr>
        <w:t>V</w:t>
      </w:r>
      <w:r w:rsidRPr="00205002">
        <w:rPr>
          <w:rFonts w:ascii="Times New Roman" w:eastAsia="Arial" w:hAnsi="Times New Roman" w:cs="Times New Roman"/>
          <w:bCs/>
          <w:color w:val="000000" w:themeColor="text1"/>
          <w:lang w:val="sq-AL"/>
        </w:rPr>
        <w:t>eprimit për periudhën 2025 - 2027. Ndër donatorët kryesorë janë Banka Botërore dhe Bashkimi Europian</w:t>
      </w:r>
      <w:r>
        <w:rPr>
          <w:rFonts w:ascii="Times New Roman" w:eastAsia="Arial" w:hAnsi="Times New Roman" w:cs="Times New Roman"/>
          <w:bCs/>
          <w:color w:val="000000" w:themeColor="text1"/>
          <w:lang w:val="sq-AL"/>
        </w:rPr>
        <w:t xml:space="preserve"> që ofrojnë asistencë për digjitalizimin e shërbimeve të administratës publike dhe gjithashtu asistencë teknike për ngritjen e kapaciteteve.</w:t>
      </w:r>
    </w:p>
    <w:p w14:paraId="17E2CE6B" w14:textId="50E41636" w:rsidR="00951674" w:rsidRDefault="00951674" w:rsidP="00951674">
      <w:pPr>
        <w:pStyle w:val="Default"/>
        <w:spacing w:after="120" w:line="276" w:lineRule="auto"/>
        <w:jc w:val="both"/>
        <w:rPr>
          <w:rFonts w:ascii="Times New Roman" w:eastAsia="Arial" w:hAnsi="Times New Roman" w:cs="Times New Roman"/>
          <w:bCs/>
          <w:color w:val="000000" w:themeColor="text1"/>
          <w:lang w:val="sq-AL"/>
        </w:rPr>
      </w:pPr>
      <w:r w:rsidRPr="00205002">
        <w:rPr>
          <w:rFonts w:ascii="Times New Roman" w:eastAsia="Arial" w:hAnsi="Times New Roman" w:cs="Times New Roman"/>
          <w:bCs/>
          <w:color w:val="000000" w:themeColor="text1"/>
          <w:lang w:val="sq-AL"/>
        </w:rPr>
        <w:t xml:space="preserve">Përsa i përket klasifikimit ekonomik, </w:t>
      </w:r>
      <w:r>
        <w:rPr>
          <w:rFonts w:ascii="Times New Roman" w:eastAsia="Arial" w:hAnsi="Times New Roman" w:cs="Times New Roman"/>
          <w:bCs/>
          <w:color w:val="000000" w:themeColor="text1"/>
          <w:lang w:val="sq-AL"/>
        </w:rPr>
        <w:t>80.2</w:t>
      </w:r>
      <w:r w:rsidRPr="00205002">
        <w:rPr>
          <w:rFonts w:ascii="Times New Roman" w:eastAsia="Arial" w:hAnsi="Times New Roman" w:cs="Times New Roman"/>
          <w:bCs/>
          <w:color w:val="000000" w:themeColor="text1"/>
          <w:lang w:val="sq-AL"/>
        </w:rPr>
        <w:t xml:space="preserve">% e kostove të planit të veprimit 2025 – 2027 e zënë shpenzimet kapitale dhe </w:t>
      </w:r>
      <w:r>
        <w:rPr>
          <w:rFonts w:ascii="Times New Roman" w:eastAsia="Arial" w:hAnsi="Times New Roman" w:cs="Times New Roman"/>
          <w:bCs/>
          <w:color w:val="000000" w:themeColor="text1"/>
          <w:lang w:val="sq-AL"/>
        </w:rPr>
        <w:t>19.8</w:t>
      </w:r>
      <w:r w:rsidRPr="00205002">
        <w:rPr>
          <w:rFonts w:ascii="Times New Roman" w:eastAsia="Arial" w:hAnsi="Times New Roman" w:cs="Times New Roman"/>
          <w:bCs/>
          <w:color w:val="000000" w:themeColor="text1"/>
          <w:lang w:val="sq-AL"/>
        </w:rPr>
        <w:t xml:space="preserve">% janë shpenzimet korente ku përfshihen pagat me </w:t>
      </w:r>
      <w:r>
        <w:rPr>
          <w:rFonts w:ascii="Times New Roman" w:eastAsia="Arial" w:hAnsi="Times New Roman" w:cs="Times New Roman"/>
          <w:bCs/>
          <w:color w:val="000000" w:themeColor="text1"/>
          <w:lang w:val="sq-AL"/>
        </w:rPr>
        <w:t>3.9</w:t>
      </w:r>
      <w:r w:rsidRPr="00205002">
        <w:rPr>
          <w:rFonts w:ascii="Times New Roman" w:eastAsia="Arial" w:hAnsi="Times New Roman" w:cs="Times New Roman"/>
          <w:bCs/>
          <w:color w:val="000000" w:themeColor="text1"/>
          <w:lang w:val="sq-AL"/>
        </w:rPr>
        <w:t xml:space="preserve">% </w:t>
      </w:r>
      <w:r>
        <w:rPr>
          <w:rFonts w:ascii="Times New Roman" w:eastAsia="Arial" w:hAnsi="Times New Roman" w:cs="Times New Roman"/>
          <w:bCs/>
          <w:color w:val="000000" w:themeColor="text1"/>
          <w:lang w:val="sq-AL"/>
        </w:rPr>
        <w:t xml:space="preserve">të totalit të kostos së </w:t>
      </w:r>
      <w:r w:rsidR="00AA76EC">
        <w:rPr>
          <w:rFonts w:ascii="Times New Roman" w:eastAsia="Arial" w:hAnsi="Times New Roman" w:cs="Times New Roman"/>
          <w:bCs/>
          <w:color w:val="000000" w:themeColor="text1"/>
          <w:lang w:val="sq-AL"/>
        </w:rPr>
        <w:t>P</w:t>
      </w:r>
      <w:r>
        <w:rPr>
          <w:rFonts w:ascii="Times New Roman" w:eastAsia="Arial" w:hAnsi="Times New Roman" w:cs="Times New Roman"/>
          <w:bCs/>
          <w:color w:val="000000" w:themeColor="text1"/>
          <w:lang w:val="sq-AL"/>
        </w:rPr>
        <w:t xml:space="preserve">lanit të </w:t>
      </w:r>
      <w:r w:rsidR="00AA76EC">
        <w:rPr>
          <w:rFonts w:ascii="Times New Roman" w:eastAsia="Arial" w:hAnsi="Times New Roman" w:cs="Times New Roman"/>
          <w:bCs/>
          <w:color w:val="000000" w:themeColor="text1"/>
          <w:lang w:val="sq-AL"/>
        </w:rPr>
        <w:t>V</w:t>
      </w:r>
      <w:r>
        <w:rPr>
          <w:rFonts w:ascii="Times New Roman" w:eastAsia="Arial" w:hAnsi="Times New Roman" w:cs="Times New Roman"/>
          <w:bCs/>
          <w:color w:val="000000" w:themeColor="text1"/>
          <w:lang w:val="sq-AL"/>
        </w:rPr>
        <w:t xml:space="preserve">eprimit </w:t>
      </w:r>
      <w:r w:rsidRPr="00205002">
        <w:rPr>
          <w:rFonts w:ascii="Times New Roman" w:eastAsia="Arial" w:hAnsi="Times New Roman" w:cs="Times New Roman"/>
          <w:bCs/>
          <w:color w:val="000000" w:themeColor="text1"/>
          <w:lang w:val="sq-AL"/>
        </w:rPr>
        <w:t>dhe shpenzimet e tjera korente me 1</w:t>
      </w:r>
      <w:r>
        <w:rPr>
          <w:rFonts w:ascii="Times New Roman" w:eastAsia="Arial" w:hAnsi="Times New Roman" w:cs="Times New Roman"/>
          <w:bCs/>
          <w:color w:val="000000" w:themeColor="text1"/>
          <w:lang w:val="sq-AL"/>
        </w:rPr>
        <w:t>5.9</w:t>
      </w:r>
      <w:r w:rsidRPr="00205002">
        <w:rPr>
          <w:rFonts w:ascii="Times New Roman" w:eastAsia="Arial" w:hAnsi="Times New Roman" w:cs="Times New Roman"/>
          <w:bCs/>
          <w:color w:val="000000" w:themeColor="text1"/>
          <w:lang w:val="sq-AL"/>
        </w:rPr>
        <w:t>%</w:t>
      </w:r>
      <w:r>
        <w:rPr>
          <w:rFonts w:ascii="Times New Roman" w:eastAsia="Arial" w:hAnsi="Times New Roman" w:cs="Times New Roman"/>
          <w:bCs/>
          <w:color w:val="000000" w:themeColor="text1"/>
          <w:lang w:val="sq-AL"/>
        </w:rPr>
        <w:t xml:space="preserve"> të kësaj kostoje.</w:t>
      </w:r>
    </w:p>
    <w:p w14:paraId="73158D53" w14:textId="77777777" w:rsidR="00951674" w:rsidRPr="00205002" w:rsidRDefault="00951674" w:rsidP="00951674">
      <w:pPr>
        <w:pStyle w:val="Default"/>
        <w:spacing w:line="276" w:lineRule="auto"/>
        <w:jc w:val="both"/>
        <w:rPr>
          <w:rFonts w:ascii="Times New Roman" w:eastAsia="Arial" w:hAnsi="Times New Roman" w:cs="Times New Roman"/>
          <w:lang w:val="sq-AL"/>
        </w:rPr>
      </w:pPr>
    </w:p>
    <w:p w14:paraId="1CDB9AAC" w14:textId="77777777" w:rsidR="00951674" w:rsidRPr="00F56EB9" w:rsidRDefault="00951674" w:rsidP="00951674">
      <w:pPr>
        <w:tabs>
          <w:tab w:val="left" w:pos="900"/>
        </w:tabs>
        <w:spacing w:line="276" w:lineRule="auto"/>
        <w:ind w:right="1080"/>
        <w:jc w:val="both"/>
        <w:rPr>
          <w:rFonts w:ascii="Times New Roman" w:eastAsia="Arial" w:hAnsi="Times New Roman" w:cs="Times New Roman"/>
          <w:b/>
          <w:bCs/>
          <w:szCs w:val="24"/>
          <w:lang w:val="sq-AL"/>
        </w:rPr>
      </w:pPr>
      <w:r w:rsidRPr="00F56EB9">
        <w:rPr>
          <w:rFonts w:ascii="Times New Roman" w:eastAsia="Arial" w:hAnsi="Times New Roman" w:cs="Times New Roman"/>
          <w:b/>
          <w:bCs/>
          <w:szCs w:val="24"/>
          <w:lang w:val="sq-AL"/>
        </w:rPr>
        <w:t>Grafiku 3: Përbërja e kostos totale bazuar tek klasifikimi ekonomik</w:t>
      </w:r>
    </w:p>
    <w:p w14:paraId="2FC97328" w14:textId="77777777" w:rsidR="00951674" w:rsidRDefault="00951674" w:rsidP="00951674">
      <w:pPr>
        <w:tabs>
          <w:tab w:val="left" w:pos="900"/>
        </w:tabs>
        <w:spacing w:line="276" w:lineRule="auto"/>
        <w:ind w:right="1080"/>
        <w:jc w:val="both"/>
        <w:rPr>
          <w:rFonts w:ascii="Times New Roman" w:eastAsia="Arial" w:hAnsi="Times New Roman" w:cs="Times New Roman"/>
          <w:szCs w:val="24"/>
          <w:lang w:val="sq-AL"/>
        </w:rPr>
      </w:pPr>
      <w:r>
        <w:rPr>
          <w:rFonts w:ascii="Times New Roman" w:eastAsia="Arial" w:hAnsi="Times New Roman" w:cs="Times New Roman"/>
          <w:noProof/>
          <w:szCs w:val="24"/>
        </w:rPr>
        <w:drawing>
          <wp:inline distT="0" distB="0" distL="0" distR="0" wp14:anchorId="70C786F9" wp14:editId="5EF99542">
            <wp:extent cx="4596319" cy="2456953"/>
            <wp:effectExtent l="0" t="0" r="0" b="635"/>
            <wp:docPr id="4" name="Picture 4" descr="A pie chart with numbers and a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e chart with numbers and a blue circle&#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7991" cy="2468538"/>
                    </a:xfrm>
                    <a:prstGeom prst="rect">
                      <a:avLst/>
                    </a:prstGeom>
                    <a:noFill/>
                  </pic:spPr>
                </pic:pic>
              </a:graphicData>
            </a:graphic>
          </wp:inline>
        </w:drawing>
      </w:r>
    </w:p>
    <w:p w14:paraId="5E53819F" w14:textId="77777777" w:rsidR="00951674" w:rsidRDefault="00951674" w:rsidP="00FC083E">
      <w:pPr>
        <w:tabs>
          <w:tab w:val="left" w:pos="900"/>
        </w:tabs>
        <w:spacing w:after="0" w:line="276" w:lineRule="auto"/>
        <w:jc w:val="both"/>
        <w:rPr>
          <w:rFonts w:ascii="Times New Roman" w:eastAsia="Arial" w:hAnsi="Times New Roman" w:cs="Times New Roman"/>
          <w:sz w:val="24"/>
          <w:szCs w:val="24"/>
          <w:lang w:val="sq-AL"/>
        </w:rPr>
      </w:pPr>
    </w:p>
    <w:p w14:paraId="44A0A487" w14:textId="56FEC8D9" w:rsidR="00951674" w:rsidRDefault="00951674" w:rsidP="00951674">
      <w:pPr>
        <w:tabs>
          <w:tab w:val="left" w:pos="900"/>
        </w:tabs>
        <w:spacing w:line="276" w:lineRule="auto"/>
        <w:jc w:val="both"/>
        <w:rPr>
          <w:rFonts w:ascii="Times New Roman" w:eastAsia="Arial" w:hAnsi="Times New Roman" w:cs="Times New Roman"/>
          <w:sz w:val="24"/>
          <w:szCs w:val="24"/>
          <w:lang w:val="sq-AL"/>
        </w:rPr>
      </w:pPr>
      <w:r w:rsidRPr="00205002">
        <w:rPr>
          <w:rFonts w:ascii="Times New Roman" w:eastAsia="Arial" w:hAnsi="Times New Roman" w:cs="Times New Roman"/>
          <w:sz w:val="24"/>
          <w:szCs w:val="24"/>
          <w:lang w:val="sq-AL"/>
        </w:rPr>
        <w:t xml:space="preserve">Tabela e mëposhtme jep ndarjen e kategorisë së shpenzimeve sipas pesë </w:t>
      </w:r>
      <w:r w:rsidR="00AA76EC">
        <w:rPr>
          <w:rFonts w:ascii="Times New Roman" w:eastAsia="Arial" w:hAnsi="Times New Roman" w:cs="Times New Roman"/>
          <w:sz w:val="24"/>
          <w:szCs w:val="24"/>
          <w:lang w:val="sq-AL"/>
        </w:rPr>
        <w:t>Q</w:t>
      </w:r>
      <w:r w:rsidRPr="00205002">
        <w:rPr>
          <w:rFonts w:ascii="Times New Roman" w:eastAsia="Arial" w:hAnsi="Times New Roman" w:cs="Times New Roman"/>
          <w:sz w:val="24"/>
          <w:szCs w:val="24"/>
          <w:lang w:val="sq-AL"/>
        </w:rPr>
        <w:t xml:space="preserve">ëllimeve të </w:t>
      </w:r>
      <w:r w:rsidR="00AA76EC">
        <w:rPr>
          <w:rFonts w:ascii="Times New Roman" w:eastAsia="Arial" w:hAnsi="Times New Roman" w:cs="Times New Roman"/>
          <w:sz w:val="24"/>
          <w:szCs w:val="24"/>
          <w:lang w:val="sq-AL"/>
        </w:rPr>
        <w:t>P</w:t>
      </w:r>
      <w:r w:rsidRPr="00205002">
        <w:rPr>
          <w:rFonts w:ascii="Times New Roman" w:eastAsia="Arial" w:hAnsi="Times New Roman" w:cs="Times New Roman"/>
          <w:sz w:val="24"/>
          <w:szCs w:val="24"/>
          <w:lang w:val="sq-AL"/>
        </w:rPr>
        <w:t>olitikës</w:t>
      </w:r>
      <w:r>
        <w:rPr>
          <w:rFonts w:ascii="Times New Roman" w:eastAsia="Arial" w:hAnsi="Times New Roman" w:cs="Times New Roman"/>
          <w:sz w:val="24"/>
          <w:szCs w:val="24"/>
          <w:lang w:val="sq-AL"/>
        </w:rPr>
        <w:t>.</w:t>
      </w:r>
    </w:p>
    <w:p w14:paraId="61D49ADE" w14:textId="77777777" w:rsidR="00951674" w:rsidRPr="00205002" w:rsidRDefault="00951674" w:rsidP="00951674">
      <w:pPr>
        <w:tabs>
          <w:tab w:val="left" w:pos="900"/>
        </w:tabs>
        <w:spacing w:line="276" w:lineRule="auto"/>
        <w:jc w:val="both"/>
        <w:rPr>
          <w:rFonts w:ascii="Times New Roman" w:eastAsia="Arial" w:hAnsi="Times New Roman" w:cs="Times New Roman"/>
          <w:sz w:val="24"/>
          <w:szCs w:val="24"/>
          <w:lang w:val="sq-AL"/>
        </w:rPr>
      </w:pPr>
    </w:p>
    <w:p w14:paraId="34462FF5" w14:textId="77777777" w:rsidR="00951674" w:rsidRDefault="00951674" w:rsidP="00951674">
      <w:pPr>
        <w:pStyle w:val="NoSpacing"/>
        <w:spacing w:line="276" w:lineRule="auto"/>
        <w:jc w:val="both"/>
        <w:rPr>
          <w:rFonts w:ascii="Times New Roman" w:eastAsia="Arial" w:hAnsi="Times New Roman"/>
          <w:szCs w:val="24"/>
          <w:lang w:val="sq-AL"/>
        </w:rPr>
      </w:pPr>
    </w:p>
    <w:p w14:paraId="5B77F0D1" w14:textId="77777777" w:rsidR="004A5F67" w:rsidRDefault="004A5F67" w:rsidP="00951674">
      <w:pPr>
        <w:pStyle w:val="NoSpacing"/>
        <w:spacing w:line="276" w:lineRule="auto"/>
        <w:jc w:val="both"/>
        <w:rPr>
          <w:rFonts w:ascii="Times New Roman" w:eastAsia="Arial" w:hAnsi="Times New Roman"/>
          <w:szCs w:val="24"/>
          <w:lang w:val="sq-AL"/>
        </w:rPr>
      </w:pPr>
    </w:p>
    <w:p w14:paraId="03AAA6C5" w14:textId="77777777" w:rsidR="00951674" w:rsidRPr="00205002" w:rsidRDefault="00951674" w:rsidP="00951674">
      <w:pPr>
        <w:pStyle w:val="NoSpacing"/>
        <w:spacing w:line="276" w:lineRule="auto"/>
        <w:jc w:val="both"/>
        <w:rPr>
          <w:rFonts w:ascii="Times New Roman" w:eastAsia="Arial" w:hAnsi="Times New Roman"/>
          <w:szCs w:val="24"/>
          <w:lang w:val="sq-AL"/>
        </w:rPr>
      </w:pPr>
    </w:p>
    <w:p w14:paraId="44CC8219" w14:textId="77777777" w:rsidR="00951674" w:rsidRPr="00F56EB9" w:rsidRDefault="00951674" w:rsidP="00951674">
      <w:pPr>
        <w:pStyle w:val="NoSpacing"/>
        <w:spacing w:line="276" w:lineRule="auto"/>
        <w:jc w:val="both"/>
        <w:rPr>
          <w:rFonts w:ascii="Times New Roman" w:eastAsia="Arial" w:hAnsi="Times New Roman"/>
          <w:i/>
          <w:iCs/>
          <w:szCs w:val="24"/>
          <w:lang w:val="sq-AL"/>
        </w:rPr>
      </w:pPr>
      <w:r w:rsidRPr="00F56EB9">
        <w:rPr>
          <w:rFonts w:ascii="Times New Roman" w:eastAsia="Arial" w:hAnsi="Times New Roman"/>
          <w:i/>
          <w:iCs/>
          <w:szCs w:val="24"/>
          <w:lang w:val="sq-AL"/>
        </w:rPr>
        <w:t>Tabela 1: Përbërja e kostos totale për qëllim të politikës bazuar tek klasifikimi ekonomik (milion lekë)</w:t>
      </w:r>
    </w:p>
    <w:p w14:paraId="74A7CB33" w14:textId="77777777" w:rsidR="00951674" w:rsidRPr="00F56EB9" w:rsidRDefault="00951674" w:rsidP="00951674">
      <w:pPr>
        <w:pStyle w:val="NoSpacing"/>
        <w:spacing w:line="276" w:lineRule="auto"/>
        <w:jc w:val="both"/>
        <w:rPr>
          <w:rFonts w:ascii="Times New Roman" w:eastAsia="Arial" w:hAnsi="Times New Roman"/>
          <w:sz w:val="16"/>
          <w:szCs w:val="18"/>
          <w:lang w:val="sq-AL"/>
        </w:rPr>
      </w:pPr>
    </w:p>
    <w:tbl>
      <w:tblPr>
        <w:tblStyle w:val="GridTable2-Accent5"/>
        <w:tblW w:w="8632" w:type="dxa"/>
        <w:jc w:val="center"/>
        <w:tblLayout w:type="fixed"/>
        <w:tblLook w:val="04A0" w:firstRow="1" w:lastRow="0" w:firstColumn="1" w:lastColumn="0" w:noHBand="0" w:noVBand="1"/>
      </w:tblPr>
      <w:tblGrid>
        <w:gridCol w:w="2970"/>
        <w:gridCol w:w="1980"/>
        <w:gridCol w:w="1890"/>
        <w:gridCol w:w="1792"/>
      </w:tblGrid>
      <w:tr w:rsidR="00951674" w:rsidRPr="0098201B" w14:paraId="4634AE12" w14:textId="77777777" w:rsidTr="00D12C43">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970" w:type="dxa"/>
            <w:hideMark/>
          </w:tcPr>
          <w:p w14:paraId="642B66BA" w14:textId="77777777" w:rsidR="00951674" w:rsidRPr="0098201B" w:rsidRDefault="00951674" w:rsidP="00D12C43">
            <w:pPr>
              <w:jc w:val="both"/>
              <w:rPr>
                <w:rFonts w:ascii="Times New Roman" w:eastAsia="Times New Roman" w:hAnsi="Times New Roman" w:cs="Times New Roman"/>
                <w:sz w:val="20"/>
                <w:szCs w:val="20"/>
                <w:lang w:val="sq-AL"/>
              </w:rPr>
            </w:pPr>
            <w:r w:rsidRPr="0098201B">
              <w:rPr>
                <w:rFonts w:ascii="Times New Roman" w:eastAsia="Times New Roman" w:hAnsi="Times New Roman" w:cs="Times New Roman"/>
                <w:sz w:val="20"/>
                <w:szCs w:val="20"/>
                <w:lang w:val="sq-AL"/>
              </w:rPr>
              <w:t> </w:t>
            </w:r>
          </w:p>
        </w:tc>
        <w:tc>
          <w:tcPr>
            <w:tcW w:w="1980" w:type="dxa"/>
            <w:hideMark/>
          </w:tcPr>
          <w:p w14:paraId="7010C981" w14:textId="77777777" w:rsidR="00951674" w:rsidRPr="0098201B" w:rsidRDefault="00951674" w:rsidP="00D12C4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sq-AL"/>
              </w:rPr>
            </w:pPr>
            <w:r w:rsidRPr="0098201B">
              <w:rPr>
                <w:rFonts w:ascii="Times New Roman" w:eastAsia="Times New Roman" w:hAnsi="Times New Roman" w:cs="Times New Roman"/>
                <w:color w:val="000000"/>
                <w:sz w:val="20"/>
                <w:szCs w:val="20"/>
                <w:lang w:val="sq-AL"/>
              </w:rPr>
              <w:t>Shpenzime korente</w:t>
            </w:r>
          </w:p>
        </w:tc>
        <w:tc>
          <w:tcPr>
            <w:tcW w:w="1890" w:type="dxa"/>
            <w:hideMark/>
          </w:tcPr>
          <w:p w14:paraId="4F0F5532" w14:textId="77777777" w:rsidR="00951674" w:rsidRPr="0098201B" w:rsidRDefault="00951674" w:rsidP="00D12C43">
            <w:pPr>
              <w:ind w:right="-199"/>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sq-AL"/>
              </w:rPr>
            </w:pPr>
            <w:r w:rsidRPr="0098201B">
              <w:rPr>
                <w:rFonts w:ascii="Times New Roman" w:eastAsia="Times New Roman" w:hAnsi="Times New Roman" w:cs="Times New Roman"/>
                <w:color w:val="000000"/>
                <w:sz w:val="20"/>
                <w:szCs w:val="20"/>
                <w:lang w:val="sq-AL"/>
              </w:rPr>
              <w:t>Shpenzime kapitale</w:t>
            </w:r>
          </w:p>
        </w:tc>
        <w:tc>
          <w:tcPr>
            <w:tcW w:w="1792" w:type="dxa"/>
            <w:noWrap/>
            <w:hideMark/>
          </w:tcPr>
          <w:p w14:paraId="1A443868" w14:textId="77777777" w:rsidR="00951674" w:rsidRPr="0098201B" w:rsidRDefault="00951674" w:rsidP="00D12C4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sq-AL"/>
              </w:rPr>
            </w:pPr>
            <w:r w:rsidRPr="0098201B">
              <w:rPr>
                <w:rFonts w:ascii="Times New Roman" w:eastAsia="Times New Roman" w:hAnsi="Times New Roman" w:cs="Times New Roman"/>
                <w:color w:val="000000"/>
                <w:sz w:val="20"/>
                <w:szCs w:val="20"/>
                <w:lang w:val="sq-AL"/>
              </w:rPr>
              <w:t>Totali</w:t>
            </w:r>
          </w:p>
        </w:tc>
      </w:tr>
      <w:tr w:rsidR="00951674" w:rsidRPr="0098201B" w14:paraId="3BAC681C" w14:textId="77777777" w:rsidTr="00D12C43">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2970" w:type="dxa"/>
            <w:hideMark/>
          </w:tcPr>
          <w:p w14:paraId="6E06BC88" w14:textId="77777777" w:rsidR="00951674" w:rsidRPr="0098201B" w:rsidRDefault="00951674" w:rsidP="00D12C43">
            <w:pPr>
              <w:jc w:val="both"/>
              <w:rPr>
                <w:rFonts w:ascii="Times New Roman" w:eastAsia="Times New Roman" w:hAnsi="Times New Roman" w:cs="Times New Roman"/>
                <w:color w:val="000000"/>
                <w:sz w:val="20"/>
                <w:szCs w:val="20"/>
                <w:lang w:val="sq-AL"/>
              </w:rPr>
            </w:pPr>
            <w:r w:rsidRPr="0098201B">
              <w:rPr>
                <w:rFonts w:ascii="Times New Roman" w:eastAsia="Times New Roman" w:hAnsi="Times New Roman" w:cs="Times New Roman"/>
                <w:color w:val="000000"/>
                <w:sz w:val="20"/>
                <w:szCs w:val="20"/>
                <w:lang w:val="sq-AL"/>
              </w:rPr>
              <w:t>Qëllimi i Politikës 1: Zhvillimi dhe Koordinimi i Politikave</w:t>
            </w:r>
          </w:p>
        </w:tc>
        <w:tc>
          <w:tcPr>
            <w:tcW w:w="1980" w:type="dxa"/>
            <w:noWrap/>
            <w:vAlign w:val="bottom"/>
            <w:hideMark/>
          </w:tcPr>
          <w:p w14:paraId="137B9F00" w14:textId="77777777" w:rsidR="00951674" w:rsidRPr="0098201B" w:rsidRDefault="00951674" w:rsidP="00D12C4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8201B">
              <w:rPr>
                <w:rFonts w:ascii="Times New Roman" w:hAnsi="Times New Roman" w:cs="Times New Roman"/>
                <w:color w:val="000000"/>
                <w:sz w:val="20"/>
                <w:szCs w:val="20"/>
              </w:rPr>
              <w:t>81,745,270</w:t>
            </w:r>
          </w:p>
        </w:tc>
        <w:tc>
          <w:tcPr>
            <w:tcW w:w="1890" w:type="dxa"/>
            <w:noWrap/>
            <w:vAlign w:val="bottom"/>
            <w:hideMark/>
          </w:tcPr>
          <w:p w14:paraId="088F8491" w14:textId="77777777" w:rsidR="00951674" w:rsidRPr="0098201B" w:rsidRDefault="00951674" w:rsidP="00D12C4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98201B">
              <w:rPr>
                <w:rFonts w:ascii="Times New Roman" w:hAnsi="Times New Roman" w:cs="Times New Roman"/>
                <w:color w:val="000000"/>
                <w:sz w:val="20"/>
                <w:szCs w:val="20"/>
              </w:rPr>
              <w:t>575,000</w:t>
            </w:r>
          </w:p>
        </w:tc>
        <w:tc>
          <w:tcPr>
            <w:tcW w:w="1792" w:type="dxa"/>
            <w:noWrap/>
            <w:vAlign w:val="bottom"/>
            <w:hideMark/>
          </w:tcPr>
          <w:p w14:paraId="04DD5FAF" w14:textId="77777777" w:rsidR="00951674" w:rsidRPr="0098201B" w:rsidRDefault="00951674" w:rsidP="00D12C4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8201B">
              <w:rPr>
                <w:rFonts w:ascii="Times New Roman" w:hAnsi="Times New Roman" w:cs="Times New Roman"/>
                <w:color w:val="000000"/>
                <w:sz w:val="20"/>
                <w:szCs w:val="20"/>
              </w:rPr>
              <w:t>82,320,270</w:t>
            </w:r>
          </w:p>
        </w:tc>
      </w:tr>
      <w:tr w:rsidR="00951674" w:rsidRPr="0098201B" w14:paraId="39C788F5" w14:textId="77777777" w:rsidTr="00D12C43">
        <w:trPr>
          <w:trHeight w:val="615"/>
          <w:jc w:val="center"/>
        </w:trPr>
        <w:tc>
          <w:tcPr>
            <w:cnfStyle w:val="001000000000" w:firstRow="0" w:lastRow="0" w:firstColumn="1" w:lastColumn="0" w:oddVBand="0" w:evenVBand="0" w:oddHBand="0" w:evenHBand="0" w:firstRowFirstColumn="0" w:firstRowLastColumn="0" w:lastRowFirstColumn="0" w:lastRowLastColumn="0"/>
            <w:tcW w:w="2970" w:type="dxa"/>
            <w:hideMark/>
          </w:tcPr>
          <w:p w14:paraId="6022C21A" w14:textId="77777777" w:rsidR="00951674" w:rsidRPr="0098201B" w:rsidRDefault="00951674" w:rsidP="00D12C43">
            <w:pPr>
              <w:jc w:val="both"/>
              <w:rPr>
                <w:rFonts w:ascii="Times New Roman" w:eastAsia="Times New Roman" w:hAnsi="Times New Roman" w:cs="Times New Roman"/>
                <w:color w:val="000000"/>
                <w:sz w:val="20"/>
                <w:szCs w:val="20"/>
                <w:lang w:val="sq-AL"/>
              </w:rPr>
            </w:pPr>
            <w:r w:rsidRPr="0098201B">
              <w:rPr>
                <w:rFonts w:ascii="Times New Roman" w:eastAsia="Times New Roman" w:hAnsi="Times New Roman" w:cs="Times New Roman"/>
                <w:color w:val="000000"/>
                <w:sz w:val="20"/>
                <w:szCs w:val="20"/>
                <w:lang w:val="sq-AL"/>
              </w:rPr>
              <w:t>Qëllimi i Politikës 2: Shërbimi Civil dhe Menaxhimi i Burimeve Njerëzore</w:t>
            </w:r>
          </w:p>
        </w:tc>
        <w:tc>
          <w:tcPr>
            <w:tcW w:w="1980" w:type="dxa"/>
            <w:noWrap/>
            <w:vAlign w:val="bottom"/>
            <w:hideMark/>
          </w:tcPr>
          <w:p w14:paraId="307D47AC" w14:textId="77777777" w:rsidR="00951674" w:rsidRPr="0098201B" w:rsidRDefault="00951674" w:rsidP="00D12C4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8201B">
              <w:rPr>
                <w:rFonts w:ascii="Times New Roman" w:hAnsi="Times New Roman" w:cs="Times New Roman"/>
                <w:color w:val="000000"/>
                <w:sz w:val="20"/>
                <w:szCs w:val="20"/>
              </w:rPr>
              <w:t>125,230,418</w:t>
            </w:r>
          </w:p>
        </w:tc>
        <w:tc>
          <w:tcPr>
            <w:tcW w:w="1890" w:type="dxa"/>
            <w:noWrap/>
            <w:vAlign w:val="bottom"/>
            <w:hideMark/>
          </w:tcPr>
          <w:p w14:paraId="51335E5C" w14:textId="77777777" w:rsidR="00951674" w:rsidRPr="0098201B" w:rsidRDefault="00951674" w:rsidP="00D12C4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8201B">
              <w:rPr>
                <w:rFonts w:ascii="Times New Roman" w:hAnsi="Times New Roman" w:cs="Times New Roman"/>
                <w:color w:val="000000"/>
                <w:sz w:val="20"/>
                <w:szCs w:val="20"/>
              </w:rPr>
              <w:t>3,450,000</w:t>
            </w:r>
          </w:p>
        </w:tc>
        <w:tc>
          <w:tcPr>
            <w:tcW w:w="1792" w:type="dxa"/>
            <w:noWrap/>
            <w:vAlign w:val="bottom"/>
            <w:hideMark/>
          </w:tcPr>
          <w:p w14:paraId="3AB7D733" w14:textId="77777777" w:rsidR="00951674" w:rsidRPr="0098201B" w:rsidRDefault="00951674" w:rsidP="00D12C4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8201B">
              <w:rPr>
                <w:rFonts w:ascii="Times New Roman" w:hAnsi="Times New Roman" w:cs="Times New Roman"/>
                <w:color w:val="000000"/>
                <w:sz w:val="20"/>
                <w:szCs w:val="20"/>
              </w:rPr>
              <w:t>128,680,418</w:t>
            </w:r>
          </w:p>
        </w:tc>
      </w:tr>
      <w:tr w:rsidR="00951674" w:rsidRPr="0098201B" w14:paraId="1C319C64" w14:textId="77777777" w:rsidTr="00D12C43">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2970" w:type="dxa"/>
            <w:hideMark/>
          </w:tcPr>
          <w:p w14:paraId="36DDF925" w14:textId="77777777" w:rsidR="00951674" w:rsidRPr="0098201B" w:rsidRDefault="00951674" w:rsidP="00D12C43">
            <w:pPr>
              <w:jc w:val="both"/>
              <w:rPr>
                <w:rFonts w:ascii="Times New Roman" w:eastAsia="Times New Roman" w:hAnsi="Times New Roman" w:cs="Times New Roman"/>
                <w:color w:val="000000"/>
                <w:sz w:val="20"/>
                <w:szCs w:val="20"/>
                <w:lang w:val="sq-AL"/>
              </w:rPr>
            </w:pPr>
            <w:r w:rsidRPr="0098201B">
              <w:rPr>
                <w:rFonts w:ascii="Times New Roman" w:eastAsia="Times New Roman" w:hAnsi="Times New Roman" w:cs="Times New Roman"/>
                <w:color w:val="000000"/>
                <w:sz w:val="20"/>
                <w:szCs w:val="20"/>
                <w:lang w:val="sq-AL"/>
              </w:rPr>
              <w:t>Qëllimi i Politikës 3: Ofrimi i Shërbimeve dhe Digjitalizimi</w:t>
            </w:r>
          </w:p>
        </w:tc>
        <w:tc>
          <w:tcPr>
            <w:tcW w:w="1980" w:type="dxa"/>
            <w:noWrap/>
            <w:vAlign w:val="bottom"/>
            <w:hideMark/>
          </w:tcPr>
          <w:p w14:paraId="7CABC79F" w14:textId="77777777" w:rsidR="00951674" w:rsidRPr="0098201B" w:rsidRDefault="00951674" w:rsidP="00D12C4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8201B">
              <w:rPr>
                <w:rFonts w:ascii="Times New Roman" w:hAnsi="Times New Roman" w:cs="Times New Roman"/>
                <w:color w:val="000000"/>
                <w:sz w:val="20"/>
                <w:szCs w:val="20"/>
              </w:rPr>
              <w:t>0</w:t>
            </w:r>
          </w:p>
        </w:tc>
        <w:tc>
          <w:tcPr>
            <w:tcW w:w="1890" w:type="dxa"/>
            <w:noWrap/>
            <w:hideMark/>
          </w:tcPr>
          <w:p w14:paraId="65160E07" w14:textId="77777777" w:rsidR="00951674" w:rsidRPr="00D14339" w:rsidRDefault="00951674" w:rsidP="00D12C4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14339">
              <w:rPr>
                <w:rFonts w:ascii="Times New Roman" w:hAnsi="Times New Roman" w:cs="Times New Roman"/>
                <w:color w:val="000000"/>
                <w:sz w:val="20"/>
                <w:szCs w:val="20"/>
              </w:rPr>
              <w:t>7,376,197,512</w:t>
            </w:r>
          </w:p>
        </w:tc>
        <w:tc>
          <w:tcPr>
            <w:tcW w:w="1792" w:type="dxa"/>
            <w:noWrap/>
            <w:hideMark/>
          </w:tcPr>
          <w:p w14:paraId="1A2518B5" w14:textId="77777777" w:rsidR="00951674" w:rsidRPr="00D14339" w:rsidRDefault="00951674" w:rsidP="00D12C4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14339">
              <w:rPr>
                <w:rFonts w:ascii="Times New Roman" w:hAnsi="Times New Roman" w:cs="Times New Roman"/>
                <w:color w:val="000000"/>
                <w:sz w:val="20"/>
                <w:szCs w:val="20"/>
              </w:rPr>
              <w:t>7,376,197,512</w:t>
            </w:r>
          </w:p>
        </w:tc>
      </w:tr>
      <w:tr w:rsidR="00951674" w:rsidRPr="0098201B" w14:paraId="3A0D0834" w14:textId="77777777" w:rsidTr="00D12C43">
        <w:trPr>
          <w:trHeight w:val="615"/>
          <w:jc w:val="center"/>
        </w:trPr>
        <w:tc>
          <w:tcPr>
            <w:cnfStyle w:val="001000000000" w:firstRow="0" w:lastRow="0" w:firstColumn="1" w:lastColumn="0" w:oddVBand="0" w:evenVBand="0" w:oddHBand="0" w:evenHBand="0" w:firstRowFirstColumn="0" w:firstRowLastColumn="0" w:lastRowFirstColumn="0" w:lastRowLastColumn="0"/>
            <w:tcW w:w="2970" w:type="dxa"/>
            <w:hideMark/>
          </w:tcPr>
          <w:p w14:paraId="36496A7E" w14:textId="77777777" w:rsidR="00951674" w:rsidRPr="0098201B" w:rsidRDefault="00951674" w:rsidP="00D12C43">
            <w:pPr>
              <w:jc w:val="both"/>
              <w:rPr>
                <w:rFonts w:ascii="Times New Roman" w:eastAsia="Times New Roman" w:hAnsi="Times New Roman" w:cs="Times New Roman"/>
                <w:color w:val="000000"/>
                <w:sz w:val="20"/>
                <w:szCs w:val="20"/>
                <w:lang w:val="sq-AL"/>
              </w:rPr>
            </w:pPr>
            <w:r w:rsidRPr="0098201B">
              <w:rPr>
                <w:rFonts w:ascii="Times New Roman" w:eastAsia="Times New Roman" w:hAnsi="Times New Roman" w:cs="Times New Roman"/>
                <w:color w:val="000000"/>
                <w:sz w:val="20"/>
                <w:szCs w:val="20"/>
                <w:lang w:val="sq-AL"/>
              </w:rPr>
              <w:t>Qëllimi i Politikës 4: Organizimi, llogaridhënia dhe mbikëqyrja</w:t>
            </w:r>
          </w:p>
        </w:tc>
        <w:tc>
          <w:tcPr>
            <w:tcW w:w="1980" w:type="dxa"/>
            <w:noWrap/>
            <w:vAlign w:val="bottom"/>
            <w:hideMark/>
          </w:tcPr>
          <w:p w14:paraId="39872629" w14:textId="77777777" w:rsidR="00951674" w:rsidRPr="004A5F67" w:rsidRDefault="00951674" w:rsidP="00D12C4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A5F67">
              <w:rPr>
                <w:rFonts w:ascii="Times New Roman" w:hAnsi="Times New Roman" w:cs="Times New Roman"/>
                <w:color w:val="000000"/>
                <w:sz w:val="20"/>
                <w:szCs w:val="20"/>
              </w:rPr>
              <w:t>985,432,155</w:t>
            </w:r>
          </w:p>
        </w:tc>
        <w:tc>
          <w:tcPr>
            <w:tcW w:w="1890" w:type="dxa"/>
            <w:noWrap/>
            <w:vAlign w:val="bottom"/>
            <w:hideMark/>
          </w:tcPr>
          <w:p w14:paraId="10CFCA30" w14:textId="77777777" w:rsidR="00951674" w:rsidRPr="004A5F67" w:rsidRDefault="00951674" w:rsidP="00D12C4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A5F67">
              <w:rPr>
                <w:rFonts w:ascii="Times New Roman" w:hAnsi="Times New Roman" w:cs="Times New Roman"/>
                <w:color w:val="000000"/>
                <w:sz w:val="20"/>
                <w:szCs w:val="20"/>
              </w:rPr>
              <w:t>56,161,760</w:t>
            </w:r>
          </w:p>
        </w:tc>
        <w:tc>
          <w:tcPr>
            <w:tcW w:w="1792" w:type="dxa"/>
            <w:noWrap/>
            <w:vAlign w:val="bottom"/>
            <w:hideMark/>
          </w:tcPr>
          <w:p w14:paraId="0E8C5E5E" w14:textId="77777777" w:rsidR="00951674" w:rsidRPr="004A5F67" w:rsidRDefault="00951674" w:rsidP="00D12C4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4A5F67">
              <w:rPr>
                <w:rFonts w:ascii="Times New Roman" w:hAnsi="Times New Roman" w:cs="Times New Roman"/>
                <w:color w:val="000000"/>
                <w:sz w:val="20"/>
                <w:szCs w:val="20"/>
              </w:rPr>
              <w:t>1,041,593,915</w:t>
            </w:r>
          </w:p>
        </w:tc>
      </w:tr>
      <w:tr w:rsidR="00951674" w:rsidRPr="0098201B" w14:paraId="5D150571" w14:textId="77777777" w:rsidTr="00D12C43">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2970" w:type="dxa"/>
            <w:hideMark/>
          </w:tcPr>
          <w:p w14:paraId="21007461" w14:textId="4ADC6626" w:rsidR="00951674" w:rsidRPr="0098201B" w:rsidRDefault="00951674" w:rsidP="00D12C43">
            <w:pPr>
              <w:jc w:val="both"/>
              <w:rPr>
                <w:rFonts w:ascii="Times New Roman" w:eastAsia="Times New Roman" w:hAnsi="Times New Roman" w:cs="Times New Roman"/>
                <w:color w:val="000000"/>
                <w:sz w:val="20"/>
                <w:szCs w:val="20"/>
                <w:lang w:val="sq-AL"/>
              </w:rPr>
            </w:pPr>
            <w:r w:rsidRPr="0098201B">
              <w:rPr>
                <w:rFonts w:ascii="Times New Roman" w:eastAsia="Times New Roman" w:hAnsi="Times New Roman" w:cs="Times New Roman"/>
                <w:color w:val="000000"/>
                <w:sz w:val="20"/>
                <w:szCs w:val="20"/>
                <w:lang w:val="sq-AL"/>
              </w:rPr>
              <w:t xml:space="preserve">Qëllimi i Politikës 5: Administrata e Gjelbër </w:t>
            </w:r>
          </w:p>
        </w:tc>
        <w:tc>
          <w:tcPr>
            <w:tcW w:w="1980" w:type="dxa"/>
            <w:noWrap/>
            <w:vAlign w:val="bottom"/>
            <w:hideMark/>
          </w:tcPr>
          <w:p w14:paraId="297D7DA3" w14:textId="77777777" w:rsidR="00951674" w:rsidRPr="0098201B" w:rsidRDefault="00951674" w:rsidP="00D12C4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8201B">
              <w:rPr>
                <w:rFonts w:ascii="Times New Roman" w:hAnsi="Times New Roman" w:cs="Times New Roman"/>
                <w:color w:val="000000"/>
                <w:sz w:val="20"/>
                <w:szCs w:val="20"/>
              </w:rPr>
              <w:t>644,664,013</w:t>
            </w:r>
          </w:p>
        </w:tc>
        <w:tc>
          <w:tcPr>
            <w:tcW w:w="1890" w:type="dxa"/>
            <w:noWrap/>
            <w:vAlign w:val="bottom"/>
            <w:hideMark/>
          </w:tcPr>
          <w:p w14:paraId="4E49AC3B" w14:textId="77777777" w:rsidR="00951674" w:rsidRPr="0098201B" w:rsidRDefault="00951674" w:rsidP="00D12C4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8201B">
              <w:rPr>
                <w:rFonts w:ascii="Times New Roman" w:hAnsi="Times New Roman" w:cs="Times New Roman"/>
                <w:color w:val="000000"/>
                <w:sz w:val="20"/>
                <w:szCs w:val="20"/>
              </w:rPr>
              <w:t>0</w:t>
            </w:r>
          </w:p>
        </w:tc>
        <w:tc>
          <w:tcPr>
            <w:tcW w:w="1792" w:type="dxa"/>
            <w:noWrap/>
            <w:vAlign w:val="bottom"/>
            <w:hideMark/>
          </w:tcPr>
          <w:p w14:paraId="7B61415A" w14:textId="77777777" w:rsidR="00951674" w:rsidRPr="0098201B" w:rsidRDefault="00951674" w:rsidP="00D12C4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98201B">
              <w:rPr>
                <w:rFonts w:ascii="Times New Roman" w:hAnsi="Times New Roman" w:cs="Times New Roman"/>
                <w:color w:val="000000"/>
                <w:sz w:val="20"/>
                <w:szCs w:val="20"/>
              </w:rPr>
              <w:t>644,664,013</w:t>
            </w:r>
          </w:p>
        </w:tc>
      </w:tr>
      <w:tr w:rsidR="00951674" w:rsidRPr="0098201B" w14:paraId="61722C36" w14:textId="77777777" w:rsidTr="00D12C43">
        <w:trPr>
          <w:trHeight w:val="242"/>
          <w:jc w:val="center"/>
        </w:trPr>
        <w:tc>
          <w:tcPr>
            <w:cnfStyle w:val="001000000000" w:firstRow="0" w:lastRow="0" w:firstColumn="1" w:lastColumn="0" w:oddVBand="0" w:evenVBand="0" w:oddHBand="0" w:evenHBand="0" w:firstRowFirstColumn="0" w:firstRowLastColumn="0" w:lastRowFirstColumn="0" w:lastRowLastColumn="0"/>
            <w:tcW w:w="2970" w:type="dxa"/>
            <w:hideMark/>
          </w:tcPr>
          <w:p w14:paraId="0A7EA1B0" w14:textId="77777777" w:rsidR="00951674" w:rsidRPr="0098201B" w:rsidRDefault="00951674" w:rsidP="00D12C43">
            <w:pPr>
              <w:jc w:val="both"/>
              <w:rPr>
                <w:rFonts w:ascii="Times New Roman" w:eastAsia="Times New Roman" w:hAnsi="Times New Roman" w:cs="Times New Roman"/>
                <w:color w:val="000000"/>
                <w:sz w:val="20"/>
                <w:szCs w:val="20"/>
                <w:lang w:val="sq-AL"/>
              </w:rPr>
            </w:pPr>
            <w:r w:rsidRPr="0098201B">
              <w:rPr>
                <w:rFonts w:ascii="Times New Roman" w:eastAsia="Times New Roman" w:hAnsi="Times New Roman" w:cs="Times New Roman"/>
                <w:color w:val="000000"/>
                <w:sz w:val="20"/>
                <w:szCs w:val="20"/>
                <w:lang w:val="sq-AL"/>
              </w:rPr>
              <w:t>Totali</w:t>
            </w:r>
          </w:p>
        </w:tc>
        <w:tc>
          <w:tcPr>
            <w:tcW w:w="1980" w:type="dxa"/>
            <w:noWrap/>
            <w:vAlign w:val="bottom"/>
            <w:hideMark/>
          </w:tcPr>
          <w:p w14:paraId="370D840D" w14:textId="77777777" w:rsidR="00951674" w:rsidRPr="004A5F67" w:rsidRDefault="00951674" w:rsidP="00D12C4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A5F67">
              <w:rPr>
                <w:rFonts w:ascii="Times New Roman" w:hAnsi="Times New Roman" w:cs="Times New Roman"/>
                <w:b/>
                <w:bCs/>
                <w:color w:val="000000"/>
                <w:sz w:val="20"/>
                <w:szCs w:val="20"/>
              </w:rPr>
              <w:t>1,837,071,856</w:t>
            </w:r>
          </w:p>
        </w:tc>
        <w:tc>
          <w:tcPr>
            <w:tcW w:w="1890" w:type="dxa"/>
            <w:noWrap/>
            <w:vAlign w:val="bottom"/>
            <w:hideMark/>
          </w:tcPr>
          <w:p w14:paraId="1C8FB985" w14:textId="77777777" w:rsidR="00951674" w:rsidRPr="004A5F67" w:rsidRDefault="00951674" w:rsidP="00D12C4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A5F67">
              <w:rPr>
                <w:rFonts w:ascii="Times New Roman" w:hAnsi="Times New Roman" w:cs="Times New Roman"/>
                <w:b/>
                <w:bCs/>
                <w:color w:val="000000"/>
                <w:sz w:val="20"/>
                <w:szCs w:val="20"/>
              </w:rPr>
              <w:t>7,436,384,272</w:t>
            </w:r>
          </w:p>
        </w:tc>
        <w:tc>
          <w:tcPr>
            <w:tcW w:w="1792" w:type="dxa"/>
            <w:noWrap/>
            <w:vAlign w:val="bottom"/>
            <w:hideMark/>
          </w:tcPr>
          <w:p w14:paraId="50CCF224" w14:textId="77777777" w:rsidR="00951674" w:rsidRPr="004A5F67" w:rsidRDefault="00951674" w:rsidP="00D12C4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4A5F67">
              <w:rPr>
                <w:rFonts w:ascii="Times New Roman" w:hAnsi="Times New Roman" w:cs="Times New Roman"/>
                <w:b/>
                <w:bCs/>
                <w:color w:val="000000"/>
                <w:sz w:val="20"/>
                <w:szCs w:val="20"/>
              </w:rPr>
              <w:t>9,273,456,128</w:t>
            </w:r>
          </w:p>
        </w:tc>
      </w:tr>
    </w:tbl>
    <w:p w14:paraId="74170B5A" w14:textId="57A106B0" w:rsidR="00951674" w:rsidRPr="004A5F67" w:rsidRDefault="00951674" w:rsidP="00951674">
      <w:pPr>
        <w:pStyle w:val="NoSpacing"/>
        <w:spacing w:before="240" w:after="240" w:line="276" w:lineRule="auto"/>
        <w:jc w:val="both"/>
        <w:rPr>
          <w:rFonts w:ascii="Times New Roman" w:eastAsia="Arial" w:hAnsi="Times New Roman"/>
          <w:sz w:val="24"/>
          <w:szCs w:val="28"/>
          <w:lang w:val="sq-AL"/>
        </w:rPr>
      </w:pPr>
      <w:r w:rsidRPr="00205002">
        <w:rPr>
          <w:rFonts w:ascii="Times New Roman" w:eastAsia="Arial" w:hAnsi="Times New Roman"/>
          <w:sz w:val="24"/>
          <w:szCs w:val="28"/>
          <w:lang w:val="sq-AL"/>
        </w:rPr>
        <w:t xml:space="preserve">Nga të dhënat e mësipërme vihet re se </w:t>
      </w:r>
      <w:r w:rsidR="002938B3">
        <w:rPr>
          <w:rFonts w:ascii="Times New Roman" w:eastAsia="Arial" w:hAnsi="Times New Roman"/>
          <w:sz w:val="24"/>
          <w:szCs w:val="28"/>
          <w:lang w:val="sq-AL"/>
        </w:rPr>
        <w:t>Q</w:t>
      </w:r>
      <w:r w:rsidRPr="00205002">
        <w:rPr>
          <w:rFonts w:ascii="Times New Roman" w:eastAsia="Arial" w:hAnsi="Times New Roman"/>
          <w:sz w:val="24"/>
          <w:szCs w:val="28"/>
          <w:lang w:val="sq-AL"/>
        </w:rPr>
        <w:t xml:space="preserve">ëllimi i tretë i </w:t>
      </w:r>
      <w:r w:rsidR="002938B3">
        <w:rPr>
          <w:rFonts w:ascii="Times New Roman" w:eastAsia="Arial" w:hAnsi="Times New Roman"/>
          <w:sz w:val="24"/>
          <w:szCs w:val="28"/>
          <w:lang w:val="sq-AL"/>
        </w:rPr>
        <w:t>P</w:t>
      </w:r>
      <w:r w:rsidRPr="00205002">
        <w:rPr>
          <w:rFonts w:ascii="Times New Roman" w:eastAsia="Arial" w:hAnsi="Times New Roman"/>
          <w:sz w:val="24"/>
          <w:szCs w:val="28"/>
          <w:lang w:val="sq-AL"/>
        </w:rPr>
        <w:t xml:space="preserve">olitikës ka vlerën më të madhe të shpenzimeve kapitale me rreth </w:t>
      </w:r>
      <w:r>
        <w:rPr>
          <w:rFonts w:ascii="Times New Roman" w:eastAsia="Arial" w:hAnsi="Times New Roman"/>
          <w:sz w:val="24"/>
          <w:szCs w:val="28"/>
          <w:lang w:val="sq-AL"/>
        </w:rPr>
        <w:t>7</w:t>
      </w:r>
      <w:r w:rsidRPr="00205002">
        <w:rPr>
          <w:rFonts w:ascii="Times New Roman" w:eastAsia="Arial" w:hAnsi="Times New Roman"/>
          <w:sz w:val="24"/>
          <w:szCs w:val="28"/>
          <w:lang w:val="sq-AL"/>
        </w:rPr>
        <w:t>.</w:t>
      </w:r>
      <w:r>
        <w:rPr>
          <w:rFonts w:ascii="Times New Roman" w:eastAsia="Arial" w:hAnsi="Times New Roman"/>
          <w:sz w:val="24"/>
          <w:szCs w:val="28"/>
          <w:lang w:val="sq-AL"/>
        </w:rPr>
        <w:t>4</w:t>
      </w:r>
      <w:r w:rsidRPr="00205002">
        <w:rPr>
          <w:rFonts w:ascii="Times New Roman" w:eastAsia="Arial" w:hAnsi="Times New Roman"/>
          <w:sz w:val="24"/>
          <w:szCs w:val="28"/>
          <w:lang w:val="sq-AL"/>
        </w:rPr>
        <w:t xml:space="preserve"> miliard lekë, ndërsa </w:t>
      </w:r>
      <w:r w:rsidR="00CA392F">
        <w:rPr>
          <w:rFonts w:ascii="Times New Roman" w:eastAsia="Arial" w:hAnsi="Times New Roman"/>
          <w:sz w:val="24"/>
          <w:szCs w:val="28"/>
          <w:lang w:val="sq-AL"/>
        </w:rPr>
        <w:t>Q</w:t>
      </w:r>
      <w:r w:rsidRPr="00205002">
        <w:rPr>
          <w:rFonts w:ascii="Times New Roman" w:eastAsia="Arial" w:hAnsi="Times New Roman"/>
          <w:sz w:val="24"/>
          <w:szCs w:val="28"/>
          <w:lang w:val="sq-AL"/>
        </w:rPr>
        <w:t xml:space="preserve">ëllimi i pestë i </w:t>
      </w:r>
      <w:r w:rsidR="00CA392F">
        <w:rPr>
          <w:rFonts w:ascii="Times New Roman" w:eastAsia="Arial" w:hAnsi="Times New Roman"/>
          <w:sz w:val="24"/>
          <w:szCs w:val="28"/>
          <w:lang w:val="sq-AL"/>
        </w:rPr>
        <w:t>P</w:t>
      </w:r>
      <w:r w:rsidRPr="00205002">
        <w:rPr>
          <w:rFonts w:ascii="Times New Roman" w:eastAsia="Arial" w:hAnsi="Times New Roman"/>
          <w:sz w:val="24"/>
          <w:szCs w:val="28"/>
          <w:lang w:val="sq-AL"/>
        </w:rPr>
        <w:t xml:space="preserve">olitikës nuk ka shpenzime kapitale të parashikuara. Përsa i përket shpenzimeve korente, vlerën më të madhe me </w:t>
      </w:r>
      <w:r w:rsidRPr="004A5F67">
        <w:rPr>
          <w:rFonts w:ascii="Times New Roman" w:eastAsia="Arial" w:hAnsi="Times New Roman"/>
          <w:sz w:val="24"/>
          <w:szCs w:val="28"/>
          <w:lang w:val="sq-AL"/>
        </w:rPr>
        <w:t xml:space="preserve">rreth 985 milion lekë e zënë shpenzimet e </w:t>
      </w:r>
      <w:r w:rsidR="00CA392F">
        <w:rPr>
          <w:rFonts w:ascii="Times New Roman" w:eastAsia="Arial" w:hAnsi="Times New Roman"/>
          <w:sz w:val="24"/>
          <w:szCs w:val="28"/>
          <w:lang w:val="sq-AL"/>
        </w:rPr>
        <w:t>Q</w:t>
      </w:r>
      <w:r w:rsidRPr="004A5F67">
        <w:rPr>
          <w:rFonts w:ascii="Times New Roman" w:eastAsia="Arial" w:hAnsi="Times New Roman"/>
          <w:sz w:val="24"/>
          <w:szCs w:val="28"/>
          <w:lang w:val="sq-AL"/>
        </w:rPr>
        <w:t xml:space="preserve">ëllimit të </w:t>
      </w:r>
      <w:r w:rsidR="00CA392F">
        <w:rPr>
          <w:rFonts w:ascii="Times New Roman" w:eastAsia="Arial" w:hAnsi="Times New Roman"/>
          <w:sz w:val="24"/>
          <w:szCs w:val="28"/>
          <w:lang w:val="sq-AL"/>
        </w:rPr>
        <w:t>P</w:t>
      </w:r>
      <w:r w:rsidRPr="004A5F67">
        <w:rPr>
          <w:rFonts w:ascii="Times New Roman" w:eastAsia="Arial" w:hAnsi="Times New Roman"/>
          <w:sz w:val="24"/>
          <w:szCs w:val="28"/>
          <w:lang w:val="sq-AL"/>
        </w:rPr>
        <w:t xml:space="preserve">olitikës që lidhet me organizimin, llogaridhënien dhe mbikqyrjen, ndërkohë që vlerën më të vogël e zënë shpenzimet e </w:t>
      </w:r>
      <w:r w:rsidR="00334C86">
        <w:rPr>
          <w:rFonts w:ascii="Times New Roman" w:eastAsia="Arial" w:hAnsi="Times New Roman"/>
          <w:sz w:val="24"/>
          <w:szCs w:val="28"/>
          <w:lang w:val="sq-AL"/>
        </w:rPr>
        <w:t>Q</w:t>
      </w:r>
      <w:r w:rsidRPr="004A5F67">
        <w:rPr>
          <w:rFonts w:ascii="Times New Roman" w:eastAsia="Arial" w:hAnsi="Times New Roman"/>
          <w:sz w:val="24"/>
          <w:szCs w:val="28"/>
          <w:lang w:val="sq-AL"/>
        </w:rPr>
        <w:t xml:space="preserve">ëllimit të </w:t>
      </w:r>
      <w:r w:rsidR="00334C86">
        <w:rPr>
          <w:rFonts w:ascii="Times New Roman" w:eastAsia="Arial" w:hAnsi="Times New Roman"/>
          <w:sz w:val="24"/>
          <w:szCs w:val="28"/>
          <w:lang w:val="sq-AL"/>
        </w:rPr>
        <w:t>P</w:t>
      </w:r>
      <w:r w:rsidRPr="004A5F67">
        <w:rPr>
          <w:rFonts w:ascii="Times New Roman" w:eastAsia="Arial" w:hAnsi="Times New Roman"/>
          <w:sz w:val="24"/>
          <w:szCs w:val="28"/>
          <w:lang w:val="sq-AL"/>
        </w:rPr>
        <w:t xml:space="preserve">olitikës </w:t>
      </w:r>
      <w:r w:rsidR="00334C86">
        <w:rPr>
          <w:rFonts w:ascii="Times New Roman" w:eastAsia="Arial" w:hAnsi="Times New Roman"/>
          <w:sz w:val="24"/>
          <w:szCs w:val="28"/>
          <w:lang w:val="sq-AL"/>
        </w:rPr>
        <w:t>III</w:t>
      </w:r>
      <w:r w:rsidRPr="004A5F67">
        <w:rPr>
          <w:rFonts w:ascii="Times New Roman" w:eastAsia="Arial" w:hAnsi="Times New Roman"/>
          <w:sz w:val="24"/>
          <w:szCs w:val="28"/>
          <w:lang w:val="sq-AL"/>
        </w:rPr>
        <w:t xml:space="preserve"> që përfshin masat për ofrimin e shërbimeve dhe digjitalizimin. </w:t>
      </w:r>
    </w:p>
    <w:p w14:paraId="331B5F93" w14:textId="26C4FF59" w:rsidR="00951674" w:rsidRPr="00205002" w:rsidRDefault="00951674" w:rsidP="00951674">
      <w:pPr>
        <w:pStyle w:val="NoSpacing"/>
        <w:spacing w:before="240" w:after="240" w:line="276" w:lineRule="auto"/>
        <w:jc w:val="both"/>
        <w:rPr>
          <w:rFonts w:ascii="Times New Roman" w:eastAsia="Arial" w:hAnsi="Times New Roman"/>
          <w:sz w:val="24"/>
          <w:szCs w:val="28"/>
          <w:lang w:val="sq-AL"/>
        </w:rPr>
      </w:pPr>
      <w:r w:rsidRPr="004A5F67">
        <w:rPr>
          <w:rFonts w:ascii="Times New Roman" w:eastAsia="Arial" w:hAnsi="Times New Roman"/>
          <w:sz w:val="24"/>
          <w:szCs w:val="28"/>
          <w:lang w:val="sq-AL"/>
        </w:rPr>
        <w:t xml:space="preserve">Përsa i përket kostove totale, kostot e realizimit të </w:t>
      </w:r>
      <w:r w:rsidR="004C6A8F">
        <w:rPr>
          <w:rFonts w:ascii="Times New Roman" w:eastAsia="Arial" w:hAnsi="Times New Roman"/>
          <w:sz w:val="24"/>
          <w:szCs w:val="28"/>
          <w:lang w:val="sq-AL"/>
        </w:rPr>
        <w:t>Q</w:t>
      </w:r>
      <w:r w:rsidRPr="004A5F67">
        <w:rPr>
          <w:rFonts w:ascii="Times New Roman" w:eastAsia="Arial" w:hAnsi="Times New Roman"/>
          <w:sz w:val="24"/>
          <w:szCs w:val="28"/>
          <w:lang w:val="sq-AL"/>
        </w:rPr>
        <w:t xml:space="preserve">ëllimit të parë </w:t>
      </w:r>
      <w:r w:rsidR="004C6A8F">
        <w:rPr>
          <w:rFonts w:ascii="Times New Roman" w:eastAsia="Arial" w:hAnsi="Times New Roman"/>
          <w:sz w:val="24"/>
          <w:szCs w:val="28"/>
          <w:lang w:val="sq-AL"/>
        </w:rPr>
        <w:t xml:space="preserve">të Politikës </w:t>
      </w:r>
      <w:r w:rsidRPr="004A5F67">
        <w:rPr>
          <w:rFonts w:ascii="Times New Roman" w:eastAsia="Arial" w:hAnsi="Times New Roman"/>
          <w:sz w:val="24"/>
          <w:szCs w:val="28"/>
          <w:lang w:val="sq-AL"/>
        </w:rPr>
        <w:t xml:space="preserve">dhe kostot e realizimit të </w:t>
      </w:r>
      <w:r w:rsidR="00F44A69">
        <w:rPr>
          <w:rFonts w:ascii="Times New Roman" w:eastAsia="Arial" w:hAnsi="Times New Roman"/>
          <w:sz w:val="24"/>
          <w:szCs w:val="28"/>
          <w:lang w:val="sq-AL"/>
        </w:rPr>
        <w:t>Q</w:t>
      </w:r>
      <w:r w:rsidRPr="004A5F67">
        <w:rPr>
          <w:rFonts w:ascii="Times New Roman" w:eastAsia="Arial" w:hAnsi="Times New Roman"/>
          <w:sz w:val="24"/>
          <w:szCs w:val="28"/>
          <w:lang w:val="sq-AL"/>
        </w:rPr>
        <w:t xml:space="preserve">ëllimit të dytë janë respektivisht 0.89% dhe 1.39% e kostove totale. Peshën më të madhe e zënë  kostot për realizimin e </w:t>
      </w:r>
      <w:r w:rsidR="00F44A69">
        <w:rPr>
          <w:rFonts w:ascii="Times New Roman" w:eastAsia="Arial" w:hAnsi="Times New Roman"/>
          <w:sz w:val="24"/>
          <w:szCs w:val="28"/>
          <w:lang w:val="sq-AL"/>
        </w:rPr>
        <w:t>Q</w:t>
      </w:r>
      <w:r w:rsidRPr="004A5F67">
        <w:rPr>
          <w:rFonts w:ascii="Times New Roman" w:eastAsia="Arial" w:hAnsi="Times New Roman"/>
          <w:sz w:val="24"/>
          <w:szCs w:val="28"/>
          <w:lang w:val="sq-AL"/>
        </w:rPr>
        <w:t xml:space="preserve">ëllimit të tretë të </w:t>
      </w:r>
      <w:r w:rsidR="00F44A69">
        <w:rPr>
          <w:rFonts w:ascii="Times New Roman" w:eastAsia="Arial" w:hAnsi="Times New Roman"/>
          <w:sz w:val="24"/>
          <w:szCs w:val="28"/>
          <w:lang w:val="sq-AL"/>
        </w:rPr>
        <w:t>P</w:t>
      </w:r>
      <w:r w:rsidRPr="004A5F67">
        <w:rPr>
          <w:rFonts w:ascii="Times New Roman" w:eastAsia="Arial" w:hAnsi="Times New Roman"/>
          <w:sz w:val="24"/>
          <w:szCs w:val="28"/>
          <w:lang w:val="sq-AL"/>
        </w:rPr>
        <w:t xml:space="preserve">olitikës që zënë rreth 79.54% të kostove totale. Ndërkohë kostot e realizimit të </w:t>
      </w:r>
      <w:r w:rsidR="00F44A69">
        <w:rPr>
          <w:rFonts w:ascii="Times New Roman" w:eastAsia="Arial" w:hAnsi="Times New Roman"/>
          <w:sz w:val="24"/>
          <w:szCs w:val="28"/>
          <w:lang w:val="sq-AL"/>
        </w:rPr>
        <w:t>Q</w:t>
      </w:r>
      <w:r w:rsidRPr="004A5F67">
        <w:rPr>
          <w:rFonts w:ascii="Times New Roman" w:eastAsia="Arial" w:hAnsi="Times New Roman"/>
          <w:sz w:val="24"/>
          <w:szCs w:val="28"/>
          <w:lang w:val="sq-AL"/>
        </w:rPr>
        <w:t>ëllimit të katërt dhe të pestë zënë respektivisht 11.23% dhe 6.95% të kostove totale.</w:t>
      </w:r>
      <w:r w:rsidRPr="00205002">
        <w:rPr>
          <w:rFonts w:ascii="Times New Roman" w:eastAsia="Arial" w:hAnsi="Times New Roman"/>
          <w:sz w:val="24"/>
          <w:szCs w:val="28"/>
          <w:lang w:val="sq-AL"/>
        </w:rPr>
        <w:t xml:space="preserve"> </w:t>
      </w:r>
    </w:p>
    <w:p w14:paraId="3C2E6930" w14:textId="2652B131" w:rsidR="00951674" w:rsidRPr="00205002" w:rsidRDefault="00951674" w:rsidP="00951674">
      <w:pPr>
        <w:pStyle w:val="NoSpacing"/>
        <w:spacing w:before="240" w:after="240" w:line="276" w:lineRule="auto"/>
        <w:jc w:val="both"/>
        <w:rPr>
          <w:rFonts w:ascii="Times New Roman" w:eastAsia="Arial" w:hAnsi="Times New Roman"/>
          <w:sz w:val="24"/>
          <w:szCs w:val="28"/>
          <w:lang w:val="sq-AL"/>
        </w:rPr>
      </w:pPr>
      <w:r w:rsidRPr="00205002">
        <w:rPr>
          <w:rFonts w:ascii="Times New Roman" w:eastAsia="Arial" w:hAnsi="Times New Roman"/>
          <w:sz w:val="24"/>
          <w:szCs w:val="28"/>
          <w:lang w:val="sq-AL"/>
        </w:rPr>
        <w:t xml:space="preserve">Shpërndarja e kostove për periudhën 2025 – 2027 </w:t>
      </w:r>
      <w:r>
        <w:rPr>
          <w:rFonts w:ascii="Times New Roman" w:eastAsia="Arial" w:hAnsi="Times New Roman"/>
          <w:sz w:val="24"/>
          <w:szCs w:val="28"/>
          <w:lang w:val="sq-AL"/>
        </w:rPr>
        <w:t xml:space="preserve">ndjek një trend linear për </w:t>
      </w:r>
      <w:r w:rsidR="00F44A69">
        <w:rPr>
          <w:rFonts w:ascii="Times New Roman" w:eastAsia="Arial" w:hAnsi="Times New Roman"/>
          <w:sz w:val="24"/>
          <w:szCs w:val="28"/>
          <w:lang w:val="sq-AL"/>
        </w:rPr>
        <w:t>Q</w:t>
      </w:r>
      <w:r>
        <w:rPr>
          <w:rFonts w:ascii="Times New Roman" w:eastAsia="Arial" w:hAnsi="Times New Roman"/>
          <w:sz w:val="24"/>
          <w:szCs w:val="28"/>
          <w:lang w:val="sq-AL"/>
        </w:rPr>
        <w:t xml:space="preserve">ëllimin e parë, të dytë dhe të katërt të </w:t>
      </w:r>
      <w:r w:rsidR="00F44A69">
        <w:rPr>
          <w:rFonts w:ascii="Times New Roman" w:eastAsia="Arial" w:hAnsi="Times New Roman"/>
          <w:sz w:val="24"/>
          <w:szCs w:val="28"/>
          <w:lang w:val="sq-AL"/>
        </w:rPr>
        <w:t>P</w:t>
      </w:r>
      <w:r>
        <w:rPr>
          <w:rFonts w:ascii="Times New Roman" w:eastAsia="Arial" w:hAnsi="Times New Roman"/>
          <w:sz w:val="24"/>
          <w:szCs w:val="28"/>
          <w:lang w:val="sq-AL"/>
        </w:rPr>
        <w:t xml:space="preserve">olitikës. Përsa i përket </w:t>
      </w:r>
      <w:r w:rsidR="00F44A69">
        <w:rPr>
          <w:rFonts w:ascii="Times New Roman" w:eastAsia="Arial" w:hAnsi="Times New Roman"/>
          <w:sz w:val="24"/>
          <w:szCs w:val="28"/>
          <w:lang w:val="sq-AL"/>
        </w:rPr>
        <w:t>Q</w:t>
      </w:r>
      <w:r>
        <w:rPr>
          <w:rFonts w:ascii="Times New Roman" w:eastAsia="Arial" w:hAnsi="Times New Roman"/>
          <w:sz w:val="24"/>
          <w:szCs w:val="28"/>
          <w:lang w:val="sq-AL"/>
        </w:rPr>
        <w:t xml:space="preserve">ëllimit të pestë të </w:t>
      </w:r>
      <w:r w:rsidR="00F44A69">
        <w:rPr>
          <w:rFonts w:ascii="Times New Roman" w:eastAsia="Arial" w:hAnsi="Times New Roman"/>
          <w:sz w:val="24"/>
          <w:szCs w:val="28"/>
          <w:lang w:val="sq-AL"/>
        </w:rPr>
        <w:t>P</w:t>
      </w:r>
      <w:r>
        <w:rPr>
          <w:rFonts w:ascii="Times New Roman" w:eastAsia="Arial" w:hAnsi="Times New Roman"/>
          <w:sz w:val="24"/>
          <w:szCs w:val="28"/>
          <w:lang w:val="sq-AL"/>
        </w:rPr>
        <w:t>olitikës, ka një rritje mjaft të fortë në vitet 2026 dhe 2027 që pasqyron edhe synimin e qeverisë për të pasur një administratë të gjelbër si përsa i përket infrastrukturës, ashtu edhe përsa i përket pajisjeve apo edhe kualifikimit dhe ndërgjegjësimit të stafit.</w:t>
      </w:r>
      <w:r w:rsidRPr="00205002">
        <w:rPr>
          <w:rFonts w:ascii="Times New Roman" w:eastAsia="Arial" w:hAnsi="Times New Roman"/>
          <w:sz w:val="24"/>
          <w:szCs w:val="28"/>
          <w:lang w:val="sq-AL"/>
        </w:rPr>
        <w:t xml:space="preserve"> Kostot për të tre vitet janë të ndara pak a shumë në mënyrë proporcionale. Kjo tregon faktin që qeveria ka vendosur fokusin dhe ka alokuar fonde në përmirësimin e burimeve njerëzore në administratë, përmirësimin e zhvillimit të politikave dhe digjitalizimin dhe së fundmi administrata e gjelbër publike.</w:t>
      </w:r>
    </w:p>
    <w:p w14:paraId="5B8627A9" w14:textId="24A7E043" w:rsidR="00951674" w:rsidRDefault="00951674" w:rsidP="00951674">
      <w:pPr>
        <w:pStyle w:val="NoSpacing"/>
        <w:spacing w:line="276" w:lineRule="auto"/>
        <w:jc w:val="both"/>
        <w:rPr>
          <w:rFonts w:ascii="Times New Roman" w:eastAsia="Arial" w:hAnsi="Times New Roman"/>
          <w:sz w:val="24"/>
          <w:szCs w:val="28"/>
          <w:lang w:val="sq-AL"/>
        </w:rPr>
      </w:pPr>
      <w:r w:rsidRPr="00205002">
        <w:rPr>
          <w:rFonts w:ascii="Times New Roman" w:eastAsia="Arial" w:hAnsi="Times New Roman"/>
          <w:sz w:val="24"/>
          <w:szCs w:val="28"/>
          <w:lang w:val="sq-AL"/>
        </w:rPr>
        <w:t>Për të pes</w:t>
      </w:r>
      <w:r w:rsidR="00937D89">
        <w:rPr>
          <w:rFonts w:ascii="Times New Roman" w:eastAsia="Arial" w:hAnsi="Times New Roman"/>
          <w:sz w:val="24"/>
          <w:szCs w:val="28"/>
          <w:lang w:val="sq-AL"/>
        </w:rPr>
        <w:t>t</w:t>
      </w:r>
      <w:r w:rsidRPr="00205002">
        <w:rPr>
          <w:rFonts w:ascii="Times New Roman" w:eastAsia="Arial" w:hAnsi="Times New Roman"/>
          <w:sz w:val="24"/>
          <w:szCs w:val="28"/>
          <w:lang w:val="sq-AL"/>
        </w:rPr>
        <w:t xml:space="preserve">ë </w:t>
      </w:r>
      <w:r w:rsidR="00937D89">
        <w:rPr>
          <w:rFonts w:ascii="Times New Roman" w:eastAsia="Arial" w:hAnsi="Times New Roman"/>
          <w:sz w:val="24"/>
          <w:szCs w:val="28"/>
          <w:lang w:val="sq-AL"/>
        </w:rPr>
        <w:t>Q</w:t>
      </w:r>
      <w:r w:rsidRPr="00205002">
        <w:rPr>
          <w:rFonts w:ascii="Times New Roman" w:eastAsia="Arial" w:hAnsi="Times New Roman"/>
          <w:sz w:val="24"/>
          <w:szCs w:val="28"/>
          <w:lang w:val="sq-AL"/>
        </w:rPr>
        <w:t xml:space="preserve">ëllimet e </w:t>
      </w:r>
      <w:r w:rsidR="00937D89">
        <w:rPr>
          <w:rFonts w:ascii="Times New Roman" w:eastAsia="Arial" w:hAnsi="Times New Roman"/>
          <w:sz w:val="24"/>
          <w:szCs w:val="28"/>
          <w:lang w:val="sq-AL"/>
        </w:rPr>
        <w:t>P</w:t>
      </w:r>
      <w:r w:rsidRPr="00205002">
        <w:rPr>
          <w:rFonts w:ascii="Times New Roman" w:eastAsia="Arial" w:hAnsi="Times New Roman"/>
          <w:sz w:val="24"/>
          <w:szCs w:val="28"/>
          <w:lang w:val="sq-AL"/>
        </w:rPr>
        <w:t>olitikës janë identifikuar në total 17 objektiva specifikë. Grafiku i mëposhtëm jep peshën që zë çdo objektiv në koston totale të llogaritur për strategjinë</w:t>
      </w:r>
      <w:r>
        <w:rPr>
          <w:rFonts w:ascii="Times New Roman" w:eastAsia="Arial" w:hAnsi="Times New Roman"/>
          <w:sz w:val="24"/>
          <w:szCs w:val="28"/>
          <w:lang w:val="sq-AL"/>
        </w:rPr>
        <w:t>.</w:t>
      </w:r>
    </w:p>
    <w:p w14:paraId="44AC5456" w14:textId="77777777" w:rsidR="00951674" w:rsidRDefault="00951674" w:rsidP="00951674">
      <w:pPr>
        <w:pStyle w:val="NoSpacing"/>
        <w:spacing w:line="276" w:lineRule="auto"/>
        <w:jc w:val="both"/>
        <w:rPr>
          <w:rFonts w:ascii="Times New Roman" w:eastAsia="Arial" w:hAnsi="Times New Roman"/>
          <w:sz w:val="24"/>
          <w:szCs w:val="28"/>
          <w:lang w:val="sq-AL"/>
        </w:rPr>
      </w:pPr>
    </w:p>
    <w:p w14:paraId="222C4E32" w14:textId="77777777" w:rsidR="00951674" w:rsidRPr="00205002" w:rsidRDefault="00951674" w:rsidP="00951674">
      <w:pPr>
        <w:pStyle w:val="NoSpacing"/>
        <w:spacing w:line="276" w:lineRule="auto"/>
        <w:jc w:val="both"/>
        <w:rPr>
          <w:rFonts w:ascii="Times New Roman" w:eastAsia="Arial" w:hAnsi="Times New Roman"/>
          <w:sz w:val="24"/>
          <w:szCs w:val="28"/>
          <w:lang w:val="sq-AL"/>
        </w:rPr>
      </w:pPr>
    </w:p>
    <w:p w14:paraId="18C09DAC" w14:textId="77777777" w:rsidR="00951674" w:rsidRPr="00205002" w:rsidRDefault="00951674" w:rsidP="00951674">
      <w:pPr>
        <w:pStyle w:val="NoSpacing"/>
        <w:spacing w:line="276" w:lineRule="auto"/>
        <w:jc w:val="both"/>
        <w:rPr>
          <w:rFonts w:ascii="Times New Roman" w:eastAsia="Arial" w:hAnsi="Times New Roman"/>
          <w:szCs w:val="24"/>
          <w:lang w:val="sq-AL"/>
        </w:rPr>
      </w:pPr>
    </w:p>
    <w:p w14:paraId="306D8A3B" w14:textId="77777777" w:rsidR="00951674" w:rsidRPr="00F56EB9" w:rsidRDefault="00951674" w:rsidP="00951674">
      <w:pPr>
        <w:pStyle w:val="NoSpacing"/>
        <w:spacing w:line="276" w:lineRule="auto"/>
        <w:jc w:val="both"/>
        <w:rPr>
          <w:rFonts w:ascii="Times New Roman" w:eastAsia="Arial" w:hAnsi="Times New Roman"/>
          <w:b/>
          <w:bCs/>
          <w:szCs w:val="24"/>
          <w:lang w:val="sq-AL"/>
        </w:rPr>
      </w:pPr>
      <w:r w:rsidRPr="00F56EB9">
        <w:rPr>
          <w:rFonts w:ascii="Times New Roman" w:eastAsia="Arial" w:hAnsi="Times New Roman"/>
          <w:b/>
          <w:bCs/>
          <w:szCs w:val="24"/>
          <w:lang w:val="sq-AL"/>
        </w:rPr>
        <w:t>Grafiku 4: Pesha e objektivave specifikë të politikës</w:t>
      </w:r>
    </w:p>
    <w:p w14:paraId="755CBC7E" w14:textId="77777777" w:rsidR="00951674" w:rsidRPr="004F277B" w:rsidRDefault="00951674" w:rsidP="00951674">
      <w:pPr>
        <w:pStyle w:val="NoSpacing"/>
        <w:spacing w:line="276" w:lineRule="auto"/>
        <w:jc w:val="both"/>
        <w:rPr>
          <w:rFonts w:ascii="Times New Roman" w:eastAsia="Arial" w:hAnsi="Times New Roman"/>
          <w:sz w:val="16"/>
          <w:szCs w:val="18"/>
          <w:lang w:val="sq-AL"/>
        </w:rPr>
      </w:pPr>
    </w:p>
    <w:p w14:paraId="01B81D6C" w14:textId="77777777" w:rsidR="00951674" w:rsidRDefault="00951674" w:rsidP="00951674">
      <w:pPr>
        <w:pStyle w:val="NoSpacing"/>
        <w:spacing w:line="276" w:lineRule="auto"/>
        <w:jc w:val="both"/>
        <w:rPr>
          <w:rFonts w:ascii="Times New Roman" w:eastAsia="Arial" w:hAnsi="Times New Roman"/>
          <w:szCs w:val="24"/>
          <w:lang w:val="sq-AL"/>
        </w:rPr>
      </w:pPr>
      <w:r>
        <w:rPr>
          <w:rFonts w:ascii="Times New Roman" w:eastAsia="Arial" w:hAnsi="Times New Roman"/>
          <w:noProof/>
          <w:szCs w:val="24"/>
        </w:rPr>
        <w:drawing>
          <wp:inline distT="0" distB="0" distL="0" distR="0" wp14:anchorId="48BE0CE6" wp14:editId="46DF222D">
            <wp:extent cx="5223510" cy="3856383"/>
            <wp:effectExtent l="0" t="0" r="0" b="0"/>
            <wp:docPr id="9" name="Picture 9" descr="A pie chart with numbers and a number of text with Crust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e chart with numbers and a number of text with Crust in the background&#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2787" cy="3863232"/>
                    </a:xfrm>
                    <a:prstGeom prst="rect">
                      <a:avLst/>
                    </a:prstGeom>
                    <a:noFill/>
                  </pic:spPr>
                </pic:pic>
              </a:graphicData>
            </a:graphic>
          </wp:inline>
        </w:drawing>
      </w:r>
    </w:p>
    <w:p w14:paraId="0F4D5E3A" w14:textId="77777777" w:rsidR="00951674" w:rsidRPr="00205002" w:rsidRDefault="00951674" w:rsidP="00951674">
      <w:pPr>
        <w:pStyle w:val="NoSpacing"/>
        <w:spacing w:line="276" w:lineRule="auto"/>
        <w:jc w:val="both"/>
        <w:rPr>
          <w:rFonts w:ascii="Times New Roman" w:eastAsia="Arial" w:hAnsi="Times New Roman"/>
          <w:szCs w:val="24"/>
          <w:lang w:val="sq-AL"/>
        </w:rPr>
      </w:pPr>
    </w:p>
    <w:p w14:paraId="26248E12" w14:textId="22C5E928" w:rsidR="00951674" w:rsidRPr="00205002" w:rsidRDefault="00951674" w:rsidP="00951674">
      <w:pPr>
        <w:pStyle w:val="NoSpacing"/>
        <w:spacing w:line="276" w:lineRule="auto"/>
        <w:jc w:val="both"/>
        <w:rPr>
          <w:rFonts w:ascii="Times New Roman" w:eastAsia="Arial" w:hAnsi="Times New Roman"/>
          <w:sz w:val="24"/>
          <w:szCs w:val="24"/>
          <w:lang w:val="sq-AL"/>
        </w:rPr>
      </w:pPr>
      <w:r w:rsidRPr="00205002">
        <w:rPr>
          <w:rFonts w:ascii="Times New Roman" w:eastAsia="Arial" w:hAnsi="Times New Roman"/>
          <w:sz w:val="24"/>
          <w:szCs w:val="24"/>
          <w:lang w:val="sq-AL"/>
        </w:rPr>
        <w:t xml:space="preserve">Siç është evidentuar edhe më lart, edhe tek paraqitja e peshës në koston totale të realizimit të secilit nga objektivat specifikë, dy objektivat specifikë të </w:t>
      </w:r>
      <w:r w:rsidR="00497AB5">
        <w:rPr>
          <w:rFonts w:ascii="Times New Roman" w:eastAsia="Arial" w:hAnsi="Times New Roman"/>
          <w:sz w:val="24"/>
          <w:szCs w:val="24"/>
          <w:lang w:val="sq-AL"/>
        </w:rPr>
        <w:t>Q</w:t>
      </w:r>
      <w:r w:rsidRPr="00205002">
        <w:rPr>
          <w:rFonts w:ascii="Times New Roman" w:eastAsia="Arial" w:hAnsi="Times New Roman"/>
          <w:sz w:val="24"/>
          <w:szCs w:val="24"/>
          <w:lang w:val="sq-AL"/>
        </w:rPr>
        <w:t xml:space="preserve">ëllimit të tretë të </w:t>
      </w:r>
      <w:r w:rsidR="00497AB5">
        <w:rPr>
          <w:rFonts w:ascii="Times New Roman" w:eastAsia="Arial" w:hAnsi="Times New Roman"/>
          <w:sz w:val="24"/>
          <w:szCs w:val="24"/>
          <w:lang w:val="sq-AL"/>
        </w:rPr>
        <w:t>P</w:t>
      </w:r>
      <w:r w:rsidRPr="00205002">
        <w:rPr>
          <w:rFonts w:ascii="Times New Roman" w:eastAsia="Arial" w:hAnsi="Times New Roman"/>
          <w:sz w:val="24"/>
          <w:szCs w:val="24"/>
          <w:lang w:val="sq-AL"/>
        </w:rPr>
        <w:t xml:space="preserve">olitikës zënë respektivisht </w:t>
      </w:r>
      <w:r>
        <w:rPr>
          <w:rFonts w:ascii="Times New Roman" w:eastAsia="Arial" w:hAnsi="Times New Roman"/>
          <w:sz w:val="24"/>
          <w:szCs w:val="24"/>
          <w:lang w:val="sq-AL"/>
        </w:rPr>
        <w:t>27.64</w:t>
      </w:r>
      <w:r w:rsidRPr="00205002">
        <w:rPr>
          <w:rFonts w:ascii="Times New Roman" w:eastAsia="Arial" w:hAnsi="Times New Roman"/>
          <w:sz w:val="24"/>
          <w:szCs w:val="24"/>
          <w:lang w:val="sq-AL"/>
        </w:rPr>
        <w:t xml:space="preserve">% dhe </w:t>
      </w:r>
      <w:r>
        <w:rPr>
          <w:rFonts w:ascii="Times New Roman" w:eastAsia="Arial" w:hAnsi="Times New Roman"/>
          <w:sz w:val="24"/>
          <w:szCs w:val="24"/>
          <w:lang w:val="sq-AL"/>
        </w:rPr>
        <w:t>51</w:t>
      </w:r>
      <w:r w:rsidRPr="00205002">
        <w:rPr>
          <w:rFonts w:ascii="Times New Roman" w:eastAsia="Arial" w:hAnsi="Times New Roman"/>
          <w:sz w:val="24"/>
          <w:szCs w:val="24"/>
          <w:lang w:val="sq-AL"/>
        </w:rPr>
        <w:t>.</w:t>
      </w:r>
      <w:r>
        <w:rPr>
          <w:rFonts w:ascii="Times New Roman" w:eastAsia="Arial" w:hAnsi="Times New Roman"/>
          <w:sz w:val="24"/>
          <w:szCs w:val="24"/>
          <w:lang w:val="sq-AL"/>
        </w:rPr>
        <w:t>9</w:t>
      </w:r>
      <w:r w:rsidRPr="00205002">
        <w:rPr>
          <w:rFonts w:ascii="Times New Roman" w:eastAsia="Arial" w:hAnsi="Times New Roman"/>
          <w:sz w:val="24"/>
          <w:szCs w:val="24"/>
          <w:lang w:val="sq-AL"/>
        </w:rPr>
        <w:t xml:space="preserve">%. Kjo vjen si pasojë e politikës së digjitalizimit të shërbimeve publike që ka ndërmarrë dhe mbështet qeveria shqiptare dhe donatorët. Objektivi Specifik 4.4 që ka të bëjë me fuqizimin e mbikëqyrjes së jashtme të administratës publike nga Kuvendi dhe institucionet e pavarura mbi zbatimin e politikave dhe detyrimeve nga ana e qeverisë ka një peshë në koston totale prej </w:t>
      </w:r>
      <w:r>
        <w:rPr>
          <w:rFonts w:ascii="Times New Roman" w:eastAsia="Arial" w:hAnsi="Times New Roman"/>
          <w:sz w:val="24"/>
          <w:szCs w:val="24"/>
          <w:lang w:val="sq-AL"/>
        </w:rPr>
        <w:t>8</w:t>
      </w:r>
      <w:r w:rsidRPr="00205002">
        <w:rPr>
          <w:rFonts w:ascii="Times New Roman" w:eastAsia="Arial" w:hAnsi="Times New Roman"/>
          <w:sz w:val="24"/>
          <w:szCs w:val="24"/>
          <w:lang w:val="sq-AL"/>
        </w:rPr>
        <w:t>.</w:t>
      </w:r>
      <w:r>
        <w:rPr>
          <w:rFonts w:ascii="Times New Roman" w:eastAsia="Arial" w:hAnsi="Times New Roman"/>
          <w:sz w:val="24"/>
          <w:szCs w:val="24"/>
          <w:lang w:val="sq-AL"/>
        </w:rPr>
        <w:t>82</w:t>
      </w:r>
      <w:r w:rsidRPr="00205002">
        <w:rPr>
          <w:rFonts w:ascii="Times New Roman" w:eastAsia="Arial" w:hAnsi="Times New Roman"/>
          <w:sz w:val="24"/>
          <w:szCs w:val="24"/>
          <w:lang w:val="sq-AL"/>
        </w:rPr>
        <w:t xml:space="preserve">%.  </w:t>
      </w:r>
      <w:r>
        <w:rPr>
          <w:rFonts w:ascii="Times New Roman" w:eastAsia="Arial" w:hAnsi="Times New Roman"/>
          <w:sz w:val="24"/>
          <w:szCs w:val="24"/>
          <w:lang w:val="sq-AL"/>
        </w:rPr>
        <w:t xml:space="preserve">Objektivi i katërt me peshën më të madhe në totalin e kostos, prej 6.73%, është Objektivi Specifik 5.1 që përfshin masat e lidhura me </w:t>
      </w:r>
      <w:r w:rsidR="00972762">
        <w:rPr>
          <w:rFonts w:ascii="Times New Roman" w:eastAsia="Arial" w:hAnsi="Times New Roman"/>
          <w:sz w:val="24"/>
          <w:szCs w:val="24"/>
          <w:lang w:val="sq-AL"/>
        </w:rPr>
        <w:t>“</w:t>
      </w:r>
      <w:r w:rsidRPr="00972762">
        <w:rPr>
          <w:rFonts w:ascii="Times New Roman" w:eastAsia="Arial" w:hAnsi="Times New Roman"/>
          <w:i/>
          <w:iCs/>
          <w:sz w:val="24"/>
          <w:szCs w:val="24"/>
          <w:lang w:val="sq-AL"/>
        </w:rPr>
        <w:t>Përmirësimi i performancës mjedisore të institucioneve publike në përputhje me standardet e Skemës së Eko-Menaxhimit dhe Auditimit (SEMA)</w:t>
      </w:r>
      <w:r w:rsidR="00972762">
        <w:rPr>
          <w:rFonts w:ascii="Times New Roman" w:eastAsia="Arial" w:hAnsi="Times New Roman"/>
          <w:sz w:val="24"/>
          <w:szCs w:val="24"/>
          <w:lang w:val="sq-AL"/>
        </w:rPr>
        <w:t>”</w:t>
      </w:r>
      <w:r w:rsidRPr="001E1CAE">
        <w:rPr>
          <w:rFonts w:ascii="Times New Roman" w:eastAsia="Arial" w:hAnsi="Times New Roman"/>
          <w:sz w:val="24"/>
          <w:szCs w:val="24"/>
          <w:lang w:val="sq-AL"/>
        </w:rPr>
        <w:t xml:space="preserve">. </w:t>
      </w:r>
      <w:r w:rsidRPr="00205002">
        <w:rPr>
          <w:rFonts w:ascii="Times New Roman" w:eastAsia="Arial" w:hAnsi="Times New Roman"/>
          <w:sz w:val="24"/>
          <w:szCs w:val="24"/>
          <w:lang w:val="sq-AL"/>
        </w:rPr>
        <w:t>Përsa i përket objektivave të tjerë specifikë, kosto për realizimin e secilit prej tyre zë një peshë respektive që luhatet në intervalin 0.0</w:t>
      </w:r>
      <w:r>
        <w:rPr>
          <w:rFonts w:ascii="Times New Roman" w:eastAsia="Arial" w:hAnsi="Times New Roman"/>
          <w:sz w:val="24"/>
          <w:szCs w:val="24"/>
          <w:lang w:val="sq-AL"/>
        </w:rPr>
        <w:t>3</w:t>
      </w:r>
      <w:r w:rsidRPr="00205002">
        <w:rPr>
          <w:rFonts w:ascii="Times New Roman" w:eastAsia="Arial" w:hAnsi="Times New Roman"/>
          <w:sz w:val="24"/>
          <w:szCs w:val="24"/>
          <w:lang w:val="sq-AL"/>
        </w:rPr>
        <w:t>% - 1.</w:t>
      </w:r>
      <w:r>
        <w:rPr>
          <w:rFonts w:ascii="Times New Roman" w:eastAsia="Arial" w:hAnsi="Times New Roman"/>
          <w:sz w:val="24"/>
          <w:szCs w:val="24"/>
          <w:lang w:val="sq-AL"/>
        </w:rPr>
        <w:t>73</w:t>
      </w:r>
      <w:r w:rsidRPr="00205002">
        <w:rPr>
          <w:rFonts w:ascii="Times New Roman" w:eastAsia="Arial" w:hAnsi="Times New Roman"/>
          <w:sz w:val="24"/>
          <w:szCs w:val="24"/>
          <w:lang w:val="sq-AL"/>
        </w:rPr>
        <w:t>%.</w:t>
      </w:r>
    </w:p>
    <w:p w14:paraId="636B1F74" w14:textId="77777777" w:rsidR="00951674" w:rsidRPr="00205002" w:rsidRDefault="00951674" w:rsidP="00951674">
      <w:pPr>
        <w:pStyle w:val="NoSpacing"/>
        <w:spacing w:line="276" w:lineRule="auto"/>
        <w:jc w:val="both"/>
        <w:rPr>
          <w:rFonts w:ascii="Times New Roman" w:eastAsia="Arial" w:hAnsi="Times New Roman"/>
          <w:sz w:val="24"/>
          <w:szCs w:val="28"/>
          <w:lang w:val="sq-AL"/>
        </w:rPr>
      </w:pPr>
    </w:p>
    <w:p w14:paraId="1FA299F5" w14:textId="4964BB7C" w:rsidR="00951674" w:rsidRPr="00205002" w:rsidRDefault="00951674" w:rsidP="00951674">
      <w:pPr>
        <w:pStyle w:val="NoSpacing"/>
        <w:spacing w:line="276" w:lineRule="auto"/>
        <w:jc w:val="both"/>
        <w:rPr>
          <w:rFonts w:ascii="Times New Roman" w:eastAsia="Arial" w:hAnsi="Times New Roman"/>
          <w:sz w:val="24"/>
          <w:szCs w:val="28"/>
          <w:lang w:val="sq-AL"/>
        </w:rPr>
      </w:pPr>
      <w:r w:rsidRPr="00205002">
        <w:rPr>
          <w:rFonts w:ascii="Times New Roman" w:eastAsia="Arial" w:hAnsi="Times New Roman"/>
          <w:sz w:val="24"/>
          <w:szCs w:val="28"/>
          <w:lang w:val="sq-AL"/>
        </w:rPr>
        <w:t>Nëse analizohen fondet që duhen për të realizuar secilin qëllim të politikës, duke u bazuar tek pesha që kanë objektivat tek qëllimi, vihet re se për Qëllimi</w:t>
      </w:r>
      <w:r w:rsidR="009F6528">
        <w:rPr>
          <w:rFonts w:ascii="Times New Roman" w:eastAsia="Arial" w:hAnsi="Times New Roman"/>
          <w:sz w:val="24"/>
          <w:szCs w:val="28"/>
          <w:lang w:val="sq-AL"/>
        </w:rPr>
        <w:t>n e</w:t>
      </w:r>
      <w:r w:rsidRPr="00205002">
        <w:rPr>
          <w:rFonts w:ascii="Times New Roman" w:eastAsia="Arial" w:hAnsi="Times New Roman"/>
          <w:sz w:val="24"/>
          <w:szCs w:val="28"/>
          <w:lang w:val="sq-AL"/>
        </w:rPr>
        <w:t xml:space="preserve"> Politikës </w:t>
      </w:r>
      <w:r w:rsidR="00972762">
        <w:rPr>
          <w:rFonts w:ascii="Times New Roman" w:eastAsia="Arial" w:hAnsi="Times New Roman"/>
          <w:sz w:val="24"/>
          <w:szCs w:val="28"/>
          <w:lang w:val="sq-AL"/>
        </w:rPr>
        <w:t>I</w:t>
      </w:r>
      <w:r w:rsidR="009F6528">
        <w:rPr>
          <w:rFonts w:ascii="Times New Roman" w:eastAsia="Arial" w:hAnsi="Times New Roman"/>
          <w:sz w:val="24"/>
          <w:szCs w:val="28"/>
          <w:lang w:val="sq-AL"/>
        </w:rPr>
        <w:t xml:space="preserve"> “</w:t>
      </w:r>
      <w:r w:rsidRPr="009F6528">
        <w:rPr>
          <w:rFonts w:ascii="Times New Roman" w:eastAsia="Arial" w:hAnsi="Times New Roman"/>
          <w:i/>
          <w:iCs/>
          <w:sz w:val="24"/>
          <w:szCs w:val="28"/>
          <w:lang w:val="sq-AL"/>
        </w:rPr>
        <w:t>Zhvillimi dhe Koordinimi i Politikave</w:t>
      </w:r>
      <w:r w:rsidR="009F6528">
        <w:rPr>
          <w:rFonts w:ascii="Times New Roman" w:eastAsia="Arial" w:hAnsi="Times New Roman"/>
          <w:sz w:val="24"/>
          <w:szCs w:val="28"/>
          <w:lang w:val="sq-AL"/>
        </w:rPr>
        <w:t>”</w:t>
      </w:r>
      <w:r w:rsidRPr="00205002">
        <w:rPr>
          <w:rFonts w:ascii="Times New Roman" w:eastAsia="Arial" w:hAnsi="Times New Roman"/>
          <w:sz w:val="24"/>
          <w:szCs w:val="28"/>
          <w:lang w:val="sq-AL"/>
        </w:rPr>
        <w:t>, të tre objektivat specifikë kanë financim qoftë nga buxheti i shtetit qoftë nga donatorët.</w:t>
      </w:r>
    </w:p>
    <w:p w14:paraId="19876D73" w14:textId="77777777" w:rsidR="00FC083E" w:rsidRPr="00205002" w:rsidRDefault="00FC083E" w:rsidP="00951674">
      <w:pPr>
        <w:pStyle w:val="NoSpacing"/>
        <w:spacing w:line="276" w:lineRule="auto"/>
        <w:jc w:val="both"/>
        <w:rPr>
          <w:rFonts w:ascii="Times New Roman" w:eastAsia="Arial" w:hAnsi="Times New Roman"/>
          <w:sz w:val="24"/>
          <w:szCs w:val="28"/>
          <w:lang w:val="sq-AL"/>
        </w:rPr>
      </w:pPr>
    </w:p>
    <w:p w14:paraId="0C23D375" w14:textId="77777777" w:rsidR="00951674" w:rsidRPr="006B5917" w:rsidRDefault="00951674" w:rsidP="00951674">
      <w:pPr>
        <w:pStyle w:val="NoSpacing"/>
        <w:spacing w:line="276" w:lineRule="auto"/>
        <w:jc w:val="both"/>
        <w:rPr>
          <w:rFonts w:ascii="Times New Roman" w:eastAsia="Arial" w:hAnsi="Times New Roman"/>
          <w:i/>
          <w:iCs/>
          <w:szCs w:val="24"/>
          <w:lang w:val="sq-AL"/>
        </w:rPr>
      </w:pPr>
      <w:r w:rsidRPr="006B5917">
        <w:rPr>
          <w:rFonts w:ascii="Times New Roman" w:eastAsia="Arial" w:hAnsi="Times New Roman"/>
          <w:i/>
          <w:iCs/>
          <w:szCs w:val="24"/>
          <w:lang w:val="sq-AL"/>
        </w:rPr>
        <w:t xml:space="preserve">Tabela </w:t>
      </w:r>
      <w:r>
        <w:rPr>
          <w:rFonts w:ascii="Times New Roman" w:eastAsia="Arial" w:hAnsi="Times New Roman"/>
          <w:i/>
          <w:iCs/>
          <w:szCs w:val="24"/>
          <w:lang w:val="sq-AL"/>
        </w:rPr>
        <w:t>2</w:t>
      </w:r>
      <w:r w:rsidRPr="006B5917">
        <w:rPr>
          <w:rFonts w:ascii="Times New Roman" w:eastAsia="Arial" w:hAnsi="Times New Roman"/>
          <w:i/>
          <w:iCs/>
          <w:szCs w:val="24"/>
          <w:lang w:val="sq-AL"/>
        </w:rPr>
        <w:t>: Përbërja e kostos totale për qëllimin e parë të politikës bazuar te burimi i financimit (në lekë)</w:t>
      </w:r>
    </w:p>
    <w:p w14:paraId="5573EDC5" w14:textId="77777777" w:rsidR="00951674" w:rsidRPr="00FC083E" w:rsidRDefault="00951674" w:rsidP="00951674">
      <w:pPr>
        <w:pStyle w:val="NoSpacing"/>
        <w:spacing w:line="276" w:lineRule="auto"/>
        <w:jc w:val="both"/>
        <w:rPr>
          <w:rFonts w:ascii="Times New Roman" w:eastAsia="Arial" w:hAnsi="Times New Roman"/>
          <w:sz w:val="8"/>
          <w:szCs w:val="8"/>
          <w:lang w:val="sq-AL"/>
        </w:rPr>
      </w:pPr>
    </w:p>
    <w:tbl>
      <w:tblPr>
        <w:tblStyle w:val="ListTable3-Accent5"/>
        <w:tblW w:w="9912" w:type="dxa"/>
        <w:tblInd w:w="-365" w:type="dxa"/>
        <w:tblLook w:val="04A0" w:firstRow="1" w:lastRow="0" w:firstColumn="1" w:lastColumn="0" w:noHBand="0" w:noVBand="1"/>
      </w:tblPr>
      <w:tblGrid>
        <w:gridCol w:w="5040"/>
        <w:gridCol w:w="1260"/>
        <w:gridCol w:w="1206"/>
        <w:gridCol w:w="1206"/>
        <w:gridCol w:w="1260"/>
      </w:tblGrid>
      <w:tr w:rsidR="00951674" w:rsidRPr="00971395" w14:paraId="4F750DE7" w14:textId="77777777" w:rsidTr="00D12C43">
        <w:trPr>
          <w:cnfStyle w:val="100000000000" w:firstRow="1" w:lastRow="0" w:firstColumn="0" w:lastColumn="0" w:oddVBand="0" w:evenVBand="0" w:oddHBand="0" w:evenHBand="0" w:firstRowFirstColumn="0" w:firstRowLastColumn="0" w:lastRowFirstColumn="0" w:lastRowLastColumn="0"/>
          <w:trHeight w:val="585"/>
        </w:trPr>
        <w:tc>
          <w:tcPr>
            <w:cnfStyle w:val="001000000100" w:firstRow="0" w:lastRow="0" w:firstColumn="1" w:lastColumn="0" w:oddVBand="0" w:evenVBand="0" w:oddHBand="0" w:evenHBand="0" w:firstRowFirstColumn="1" w:firstRowLastColumn="0" w:lastRowFirstColumn="0" w:lastRowLastColumn="0"/>
            <w:tcW w:w="5040" w:type="dxa"/>
            <w:vMerge w:val="restart"/>
            <w:hideMark/>
          </w:tcPr>
          <w:p w14:paraId="5B75763B" w14:textId="77777777" w:rsidR="00951674" w:rsidRPr="00971395" w:rsidRDefault="00951674" w:rsidP="00D12C43">
            <w:pPr>
              <w:jc w:val="both"/>
              <w:rPr>
                <w:rFonts w:ascii="Times New Roman" w:eastAsia="Times New Roman" w:hAnsi="Times New Roman" w:cs="Times New Roman"/>
                <w:color w:val="000000"/>
                <w:sz w:val="20"/>
                <w:szCs w:val="20"/>
                <w:lang w:val="sq-AL"/>
              </w:rPr>
            </w:pPr>
          </w:p>
        </w:tc>
        <w:tc>
          <w:tcPr>
            <w:tcW w:w="1260" w:type="dxa"/>
            <w:vMerge w:val="restart"/>
            <w:hideMark/>
          </w:tcPr>
          <w:p w14:paraId="4445A334" w14:textId="77777777" w:rsidR="00951674" w:rsidRPr="00971395" w:rsidRDefault="00951674" w:rsidP="00D12C4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sq-AL"/>
              </w:rPr>
            </w:pPr>
            <w:r w:rsidRPr="00971395">
              <w:rPr>
                <w:rFonts w:ascii="Times New Roman" w:eastAsia="Times New Roman" w:hAnsi="Times New Roman" w:cs="Times New Roman"/>
                <w:color w:val="000000"/>
                <w:sz w:val="20"/>
                <w:szCs w:val="20"/>
                <w:lang w:val="sq-AL"/>
              </w:rPr>
              <w:t>Kosto totale</w:t>
            </w:r>
            <w:r w:rsidRPr="00971395">
              <w:rPr>
                <w:rFonts w:ascii="Times New Roman" w:eastAsia="Times New Roman" w:hAnsi="Times New Roman" w:cs="Times New Roman"/>
                <w:color w:val="000000"/>
                <w:sz w:val="20"/>
                <w:szCs w:val="20"/>
                <w:lang w:val="sq-AL"/>
              </w:rPr>
              <w:br/>
              <w:t>(në lekë)</w:t>
            </w:r>
          </w:p>
        </w:tc>
        <w:tc>
          <w:tcPr>
            <w:tcW w:w="2352" w:type="dxa"/>
            <w:gridSpan w:val="2"/>
            <w:hideMark/>
          </w:tcPr>
          <w:p w14:paraId="3E92DFB4" w14:textId="77777777" w:rsidR="00951674" w:rsidRPr="00971395" w:rsidRDefault="00951674" w:rsidP="00D12C4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971395">
              <w:rPr>
                <w:rFonts w:ascii="Times New Roman" w:eastAsia="Times New Roman" w:hAnsi="Times New Roman" w:cs="Times New Roman"/>
                <w:sz w:val="20"/>
                <w:szCs w:val="20"/>
                <w:lang w:val="sq-AL"/>
              </w:rPr>
              <w:t>Burimi i mbulimit</w:t>
            </w:r>
            <w:r w:rsidRPr="00971395">
              <w:rPr>
                <w:rFonts w:ascii="Times New Roman" w:eastAsia="Times New Roman" w:hAnsi="Times New Roman" w:cs="Times New Roman"/>
                <w:sz w:val="20"/>
                <w:szCs w:val="20"/>
                <w:lang w:val="sq-AL"/>
              </w:rPr>
              <w:br/>
              <w:t>2025-2027</w:t>
            </w:r>
          </w:p>
        </w:tc>
        <w:tc>
          <w:tcPr>
            <w:tcW w:w="1260" w:type="dxa"/>
            <w:vMerge w:val="restart"/>
            <w:hideMark/>
          </w:tcPr>
          <w:p w14:paraId="239CBFC1" w14:textId="77777777" w:rsidR="00951674" w:rsidRPr="00971395" w:rsidRDefault="00951674" w:rsidP="00D12C4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971395">
              <w:rPr>
                <w:rFonts w:ascii="Times New Roman" w:eastAsia="Times New Roman" w:hAnsi="Times New Roman" w:cs="Times New Roman"/>
                <w:sz w:val="20"/>
                <w:szCs w:val="20"/>
                <w:lang w:val="sq-AL"/>
              </w:rPr>
              <w:t xml:space="preserve">Hendeku financiar </w:t>
            </w:r>
          </w:p>
        </w:tc>
      </w:tr>
      <w:tr w:rsidR="00951674" w:rsidRPr="00971395" w14:paraId="4611100E" w14:textId="77777777" w:rsidTr="00D12C43">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5040" w:type="dxa"/>
            <w:vMerge/>
            <w:hideMark/>
          </w:tcPr>
          <w:p w14:paraId="58A338FF" w14:textId="77777777" w:rsidR="00951674" w:rsidRPr="00971395" w:rsidRDefault="00951674" w:rsidP="00D12C43">
            <w:pPr>
              <w:jc w:val="both"/>
              <w:rPr>
                <w:rFonts w:ascii="Times New Roman" w:eastAsia="Times New Roman" w:hAnsi="Times New Roman" w:cs="Times New Roman"/>
                <w:color w:val="000000"/>
                <w:sz w:val="20"/>
                <w:szCs w:val="20"/>
                <w:lang w:val="sq-AL"/>
              </w:rPr>
            </w:pPr>
          </w:p>
        </w:tc>
        <w:tc>
          <w:tcPr>
            <w:tcW w:w="1260" w:type="dxa"/>
            <w:vMerge/>
            <w:hideMark/>
          </w:tcPr>
          <w:p w14:paraId="08CE85ED" w14:textId="77777777" w:rsidR="00951674" w:rsidRPr="00971395"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q-AL"/>
              </w:rPr>
            </w:pPr>
          </w:p>
        </w:tc>
        <w:tc>
          <w:tcPr>
            <w:tcW w:w="1176" w:type="dxa"/>
            <w:noWrap/>
            <w:hideMark/>
          </w:tcPr>
          <w:p w14:paraId="75F48F2A" w14:textId="77777777" w:rsidR="00951674" w:rsidRPr="00971395"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q-AL"/>
              </w:rPr>
            </w:pPr>
            <w:r w:rsidRPr="00971395">
              <w:rPr>
                <w:rFonts w:ascii="Times New Roman" w:eastAsia="Times New Roman" w:hAnsi="Times New Roman" w:cs="Times New Roman"/>
                <w:b/>
                <w:bCs/>
                <w:color w:val="000000"/>
                <w:sz w:val="20"/>
                <w:szCs w:val="20"/>
                <w:lang w:val="sq-AL"/>
              </w:rPr>
              <w:t xml:space="preserve">Buxhet shteti </w:t>
            </w:r>
          </w:p>
        </w:tc>
        <w:tc>
          <w:tcPr>
            <w:tcW w:w="1176" w:type="dxa"/>
            <w:noWrap/>
            <w:hideMark/>
          </w:tcPr>
          <w:p w14:paraId="422535B2" w14:textId="77777777" w:rsidR="00951674" w:rsidRPr="00971395"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q-AL"/>
              </w:rPr>
            </w:pPr>
            <w:r w:rsidRPr="00971395">
              <w:rPr>
                <w:rFonts w:ascii="Times New Roman" w:eastAsia="Times New Roman" w:hAnsi="Times New Roman" w:cs="Times New Roman"/>
                <w:b/>
                <w:bCs/>
                <w:color w:val="000000"/>
                <w:sz w:val="20"/>
                <w:szCs w:val="20"/>
                <w:lang w:val="sq-AL"/>
              </w:rPr>
              <w:t xml:space="preserve">Financim i huaj </w:t>
            </w:r>
          </w:p>
        </w:tc>
        <w:tc>
          <w:tcPr>
            <w:tcW w:w="1260" w:type="dxa"/>
            <w:vMerge/>
            <w:hideMark/>
          </w:tcPr>
          <w:p w14:paraId="2889B5D2" w14:textId="77777777" w:rsidR="00951674" w:rsidRPr="00971395"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sq-AL"/>
              </w:rPr>
            </w:pPr>
          </w:p>
        </w:tc>
      </w:tr>
      <w:tr w:rsidR="00951674" w:rsidRPr="00971395" w14:paraId="68DAF022" w14:textId="77777777" w:rsidTr="00D12C43">
        <w:trPr>
          <w:trHeight w:val="413"/>
        </w:trPr>
        <w:tc>
          <w:tcPr>
            <w:cnfStyle w:val="001000000000" w:firstRow="0" w:lastRow="0" w:firstColumn="1" w:lastColumn="0" w:oddVBand="0" w:evenVBand="0" w:oddHBand="0" w:evenHBand="0" w:firstRowFirstColumn="0" w:firstRowLastColumn="0" w:lastRowFirstColumn="0" w:lastRowLastColumn="0"/>
            <w:tcW w:w="5040" w:type="dxa"/>
            <w:noWrap/>
            <w:hideMark/>
          </w:tcPr>
          <w:p w14:paraId="17A1CFF7" w14:textId="77777777" w:rsidR="00951674" w:rsidRPr="00971395" w:rsidRDefault="00951674" w:rsidP="00D12C43">
            <w:pPr>
              <w:jc w:val="both"/>
              <w:rPr>
                <w:rFonts w:ascii="Times New Roman" w:eastAsia="Times New Roman" w:hAnsi="Times New Roman" w:cs="Times New Roman"/>
                <w:color w:val="000000"/>
                <w:sz w:val="20"/>
                <w:szCs w:val="20"/>
                <w:lang w:val="sq-AL"/>
              </w:rPr>
            </w:pPr>
            <w:r w:rsidRPr="00971395">
              <w:rPr>
                <w:rFonts w:ascii="Times New Roman" w:eastAsia="Times New Roman" w:hAnsi="Times New Roman" w:cs="Times New Roman"/>
                <w:color w:val="000000"/>
                <w:sz w:val="20"/>
                <w:szCs w:val="20"/>
                <w:lang w:val="sq-AL"/>
              </w:rPr>
              <w:t>Kosto totale e Qëllimit të Politikës I</w:t>
            </w:r>
          </w:p>
        </w:tc>
        <w:tc>
          <w:tcPr>
            <w:tcW w:w="1260" w:type="dxa"/>
            <w:vAlign w:val="center"/>
            <w:hideMark/>
          </w:tcPr>
          <w:p w14:paraId="35B3F945" w14:textId="77777777" w:rsidR="00951674" w:rsidRPr="00971395"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4"/>
                <w:szCs w:val="24"/>
              </w:rPr>
            </w:pPr>
            <w:r w:rsidRPr="00971395">
              <w:rPr>
                <w:rFonts w:ascii="Times New Roman" w:hAnsi="Times New Roman" w:cs="Times New Roman"/>
                <w:b/>
                <w:bCs/>
                <w:color w:val="000000"/>
              </w:rPr>
              <w:t>82,320,270</w:t>
            </w:r>
          </w:p>
        </w:tc>
        <w:tc>
          <w:tcPr>
            <w:tcW w:w="1176" w:type="dxa"/>
            <w:vAlign w:val="center"/>
            <w:hideMark/>
          </w:tcPr>
          <w:p w14:paraId="546E8AEE" w14:textId="77777777" w:rsidR="00951674" w:rsidRPr="00971395"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971395">
              <w:rPr>
                <w:rFonts w:ascii="Times New Roman" w:hAnsi="Times New Roman" w:cs="Times New Roman"/>
                <w:b/>
                <w:bCs/>
                <w:color w:val="000000"/>
              </w:rPr>
              <w:t>62,483,269</w:t>
            </w:r>
          </w:p>
        </w:tc>
        <w:tc>
          <w:tcPr>
            <w:tcW w:w="1176" w:type="dxa"/>
            <w:vAlign w:val="center"/>
            <w:hideMark/>
          </w:tcPr>
          <w:p w14:paraId="2FD4B583" w14:textId="77777777" w:rsidR="00951674" w:rsidRPr="00971395"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rPr>
            </w:pPr>
            <w:r w:rsidRPr="00971395">
              <w:rPr>
                <w:rFonts w:ascii="Times New Roman" w:hAnsi="Times New Roman" w:cs="Times New Roman"/>
                <w:b/>
                <w:bCs/>
                <w:color w:val="000000"/>
              </w:rPr>
              <w:t>13,170,000</w:t>
            </w:r>
          </w:p>
        </w:tc>
        <w:tc>
          <w:tcPr>
            <w:tcW w:w="1260" w:type="dxa"/>
            <w:vAlign w:val="center"/>
            <w:hideMark/>
          </w:tcPr>
          <w:p w14:paraId="0E442F65" w14:textId="77777777" w:rsidR="00951674" w:rsidRPr="00971395"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71395">
              <w:rPr>
                <w:rFonts w:ascii="Times New Roman" w:hAnsi="Times New Roman" w:cs="Times New Roman"/>
                <w:b/>
                <w:bCs/>
              </w:rPr>
              <w:t>-6,667,001</w:t>
            </w:r>
          </w:p>
        </w:tc>
      </w:tr>
      <w:tr w:rsidR="00951674" w:rsidRPr="00971395" w14:paraId="64878BE2" w14:textId="77777777" w:rsidTr="00D12C43">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5040" w:type="dxa"/>
            <w:hideMark/>
          </w:tcPr>
          <w:p w14:paraId="323B3C44" w14:textId="77777777" w:rsidR="00951674" w:rsidRPr="00971395" w:rsidRDefault="00951674" w:rsidP="00D12C43">
            <w:pPr>
              <w:jc w:val="both"/>
              <w:rPr>
                <w:rFonts w:ascii="Times New Roman" w:eastAsia="Times New Roman" w:hAnsi="Times New Roman" w:cs="Times New Roman"/>
                <w:b w:val="0"/>
                <w:sz w:val="20"/>
                <w:szCs w:val="20"/>
                <w:lang w:val="sq-AL"/>
              </w:rPr>
            </w:pPr>
            <w:r w:rsidRPr="00971395">
              <w:rPr>
                <w:rFonts w:ascii="Times New Roman" w:eastAsia="Times New Roman" w:hAnsi="Times New Roman" w:cs="Times New Roman"/>
                <w:b w:val="0"/>
                <w:sz w:val="20"/>
                <w:szCs w:val="20"/>
                <w:lang w:val="sq-AL"/>
              </w:rPr>
              <w:t xml:space="preserve">Objektivi Specifik 1.1: Përmirësimi i koordinimit, përafrimit dhe buxhetimit të politikave me objektivat kombëtare dhe globale të zhvillimit përgjatë gjithë ciklit të planifikimit të integruar të politikave. </w:t>
            </w:r>
          </w:p>
        </w:tc>
        <w:tc>
          <w:tcPr>
            <w:tcW w:w="1260" w:type="dxa"/>
            <w:noWrap/>
            <w:vAlign w:val="center"/>
            <w:hideMark/>
          </w:tcPr>
          <w:p w14:paraId="2583D678" w14:textId="77777777" w:rsidR="00951674" w:rsidRPr="00971395"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lang w:val="sq-AL"/>
              </w:rPr>
            </w:pPr>
            <w:r w:rsidRPr="00971395">
              <w:rPr>
                <w:rFonts w:ascii="Times New Roman" w:hAnsi="Times New Roman" w:cs="Times New Roman"/>
                <w:bCs/>
                <w:color w:val="000000"/>
                <w:sz w:val="20"/>
                <w:szCs w:val="20"/>
                <w:lang w:val="sq-AL"/>
              </w:rPr>
              <w:t>10,490,233</w:t>
            </w:r>
          </w:p>
        </w:tc>
        <w:tc>
          <w:tcPr>
            <w:tcW w:w="1176" w:type="dxa"/>
            <w:noWrap/>
            <w:vAlign w:val="center"/>
            <w:hideMark/>
          </w:tcPr>
          <w:p w14:paraId="4DC7844C" w14:textId="77777777" w:rsidR="00951674" w:rsidRPr="00971395"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lang w:val="sq-AL"/>
              </w:rPr>
            </w:pPr>
            <w:r w:rsidRPr="00971395">
              <w:rPr>
                <w:rFonts w:ascii="Times New Roman" w:hAnsi="Times New Roman" w:cs="Times New Roman"/>
                <w:bCs/>
                <w:color w:val="000000"/>
                <w:sz w:val="20"/>
                <w:szCs w:val="20"/>
                <w:lang w:val="sq-AL"/>
              </w:rPr>
              <w:t>7,350,233</w:t>
            </w:r>
          </w:p>
        </w:tc>
        <w:tc>
          <w:tcPr>
            <w:tcW w:w="1176" w:type="dxa"/>
            <w:noWrap/>
            <w:vAlign w:val="center"/>
            <w:hideMark/>
          </w:tcPr>
          <w:p w14:paraId="7A2B351E" w14:textId="77777777" w:rsidR="00951674" w:rsidRPr="00971395"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lang w:val="sq-AL"/>
              </w:rPr>
            </w:pPr>
            <w:r w:rsidRPr="00971395">
              <w:rPr>
                <w:rFonts w:ascii="Times New Roman" w:hAnsi="Times New Roman" w:cs="Times New Roman"/>
                <w:bCs/>
                <w:color w:val="000000"/>
                <w:sz w:val="20"/>
                <w:szCs w:val="20"/>
                <w:lang w:val="sq-AL"/>
              </w:rPr>
              <w:t>2,000,000</w:t>
            </w:r>
          </w:p>
        </w:tc>
        <w:tc>
          <w:tcPr>
            <w:tcW w:w="1260" w:type="dxa"/>
            <w:noWrap/>
            <w:vAlign w:val="center"/>
            <w:hideMark/>
          </w:tcPr>
          <w:p w14:paraId="66A1B41C" w14:textId="77777777" w:rsidR="00951674" w:rsidRPr="00971395"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q-AL"/>
              </w:rPr>
            </w:pPr>
            <w:r w:rsidRPr="00971395">
              <w:rPr>
                <w:rFonts w:ascii="Times New Roman" w:hAnsi="Times New Roman" w:cs="Times New Roman"/>
                <w:bCs/>
                <w:sz w:val="20"/>
                <w:szCs w:val="20"/>
                <w:lang w:val="sq-AL"/>
              </w:rPr>
              <w:t>-1,140,000</w:t>
            </w:r>
          </w:p>
        </w:tc>
      </w:tr>
      <w:tr w:rsidR="00951674" w:rsidRPr="00971395" w14:paraId="77C5A1FE" w14:textId="77777777" w:rsidTr="00D12C43">
        <w:trPr>
          <w:trHeight w:val="1115"/>
        </w:trPr>
        <w:tc>
          <w:tcPr>
            <w:cnfStyle w:val="001000000000" w:firstRow="0" w:lastRow="0" w:firstColumn="1" w:lastColumn="0" w:oddVBand="0" w:evenVBand="0" w:oddHBand="0" w:evenHBand="0" w:firstRowFirstColumn="0" w:firstRowLastColumn="0" w:lastRowFirstColumn="0" w:lastRowLastColumn="0"/>
            <w:tcW w:w="5040" w:type="dxa"/>
            <w:hideMark/>
          </w:tcPr>
          <w:p w14:paraId="3F0E44A7" w14:textId="77777777" w:rsidR="00951674" w:rsidRPr="00971395" w:rsidRDefault="00951674" w:rsidP="00D12C43">
            <w:pPr>
              <w:jc w:val="both"/>
              <w:rPr>
                <w:rFonts w:ascii="Times New Roman" w:eastAsia="Times New Roman" w:hAnsi="Times New Roman" w:cs="Times New Roman"/>
                <w:b w:val="0"/>
                <w:sz w:val="20"/>
                <w:szCs w:val="20"/>
                <w:lang w:val="sq-AL"/>
              </w:rPr>
            </w:pPr>
            <w:r w:rsidRPr="00971395">
              <w:rPr>
                <w:rFonts w:ascii="Times New Roman" w:eastAsia="Times New Roman" w:hAnsi="Times New Roman" w:cs="Times New Roman"/>
                <w:b w:val="0"/>
                <w:sz w:val="20"/>
                <w:szCs w:val="20"/>
                <w:lang w:val="sq-AL"/>
              </w:rPr>
              <w:t xml:space="preserve">Objektivi Specifik 1.2: Zbatimi i një procesi të mirëkoordinuar dhe gjithëpërfshirës për integrimin evropian, duke fuqizuar kapacitetet e strukturave negociuese për të përballuar me sukses kërkesat e procesit.  </w:t>
            </w:r>
          </w:p>
        </w:tc>
        <w:tc>
          <w:tcPr>
            <w:tcW w:w="1260" w:type="dxa"/>
            <w:noWrap/>
            <w:vAlign w:val="center"/>
            <w:hideMark/>
          </w:tcPr>
          <w:p w14:paraId="216C958F" w14:textId="77777777" w:rsidR="00951674" w:rsidRPr="00971395" w:rsidRDefault="00951674" w:rsidP="00D12C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sq-AL"/>
              </w:rPr>
            </w:pPr>
            <w:r w:rsidRPr="00971395">
              <w:rPr>
                <w:rFonts w:ascii="Times New Roman" w:hAnsi="Times New Roman" w:cs="Times New Roman"/>
                <w:bCs/>
                <w:color w:val="000000"/>
                <w:sz w:val="20"/>
                <w:szCs w:val="20"/>
                <w:lang w:val="sq-AL"/>
              </w:rPr>
              <w:t>13,055,896</w:t>
            </w:r>
          </w:p>
        </w:tc>
        <w:tc>
          <w:tcPr>
            <w:tcW w:w="1176" w:type="dxa"/>
            <w:noWrap/>
            <w:vAlign w:val="center"/>
            <w:hideMark/>
          </w:tcPr>
          <w:p w14:paraId="5DB24F16" w14:textId="77777777" w:rsidR="00951674" w:rsidRPr="00971395" w:rsidRDefault="00951674" w:rsidP="00D12C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sq-AL"/>
              </w:rPr>
            </w:pPr>
            <w:r w:rsidRPr="00971395">
              <w:rPr>
                <w:rFonts w:ascii="Times New Roman" w:hAnsi="Times New Roman" w:cs="Times New Roman"/>
                <w:bCs/>
                <w:color w:val="000000"/>
                <w:sz w:val="20"/>
                <w:szCs w:val="20"/>
                <w:lang w:val="sq-AL"/>
              </w:rPr>
              <w:t>7,727,896</w:t>
            </w:r>
          </w:p>
        </w:tc>
        <w:tc>
          <w:tcPr>
            <w:tcW w:w="1176" w:type="dxa"/>
            <w:noWrap/>
            <w:vAlign w:val="center"/>
            <w:hideMark/>
          </w:tcPr>
          <w:p w14:paraId="1C90EB6A" w14:textId="77777777" w:rsidR="00951674" w:rsidRPr="00971395" w:rsidRDefault="00951674" w:rsidP="00D12C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sq-AL"/>
              </w:rPr>
            </w:pPr>
            <w:r w:rsidRPr="00971395">
              <w:rPr>
                <w:rFonts w:ascii="Times New Roman" w:hAnsi="Times New Roman" w:cs="Times New Roman"/>
                <w:bCs/>
                <w:color w:val="000000"/>
                <w:sz w:val="20"/>
                <w:szCs w:val="20"/>
                <w:lang w:val="sq-AL"/>
              </w:rPr>
              <w:t>4,680,000</w:t>
            </w:r>
          </w:p>
        </w:tc>
        <w:tc>
          <w:tcPr>
            <w:tcW w:w="1260" w:type="dxa"/>
            <w:noWrap/>
            <w:vAlign w:val="center"/>
            <w:hideMark/>
          </w:tcPr>
          <w:p w14:paraId="7EA414F9" w14:textId="77777777" w:rsidR="00951674" w:rsidRPr="00971395" w:rsidRDefault="00951674" w:rsidP="00D12C4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sq-AL"/>
              </w:rPr>
            </w:pPr>
            <w:r w:rsidRPr="00971395">
              <w:rPr>
                <w:rFonts w:ascii="Times New Roman" w:hAnsi="Times New Roman" w:cs="Times New Roman"/>
                <w:bCs/>
                <w:color w:val="000000"/>
                <w:sz w:val="20"/>
                <w:szCs w:val="20"/>
                <w:lang w:val="sq-AL"/>
              </w:rPr>
              <w:t>-648,000</w:t>
            </w:r>
          </w:p>
        </w:tc>
      </w:tr>
      <w:tr w:rsidR="00951674" w:rsidRPr="00971395" w14:paraId="3575E2B9" w14:textId="77777777" w:rsidTr="00D12C43">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5040" w:type="dxa"/>
            <w:hideMark/>
          </w:tcPr>
          <w:p w14:paraId="73E4921E" w14:textId="77777777" w:rsidR="00951674" w:rsidRPr="00971395" w:rsidRDefault="00951674" w:rsidP="00D12C43">
            <w:pPr>
              <w:jc w:val="both"/>
              <w:rPr>
                <w:rFonts w:ascii="Times New Roman" w:eastAsia="Times New Roman" w:hAnsi="Times New Roman" w:cs="Times New Roman"/>
                <w:b w:val="0"/>
                <w:sz w:val="20"/>
                <w:szCs w:val="20"/>
                <w:lang w:val="sq-AL"/>
              </w:rPr>
            </w:pPr>
            <w:r w:rsidRPr="00971395">
              <w:rPr>
                <w:rFonts w:ascii="Times New Roman" w:eastAsia="Times New Roman" w:hAnsi="Times New Roman" w:cs="Times New Roman"/>
                <w:b w:val="0"/>
                <w:sz w:val="20"/>
                <w:szCs w:val="20"/>
                <w:lang w:val="sq-AL"/>
              </w:rPr>
              <w:t xml:space="preserve">Objektivi Specifik 1.3: Hartimi i politikave mbështetur në të dhëna dhe vlerësim cilësor të ndikimit rregullator, përgjatë një procesi mirëplanifikimi ligjor dhe konsultimi gjithëpërfshirës publik, që garanton përputhje me acquis-në dhe praktikat e mira ndërkombëtare.  </w:t>
            </w:r>
          </w:p>
        </w:tc>
        <w:tc>
          <w:tcPr>
            <w:tcW w:w="1260" w:type="dxa"/>
            <w:vAlign w:val="center"/>
            <w:hideMark/>
          </w:tcPr>
          <w:p w14:paraId="22C68B0D" w14:textId="77777777" w:rsidR="00951674" w:rsidRPr="00971395"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q-AL"/>
              </w:rPr>
            </w:pPr>
            <w:r w:rsidRPr="00971395">
              <w:rPr>
                <w:rFonts w:ascii="Times New Roman" w:hAnsi="Times New Roman" w:cs="Times New Roman"/>
                <w:bCs/>
                <w:sz w:val="20"/>
                <w:szCs w:val="20"/>
                <w:lang w:val="sq-AL"/>
              </w:rPr>
              <w:t>58,774,142</w:t>
            </w:r>
          </w:p>
        </w:tc>
        <w:tc>
          <w:tcPr>
            <w:tcW w:w="1176" w:type="dxa"/>
            <w:vAlign w:val="center"/>
            <w:hideMark/>
          </w:tcPr>
          <w:p w14:paraId="35D138D5" w14:textId="77777777" w:rsidR="00951674" w:rsidRPr="00971395"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q-AL"/>
              </w:rPr>
            </w:pPr>
            <w:r w:rsidRPr="00971395">
              <w:rPr>
                <w:rFonts w:ascii="Times New Roman" w:hAnsi="Times New Roman" w:cs="Times New Roman"/>
                <w:bCs/>
                <w:sz w:val="20"/>
                <w:szCs w:val="20"/>
                <w:lang w:val="sq-AL"/>
              </w:rPr>
              <w:t>47,405,141</w:t>
            </w:r>
          </w:p>
        </w:tc>
        <w:tc>
          <w:tcPr>
            <w:tcW w:w="1176" w:type="dxa"/>
            <w:vAlign w:val="center"/>
            <w:hideMark/>
          </w:tcPr>
          <w:p w14:paraId="367E0551" w14:textId="77777777" w:rsidR="00951674" w:rsidRPr="00971395"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q-AL"/>
              </w:rPr>
            </w:pPr>
            <w:r w:rsidRPr="00971395">
              <w:rPr>
                <w:rFonts w:ascii="Times New Roman" w:hAnsi="Times New Roman" w:cs="Times New Roman"/>
                <w:bCs/>
                <w:sz w:val="20"/>
                <w:szCs w:val="20"/>
                <w:lang w:val="sq-AL"/>
              </w:rPr>
              <w:t>6,490,000</w:t>
            </w:r>
          </w:p>
        </w:tc>
        <w:tc>
          <w:tcPr>
            <w:tcW w:w="1260" w:type="dxa"/>
            <w:vAlign w:val="center"/>
            <w:hideMark/>
          </w:tcPr>
          <w:p w14:paraId="1B9EC846" w14:textId="77777777" w:rsidR="00951674" w:rsidRPr="00971395"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sq-AL"/>
              </w:rPr>
            </w:pPr>
            <w:r w:rsidRPr="00971395">
              <w:rPr>
                <w:rFonts w:ascii="Times New Roman" w:hAnsi="Times New Roman" w:cs="Times New Roman"/>
                <w:bCs/>
                <w:sz w:val="20"/>
                <w:szCs w:val="20"/>
                <w:lang w:val="sq-AL"/>
              </w:rPr>
              <w:t>-4,879,001</w:t>
            </w:r>
          </w:p>
        </w:tc>
      </w:tr>
    </w:tbl>
    <w:p w14:paraId="06879D04" w14:textId="77777777" w:rsidR="00951674" w:rsidRDefault="00951674" w:rsidP="00951674">
      <w:pPr>
        <w:pStyle w:val="NoSpacing"/>
        <w:spacing w:line="276" w:lineRule="auto"/>
        <w:jc w:val="both"/>
        <w:rPr>
          <w:rFonts w:ascii="Times New Roman" w:eastAsia="Arial" w:hAnsi="Times New Roman"/>
          <w:sz w:val="24"/>
          <w:szCs w:val="28"/>
          <w:lang w:val="sq-AL"/>
        </w:rPr>
      </w:pPr>
    </w:p>
    <w:p w14:paraId="4A34C2B2" w14:textId="1E1A0630" w:rsidR="00951674" w:rsidRPr="00205002" w:rsidRDefault="00951674" w:rsidP="004F277B">
      <w:pPr>
        <w:pStyle w:val="NoSpacing"/>
        <w:spacing w:after="240" w:line="276" w:lineRule="auto"/>
        <w:jc w:val="both"/>
        <w:rPr>
          <w:rFonts w:ascii="Times New Roman" w:eastAsia="Arial" w:hAnsi="Times New Roman"/>
          <w:sz w:val="24"/>
          <w:szCs w:val="28"/>
          <w:lang w:val="sq-AL"/>
        </w:rPr>
      </w:pPr>
      <w:r w:rsidRPr="00205002">
        <w:rPr>
          <w:rFonts w:ascii="Times New Roman" w:eastAsia="Arial" w:hAnsi="Times New Roman"/>
          <w:sz w:val="24"/>
          <w:szCs w:val="28"/>
          <w:lang w:val="sq-AL"/>
        </w:rPr>
        <w:t xml:space="preserve">Tek të tre objektivat përfshihet puna e strukturave që merren me koordinimin dhe mirëmenaxhimin e politikave qeveritare dhe procesit të integrimit europian. Vihet re që </w:t>
      </w:r>
      <w:r w:rsidR="008B2B53">
        <w:rPr>
          <w:rFonts w:ascii="Times New Roman" w:eastAsia="Arial" w:hAnsi="Times New Roman"/>
          <w:sz w:val="24"/>
          <w:szCs w:val="28"/>
          <w:lang w:val="sq-AL"/>
        </w:rPr>
        <w:t>O</w:t>
      </w:r>
      <w:r w:rsidRPr="00205002">
        <w:rPr>
          <w:rFonts w:ascii="Times New Roman" w:eastAsia="Arial" w:hAnsi="Times New Roman"/>
          <w:sz w:val="24"/>
          <w:szCs w:val="28"/>
          <w:lang w:val="sq-AL"/>
        </w:rPr>
        <w:t>bjektivi i tretë</w:t>
      </w:r>
      <w:r w:rsidR="008B2B53">
        <w:rPr>
          <w:rFonts w:ascii="Times New Roman" w:eastAsia="Arial" w:hAnsi="Times New Roman"/>
          <w:sz w:val="24"/>
          <w:szCs w:val="28"/>
          <w:lang w:val="sq-AL"/>
        </w:rPr>
        <w:t xml:space="preserve"> Specifik</w:t>
      </w:r>
      <w:r w:rsidRPr="00205002">
        <w:rPr>
          <w:rFonts w:ascii="Times New Roman" w:eastAsia="Arial" w:hAnsi="Times New Roman"/>
          <w:sz w:val="24"/>
          <w:szCs w:val="28"/>
          <w:lang w:val="sq-AL"/>
        </w:rPr>
        <w:t xml:space="preserve"> ka hendekun financiar më të lartë dhe gjithashtu edhe financimin më të lartë nga buxheti i shtetit.</w:t>
      </w:r>
    </w:p>
    <w:p w14:paraId="651DF171" w14:textId="3804EF02" w:rsidR="00951674" w:rsidRPr="00205002" w:rsidRDefault="00951674" w:rsidP="00951674">
      <w:pPr>
        <w:pStyle w:val="NoSpacing"/>
        <w:spacing w:line="276" w:lineRule="auto"/>
        <w:jc w:val="both"/>
        <w:rPr>
          <w:rFonts w:ascii="Times New Roman" w:eastAsia="Arial" w:hAnsi="Times New Roman"/>
          <w:sz w:val="24"/>
          <w:szCs w:val="28"/>
          <w:lang w:val="sq-AL"/>
        </w:rPr>
      </w:pPr>
      <w:r w:rsidRPr="00205002">
        <w:rPr>
          <w:rFonts w:ascii="Times New Roman" w:eastAsia="Arial" w:hAnsi="Times New Roman"/>
          <w:sz w:val="24"/>
          <w:szCs w:val="28"/>
          <w:lang w:val="sq-AL"/>
        </w:rPr>
        <w:t xml:space="preserve">Ndërkohë nëse analizohet financimi i objektivave të </w:t>
      </w:r>
      <w:r w:rsidR="003D0685">
        <w:rPr>
          <w:rFonts w:ascii="Times New Roman" w:eastAsia="Arial" w:hAnsi="Times New Roman"/>
          <w:sz w:val="24"/>
          <w:szCs w:val="28"/>
          <w:lang w:val="sq-AL"/>
        </w:rPr>
        <w:t>Q</w:t>
      </w:r>
      <w:r w:rsidRPr="00205002">
        <w:rPr>
          <w:rFonts w:ascii="Times New Roman" w:eastAsia="Arial" w:hAnsi="Times New Roman"/>
          <w:sz w:val="24"/>
          <w:szCs w:val="28"/>
          <w:lang w:val="sq-AL"/>
        </w:rPr>
        <w:t xml:space="preserve">ëllimit të dytë, mund të thuhet se </w:t>
      </w:r>
      <w:r w:rsidR="00BD77CA">
        <w:rPr>
          <w:rFonts w:ascii="Times New Roman" w:eastAsia="Arial" w:hAnsi="Times New Roman"/>
          <w:sz w:val="24"/>
          <w:szCs w:val="28"/>
          <w:lang w:val="sq-AL"/>
        </w:rPr>
        <w:t>O</w:t>
      </w:r>
      <w:r w:rsidRPr="00205002">
        <w:rPr>
          <w:rFonts w:ascii="Times New Roman" w:eastAsia="Arial" w:hAnsi="Times New Roman"/>
          <w:sz w:val="24"/>
          <w:szCs w:val="28"/>
          <w:lang w:val="sq-AL"/>
        </w:rPr>
        <w:t>bjektivi i parë që lidhet me informimin dhe aftësimin e studentëve për të bërë zgjedhje autonome kur i bashkohen popullsisë aktive nuk ka financim të jashtëm. Këtu fokusi vihet tek aftësitë digjitale të të rinjve dhe rritja e mëtejshme e tyre.</w:t>
      </w:r>
    </w:p>
    <w:p w14:paraId="48C46088" w14:textId="77777777" w:rsidR="00951674" w:rsidRPr="00205002" w:rsidRDefault="00951674" w:rsidP="00951674">
      <w:pPr>
        <w:pStyle w:val="NoSpacing"/>
        <w:spacing w:line="276" w:lineRule="auto"/>
        <w:jc w:val="both"/>
        <w:rPr>
          <w:rFonts w:ascii="Times New Roman" w:eastAsia="Arial" w:hAnsi="Times New Roman"/>
          <w:sz w:val="24"/>
          <w:szCs w:val="28"/>
          <w:lang w:val="sq-AL"/>
        </w:rPr>
      </w:pPr>
    </w:p>
    <w:p w14:paraId="30B80B23" w14:textId="77777777" w:rsidR="00951674" w:rsidRPr="00AB2C37" w:rsidRDefault="00951674" w:rsidP="00951674">
      <w:pPr>
        <w:pStyle w:val="NoSpacing"/>
        <w:spacing w:line="276" w:lineRule="auto"/>
        <w:jc w:val="both"/>
        <w:rPr>
          <w:rFonts w:ascii="Times New Roman" w:eastAsia="Arial" w:hAnsi="Times New Roman"/>
          <w:i/>
          <w:iCs/>
          <w:szCs w:val="24"/>
          <w:lang w:val="sq-AL"/>
        </w:rPr>
      </w:pPr>
      <w:r w:rsidRPr="00AB2C37">
        <w:rPr>
          <w:rFonts w:ascii="Times New Roman" w:eastAsia="Arial" w:hAnsi="Times New Roman"/>
          <w:i/>
          <w:iCs/>
          <w:szCs w:val="24"/>
          <w:lang w:val="sq-AL"/>
        </w:rPr>
        <w:t>Tabela 3: Përbërja e kostos totale për qëllimin e dytë të politikës bazuar te burimi i financimit (në lekë)</w:t>
      </w:r>
    </w:p>
    <w:p w14:paraId="1F900D5E" w14:textId="77777777" w:rsidR="00951674" w:rsidRPr="00FC083E" w:rsidRDefault="00951674" w:rsidP="00951674">
      <w:pPr>
        <w:pStyle w:val="NoSpacing"/>
        <w:spacing w:line="276" w:lineRule="auto"/>
        <w:jc w:val="both"/>
        <w:rPr>
          <w:rFonts w:ascii="Times New Roman" w:eastAsia="Arial" w:hAnsi="Times New Roman"/>
          <w:sz w:val="8"/>
          <w:szCs w:val="10"/>
          <w:lang w:val="sq-AL"/>
        </w:rPr>
      </w:pPr>
    </w:p>
    <w:tbl>
      <w:tblPr>
        <w:tblStyle w:val="ListTable3-Accent5"/>
        <w:tblW w:w="10205" w:type="dxa"/>
        <w:tblInd w:w="-365" w:type="dxa"/>
        <w:tblLook w:val="04A0" w:firstRow="1" w:lastRow="0" w:firstColumn="1" w:lastColumn="0" w:noHBand="0" w:noVBand="1"/>
      </w:tblPr>
      <w:tblGrid>
        <w:gridCol w:w="5310"/>
        <w:gridCol w:w="1283"/>
        <w:gridCol w:w="1176"/>
        <w:gridCol w:w="1176"/>
        <w:gridCol w:w="1235"/>
        <w:gridCol w:w="25"/>
      </w:tblGrid>
      <w:tr w:rsidR="00951674" w:rsidRPr="00205002" w14:paraId="6F84EA14" w14:textId="77777777" w:rsidTr="00D12C43">
        <w:trPr>
          <w:cnfStyle w:val="100000000000" w:firstRow="1" w:lastRow="0" w:firstColumn="0" w:lastColumn="0" w:oddVBand="0" w:evenVBand="0" w:oddHBand="0" w:evenHBand="0" w:firstRowFirstColumn="0" w:firstRowLastColumn="0" w:lastRowFirstColumn="0" w:lastRowLastColumn="0"/>
          <w:trHeight w:val="585"/>
        </w:trPr>
        <w:tc>
          <w:tcPr>
            <w:cnfStyle w:val="001000000100" w:firstRow="0" w:lastRow="0" w:firstColumn="1" w:lastColumn="0" w:oddVBand="0" w:evenVBand="0" w:oddHBand="0" w:evenHBand="0" w:firstRowFirstColumn="1" w:firstRowLastColumn="0" w:lastRowFirstColumn="0" w:lastRowLastColumn="0"/>
            <w:tcW w:w="5310" w:type="dxa"/>
            <w:vMerge w:val="restart"/>
            <w:hideMark/>
          </w:tcPr>
          <w:p w14:paraId="745D85D8" w14:textId="77777777" w:rsidR="00951674" w:rsidRPr="00205002" w:rsidRDefault="00951674" w:rsidP="00D12C43">
            <w:pPr>
              <w:jc w:val="both"/>
              <w:rPr>
                <w:rFonts w:ascii="Times New Roman" w:eastAsia="Times New Roman" w:hAnsi="Times New Roman" w:cs="Times New Roman"/>
                <w:color w:val="000000"/>
                <w:sz w:val="20"/>
                <w:szCs w:val="20"/>
                <w:lang w:val="sq-AL"/>
              </w:rPr>
            </w:pPr>
          </w:p>
        </w:tc>
        <w:tc>
          <w:tcPr>
            <w:tcW w:w="1283" w:type="dxa"/>
            <w:vMerge w:val="restart"/>
            <w:hideMark/>
          </w:tcPr>
          <w:p w14:paraId="42E4A03C" w14:textId="77777777" w:rsidR="00951674" w:rsidRPr="00205002" w:rsidRDefault="00951674" w:rsidP="00D12C4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sq-AL"/>
              </w:rPr>
            </w:pPr>
            <w:r w:rsidRPr="00205002">
              <w:rPr>
                <w:rFonts w:ascii="Times New Roman" w:eastAsia="Times New Roman" w:hAnsi="Times New Roman" w:cs="Times New Roman"/>
                <w:color w:val="000000"/>
                <w:sz w:val="20"/>
                <w:szCs w:val="20"/>
                <w:lang w:val="sq-AL"/>
              </w:rPr>
              <w:t>Kosto totale</w:t>
            </w:r>
            <w:r w:rsidRPr="00205002">
              <w:rPr>
                <w:rFonts w:ascii="Times New Roman" w:eastAsia="Times New Roman" w:hAnsi="Times New Roman" w:cs="Times New Roman"/>
                <w:color w:val="000000"/>
                <w:sz w:val="20"/>
                <w:szCs w:val="20"/>
                <w:lang w:val="sq-AL"/>
              </w:rPr>
              <w:br/>
              <w:t>(në lekë)</w:t>
            </w:r>
          </w:p>
        </w:tc>
        <w:tc>
          <w:tcPr>
            <w:tcW w:w="2352" w:type="dxa"/>
            <w:gridSpan w:val="2"/>
            <w:hideMark/>
          </w:tcPr>
          <w:p w14:paraId="57E405DF" w14:textId="77777777" w:rsidR="00951674" w:rsidRPr="00205002" w:rsidRDefault="00951674" w:rsidP="00D12C4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205002">
              <w:rPr>
                <w:rFonts w:ascii="Times New Roman" w:eastAsia="Times New Roman" w:hAnsi="Times New Roman" w:cs="Times New Roman"/>
                <w:sz w:val="20"/>
                <w:szCs w:val="20"/>
                <w:lang w:val="sq-AL"/>
              </w:rPr>
              <w:t>Burimi i mbulimit</w:t>
            </w:r>
            <w:r w:rsidRPr="00205002">
              <w:rPr>
                <w:rFonts w:ascii="Times New Roman" w:eastAsia="Times New Roman" w:hAnsi="Times New Roman" w:cs="Times New Roman"/>
                <w:sz w:val="20"/>
                <w:szCs w:val="20"/>
                <w:lang w:val="sq-AL"/>
              </w:rPr>
              <w:br/>
              <w:t>2025-2027</w:t>
            </w:r>
          </w:p>
        </w:tc>
        <w:tc>
          <w:tcPr>
            <w:tcW w:w="1260" w:type="dxa"/>
            <w:gridSpan w:val="2"/>
            <w:vMerge w:val="restart"/>
            <w:hideMark/>
          </w:tcPr>
          <w:p w14:paraId="61C22150" w14:textId="77777777" w:rsidR="00951674" w:rsidRPr="00205002" w:rsidRDefault="00951674" w:rsidP="00D12C4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205002">
              <w:rPr>
                <w:rFonts w:ascii="Times New Roman" w:eastAsia="Times New Roman" w:hAnsi="Times New Roman" w:cs="Times New Roman"/>
                <w:sz w:val="20"/>
                <w:szCs w:val="20"/>
                <w:lang w:val="sq-AL"/>
              </w:rPr>
              <w:t xml:space="preserve">Hendeku financiar </w:t>
            </w:r>
          </w:p>
        </w:tc>
      </w:tr>
      <w:tr w:rsidR="00951674" w:rsidRPr="00205002" w14:paraId="043A4644" w14:textId="77777777" w:rsidTr="00D12C43">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5310" w:type="dxa"/>
            <w:vMerge/>
            <w:hideMark/>
          </w:tcPr>
          <w:p w14:paraId="5914F04F" w14:textId="77777777" w:rsidR="00951674" w:rsidRPr="00205002" w:rsidRDefault="00951674" w:rsidP="00D12C43">
            <w:pPr>
              <w:jc w:val="both"/>
              <w:rPr>
                <w:rFonts w:ascii="Times New Roman" w:eastAsia="Times New Roman" w:hAnsi="Times New Roman" w:cs="Times New Roman"/>
                <w:color w:val="000000"/>
                <w:sz w:val="20"/>
                <w:szCs w:val="20"/>
                <w:lang w:val="sq-AL"/>
              </w:rPr>
            </w:pPr>
          </w:p>
        </w:tc>
        <w:tc>
          <w:tcPr>
            <w:tcW w:w="1283" w:type="dxa"/>
            <w:vMerge/>
            <w:hideMark/>
          </w:tcPr>
          <w:p w14:paraId="1353E809" w14:textId="77777777" w:rsidR="00951674" w:rsidRPr="00205002"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q-AL"/>
              </w:rPr>
            </w:pPr>
          </w:p>
        </w:tc>
        <w:tc>
          <w:tcPr>
            <w:tcW w:w="1176" w:type="dxa"/>
            <w:noWrap/>
            <w:hideMark/>
          </w:tcPr>
          <w:p w14:paraId="14F952E0" w14:textId="77777777" w:rsidR="00951674" w:rsidRPr="00205002"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q-AL"/>
              </w:rPr>
            </w:pPr>
            <w:r w:rsidRPr="00205002">
              <w:rPr>
                <w:rFonts w:ascii="Times New Roman" w:eastAsia="Times New Roman" w:hAnsi="Times New Roman" w:cs="Times New Roman"/>
                <w:b/>
                <w:bCs/>
                <w:color w:val="000000"/>
                <w:sz w:val="20"/>
                <w:szCs w:val="20"/>
                <w:lang w:val="sq-AL"/>
              </w:rPr>
              <w:t xml:space="preserve">Buxhet shteti </w:t>
            </w:r>
          </w:p>
        </w:tc>
        <w:tc>
          <w:tcPr>
            <w:tcW w:w="1176" w:type="dxa"/>
            <w:noWrap/>
            <w:hideMark/>
          </w:tcPr>
          <w:p w14:paraId="3BED184B" w14:textId="77777777" w:rsidR="00951674" w:rsidRPr="00205002"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q-AL"/>
              </w:rPr>
            </w:pPr>
            <w:r w:rsidRPr="00205002">
              <w:rPr>
                <w:rFonts w:ascii="Times New Roman" w:eastAsia="Times New Roman" w:hAnsi="Times New Roman" w:cs="Times New Roman"/>
                <w:b/>
                <w:bCs/>
                <w:color w:val="000000"/>
                <w:sz w:val="20"/>
                <w:szCs w:val="20"/>
                <w:lang w:val="sq-AL"/>
              </w:rPr>
              <w:t xml:space="preserve">Financim i huaj </w:t>
            </w:r>
          </w:p>
        </w:tc>
        <w:tc>
          <w:tcPr>
            <w:tcW w:w="1260" w:type="dxa"/>
            <w:gridSpan w:val="2"/>
            <w:vMerge/>
            <w:hideMark/>
          </w:tcPr>
          <w:p w14:paraId="11C9C293" w14:textId="77777777" w:rsidR="00951674" w:rsidRPr="00205002"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sq-AL"/>
              </w:rPr>
            </w:pPr>
          </w:p>
        </w:tc>
      </w:tr>
      <w:tr w:rsidR="00951674" w:rsidRPr="00205002" w14:paraId="302C3D0E" w14:textId="77777777" w:rsidTr="00D12C43">
        <w:trPr>
          <w:gridAfter w:val="1"/>
          <w:wAfter w:w="25" w:type="dxa"/>
          <w:trHeight w:val="413"/>
        </w:trPr>
        <w:tc>
          <w:tcPr>
            <w:cnfStyle w:val="001000000000" w:firstRow="0" w:lastRow="0" w:firstColumn="1" w:lastColumn="0" w:oddVBand="0" w:evenVBand="0" w:oddHBand="0" w:evenHBand="0" w:firstRowFirstColumn="0" w:firstRowLastColumn="0" w:lastRowFirstColumn="0" w:lastRowLastColumn="0"/>
            <w:tcW w:w="5310" w:type="dxa"/>
            <w:noWrap/>
            <w:hideMark/>
          </w:tcPr>
          <w:p w14:paraId="4AA64F68" w14:textId="77777777" w:rsidR="00951674" w:rsidRPr="00205002" w:rsidRDefault="00951674" w:rsidP="00D12C43">
            <w:pPr>
              <w:jc w:val="both"/>
              <w:rPr>
                <w:rFonts w:ascii="Times New Roman" w:eastAsia="Times New Roman" w:hAnsi="Times New Roman" w:cs="Times New Roman"/>
                <w:color w:val="000000"/>
                <w:sz w:val="20"/>
                <w:szCs w:val="20"/>
                <w:lang w:val="sq-AL"/>
              </w:rPr>
            </w:pPr>
            <w:r w:rsidRPr="00205002">
              <w:rPr>
                <w:rFonts w:ascii="Times New Roman" w:eastAsia="Times New Roman" w:hAnsi="Times New Roman" w:cs="Times New Roman"/>
                <w:color w:val="000000"/>
                <w:sz w:val="20"/>
                <w:szCs w:val="20"/>
                <w:lang w:val="sq-AL"/>
              </w:rPr>
              <w:t>Kosto totale e Qëllimit të Politikës 2</w:t>
            </w:r>
          </w:p>
        </w:tc>
        <w:tc>
          <w:tcPr>
            <w:tcW w:w="1283" w:type="dxa"/>
            <w:vAlign w:val="center"/>
            <w:hideMark/>
          </w:tcPr>
          <w:p w14:paraId="6941252A" w14:textId="77777777" w:rsidR="00951674" w:rsidRPr="00230FA8"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230FA8">
              <w:rPr>
                <w:rFonts w:ascii="Times New Roman" w:hAnsi="Times New Roman" w:cs="Times New Roman"/>
                <w:bCs/>
                <w:sz w:val="20"/>
                <w:szCs w:val="20"/>
              </w:rPr>
              <w:t>128,680,418</w:t>
            </w:r>
          </w:p>
        </w:tc>
        <w:tc>
          <w:tcPr>
            <w:tcW w:w="1176" w:type="dxa"/>
            <w:vAlign w:val="center"/>
            <w:hideMark/>
          </w:tcPr>
          <w:p w14:paraId="033BBB0A" w14:textId="77777777" w:rsidR="00951674" w:rsidRPr="00230FA8"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30FA8">
              <w:rPr>
                <w:rFonts w:ascii="Times New Roman" w:hAnsi="Times New Roman" w:cs="Times New Roman"/>
                <w:bCs/>
                <w:sz w:val="20"/>
                <w:szCs w:val="20"/>
              </w:rPr>
              <w:t>99,873,091</w:t>
            </w:r>
          </w:p>
        </w:tc>
        <w:tc>
          <w:tcPr>
            <w:tcW w:w="1176" w:type="dxa"/>
            <w:vAlign w:val="center"/>
            <w:hideMark/>
          </w:tcPr>
          <w:p w14:paraId="25832F00" w14:textId="77777777" w:rsidR="00951674" w:rsidRPr="00230FA8"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30FA8">
              <w:rPr>
                <w:rFonts w:ascii="Times New Roman" w:hAnsi="Times New Roman" w:cs="Times New Roman"/>
                <w:bCs/>
                <w:sz w:val="20"/>
                <w:szCs w:val="20"/>
              </w:rPr>
              <w:t>15,290,000</w:t>
            </w:r>
          </w:p>
        </w:tc>
        <w:tc>
          <w:tcPr>
            <w:tcW w:w="1235" w:type="dxa"/>
            <w:vAlign w:val="center"/>
            <w:hideMark/>
          </w:tcPr>
          <w:p w14:paraId="34AEC79A" w14:textId="77777777" w:rsidR="00951674" w:rsidRPr="00230FA8"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30FA8">
              <w:rPr>
                <w:rFonts w:ascii="Times New Roman" w:hAnsi="Times New Roman" w:cs="Times New Roman"/>
                <w:bCs/>
                <w:sz w:val="20"/>
                <w:szCs w:val="20"/>
              </w:rPr>
              <w:t>-13,517,327</w:t>
            </w:r>
          </w:p>
        </w:tc>
      </w:tr>
      <w:tr w:rsidR="00951674" w:rsidRPr="00205002" w14:paraId="6253ACAD" w14:textId="77777777" w:rsidTr="00D12C43">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5310" w:type="dxa"/>
            <w:vAlign w:val="center"/>
            <w:hideMark/>
          </w:tcPr>
          <w:p w14:paraId="2C2F2152" w14:textId="77777777" w:rsidR="00951674" w:rsidRPr="00205002" w:rsidRDefault="00951674" w:rsidP="00D12C43">
            <w:pPr>
              <w:jc w:val="both"/>
              <w:rPr>
                <w:rFonts w:ascii="Times New Roman" w:eastAsia="Times New Roman" w:hAnsi="Times New Roman" w:cs="Times New Roman"/>
                <w:sz w:val="20"/>
                <w:szCs w:val="20"/>
                <w:lang w:val="sq-AL"/>
              </w:rPr>
            </w:pPr>
            <w:r w:rsidRPr="00205002">
              <w:rPr>
                <w:rFonts w:ascii="Times New Roman" w:hAnsi="Times New Roman" w:cs="Times New Roman"/>
                <w:b w:val="0"/>
                <w:bCs w:val="0"/>
                <w:sz w:val="20"/>
                <w:szCs w:val="20"/>
                <w:lang w:val="sq-AL"/>
              </w:rPr>
              <w:t>Objektivi Specifik 2.1:  Pranimi në institucionet e administratës publike bazuar në konkurs të hapur, në parimin e meritës dhe duke siguruar përzgjedhjen e kandidatëve më të mirë</w:t>
            </w:r>
          </w:p>
        </w:tc>
        <w:tc>
          <w:tcPr>
            <w:tcW w:w="1283" w:type="dxa"/>
            <w:noWrap/>
            <w:vAlign w:val="center"/>
            <w:hideMark/>
          </w:tcPr>
          <w:p w14:paraId="271E1B76" w14:textId="77777777" w:rsidR="00951674" w:rsidRPr="00230FA8"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rPr>
            </w:pPr>
            <w:r w:rsidRPr="00230FA8">
              <w:rPr>
                <w:rFonts w:ascii="Times New Roman" w:hAnsi="Times New Roman" w:cs="Times New Roman"/>
                <w:bCs/>
                <w:color w:val="000000"/>
                <w:sz w:val="20"/>
                <w:szCs w:val="20"/>
              </w:rPr>
              <w:t>16,689,627</w:t>
            </w:r>
          </w:p>
        </w:tc>
        <w:tc>
          <w:tcPr>
            <w:tcW w:w="1176" w:type="dxa"/>
            <w:noWrap/>
            <w:vAlign w:val="center"/>
            <w:hideMark/>
          </w:tcPr>
          <w:p w14:paraId="49103B15" w14:textId="77777777" w:rsidR="00951674" w:rsidRPr="00230FA8"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230FA8">
              <w:rPr>
                <w:rFonts w:ascii="Times New Roman" w:hAnsi="Times New Roman" w:cs="Times New Roman"/>
                <w:bCs/>
                <w:color w:val="000000"/>
                <w:sz w:val="20"/>
                <w:szCs w:val="20"/>
              </w:rPr>
              <w:t>10,837,626</w:t>
            </w:r>
          </w:p>
        </w:tc>
        <w:tc>
          <w:tcPr>
            <w:tcW w:w="1176" w:type="dxa"/>
            <w:noWrap/>
            <w:vAlign w:val="center"/>
            <w:hideMark/>
          </w:tcPr>
          <w:p w14:paraId="0EB77DD5" w14:textId="77777777" w:rsidR="00951674" w:rsidRPr="00230FA8"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230FA8">
              <w:rPr>
                <w:rFonts w:ascii="Times New Roman" w:hAnsi="Times New Roman" w:cs="Times New Roman"/>
                <w:bCs/>
                <w:color w:val="000000"/>
                <w:sz w:val="20"/>
                <w:szCs w:val="20"/>
              </w:rPr>
              <w:t>5,600,000</w:t>
            </w:r>
          </w:p>
        </w:tc>
        <w:tc>
          <w:tcPr>
            <w:tcW w:w="1260" w:type="dxa"/>
            <w:gridSpan w:val="2"/>
            <w:noWrap/>
            <w:vAlign w:val="center"/>
            <w:hideMark/>
          </w:tcPr>
          <w:p w14:paraId="306308C1" w14:textId="77777777" w:rsidR="00951674" w:rsidRPr="00230FA8"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30FA8">
              <w:rPr>
                <w:rFonts w:ascii="Times New Roman" w:hAnsi="Times New Roman" w:cs="Times New Roman"/>
                <w:bCs/>
                <w:sz w:val="20"/>
                <w:szCs w:val="20"/>
              </w:rPr>
              <w:t>-252,001</w:t>
            </w:r>
          </w:p>
        </w:tc>
      </w:tr>
      <w:tr w:rsidR="00951674" w:rsidRPr="00205002" w14:paraId="66B88272" w14:textId="77777777" w:rsidTr="00D12C43">
        <w:trPr>
          <w:trHeight w:val="1115"/>
        </w:trPr>
        <w:tc>
          <w:tcPr>
            <w:cnfStyle w:val="001000000000" w:firstRow="0" w:lastRow="0" w:firstColumn="1" w:lastColumn="0" w:oddVBand="0" w:evenVBand="0" w:oddHBand="0" w:evenHBand="0" w:firstRowFirstColumn="0" w:firstRowLastColumn="0" w:lastRowFirstColumn="0" w:lastRowLastColumn="0"/>
            <w:tcW w:w="5310" w:type="dxa"/>
            <w:vAlign w:val="center"/>
            <w:hideMark/>
          </w:tcPr>
          <w:p w14:paraId="3F145D83" w14:textId="77777777" w:rsidR="00951674" w:rsidRPr="00205002" w:rsidRDefault="00951674" w:rsidP="00D12C43">
            <w:pPr>
              <w:jc w:val="both"/>
              <w:rPr>
                <w:rFonts w:ascii="Times New Roman" w:eastAsia="Times New Roman" w:hAnsi="Times New Roman" w:cs="Times New Roman"/>
                <w:sz w:val="20"/>
                <w:szCs w:val="20"/>
                <w:lang w:val="sq-AL"/>
              </w:rPr>
            </w:pPr>
            <w:r w:rsidRPr="00205002">
              <w:rPr>
                <w:rFonts w:ascii="Times New Roman" w:hAnsi="Times New Roman" w:cs="Times New Roman"/>
                <w:b w:val="0"/>
                <w:bCs w:val="0"/>
                <w:sz w:val="20"/>
                <w:szCs w:val="20"/>
                <w:lang w:val="sq-AL"/>
              </w:rPr>
              <w:t>Objektivi Specifik 2.2: Investimi në motivimin dhe mirëqenien e nëpunësve publikë, me synim rritjen e atraksionit dhe forcimin e pozitës së sektorit publik si punëmarrës i besueshëm, tërheqës dhe konkurrues në tregun e punës.</w:t>
            </w:r>
          </w:p>
        </w:tc>
        <w:tc>
          <w:tcPr>
            <w:tcW w:w="1283" w:type="dxa"/>
            <w:noWrap/>
            <w:vAlign w:val="center"/>
            <w:hideMark/>
          </w:tcPr>
          <w:p w14:paraId="0B543D50" w14:textId="77777777" w:rsidR="00951674" w:rsidRPr="00230FA8"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rPr>
            </w:pPr>
            <w:r w:rsidRPr="00230FA8">
              <w:rPr>
                <w:rFonts w:ascii="Times New Roman" w:hAnsi="Times New Roman" w:cs="Times New Roman"/>
                <w:bCs/>
                <w:color w:val="000000"/>
                <w:sz w:val="20"/>
                <w:szCs w:val="20"/>
              </w:rPr>
              <w:t>21,813,907</w:t>
            </w:r>
          </w:p>
        </w:tc>
        <w:tc>
          <w:tcPr>
            <w:tcW w:w="1176" w:type="dxa"/>
            <w:noWrap/>
            <w:vAlign w:val="center"/>
            <w:hideMark/>
          </w:tcPr>
          <w:p w14:paraId="39C0EDEB" w14:textId="77777777" w:rsidR="00951674" w:rsidRPr="00230FA8"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230FA8">
              <w:rPr>
                <w:rFonts w:ascii="Times New Roman" w:hAnsi="Times New Roman" w:cs="Times New Roman"/>
                <w:bCs/>
                <w:color w:val="000000"/>
                <w:sz w:val="20"/>
                <w:szCs w:val="20"/>
              </w:rPr>
              <w:t>16,733,907</w:t>
            </w:r>
          </w:p>
        </w:tc>
        <w:tc>
          <w:tcPr>
            <w:tcW w:w="1176" w:type="dxa"/>
            <w:noWrap/>
            <w:vAlign w:val="center"/>
            <w:hideMark/>
          </w:tcPr>
          <w:p w14:paraId="397431A1" w14:textId="77777777" w:rsidR="00951674" w:rsidRPr="00230FA8"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230FA8">
              <w:rPr>
                <w:rFonts w:ascii="Times New Roman" w:hAnsi="Times New Roman" w:cs="Times New Roman"/>
                <w:bCs/>
                <w:color w:val="000000"/>
                <w:sz w:val="20"/>
                <w:szCs w:val="20"/>
              </w:rPr>
              <w:t>5,080,000</w:t>
            </w:r>
          </w:p>
        </w:tc>
        <w:tc>
          <w:tcPr>
            <w:tcW w:w="1260" w:type="dxa"/>
            <w:gridSpan w:val="2"/>
            <w:noWrap/>
            <w:vAlign w:val="center"/>
            <w:hideMark/>
          </w:tcPr>
          <w:p w14:paraId="39A0BE7D" w14:textId="77777777" w:rsidR="00951674" w:rsidRPr="00230FA8"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30FA8">
              <w:rPr>
                <w:rFonts w:ascii="Times New Roman" w:hAnsi="Times New Roman" w:cs="Times New Roman"/>
                <w:bCs/>
                <w:sz w:val="20"/>
                <w:szCs w:val="20"/>
              </w:rPr>
              <w:t>0</w:t>
            </w:r>
          </w:p>
        </w:tc>
      </w:tr>
      <w:tr w:rsidR="00951674" w:rsidRPr="00205002" w14:paraId="3669BE5F" w14:textId="77777777" w:rsidTr="00D12C43">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5310" w:type="dxa"/>
            <w:vAlign w:val="center"/>
            <w:hideMark/>
          </w:tcPr>
          <w:p w14:paraId="4F7142BA" w14:textId="77777777" w:rsidR="00951674" w:rsidRPr="00205002" w:rsidRDefault="00951674" w:rsidP="00D12C43">
            <w:pPr>
              <w:jc w:val="both"/>
              <w:rPr>
                <w:rFonts w:ascii="Times New Roman" w:eastAsia="Times New Roman" w:hAnsi="Times New Roman" w:cs="Times New Roman"/>
                <w:sz w:val="20"/>
                <w:szCs w:val="20"/>
                <w:lang w:val="sq-AL"/>
              </w:rPr>
            </w:pPr>
            <w:r w:rsidRPr="00205002">
              <w:rPr>
                <w:rFonts w:ascii="Times New Roman" w:hAnsi="Times New Roman" w:cs="Times New Roman"/>
                <w:b w:val="0"/>
                <w:bCs w:val="0"/>
                <w:sz w:val="20"/>
                <w:szCs w:val="20"/>
                <w:lang w:val="sq-AL"/>
              </w:rPr>
              <w:lastRenderedPageBreak/>
              <w:t>Objektivi Specifik 2.3: Investimi në zhvillimin profesional të nëpunësve të të gjitha niveleve të administratës publike për të mbështetur dhe avancuar agjendën kombëtare të integrimit evropian të Shqipërisë.</w:t>
            </w:r>
          </w:p>
        </w:tc>
        <w:tc>
          <w:tcPr>
            <w:tcW w:w="1283" w:type="dxa"/>
            <w:vAlign w:val="center"/>
            <w:hideMark/>
          </w:tcPr>
          <w:p w14:paraId="4719C850" w14:textId="77777777" w:rsidR="00951674" w:rsidRPr="00230FA8"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rPr>
            </w:pPr>
            <w:r w:rsidRPr="00230FA8">
              <w:rPr>
                <w:rFonts w:ascii="Times New Roman" w:hAnsi="Times New Roman" w:cs="Times New Roman"/>
                <w:bCs/>
                <w:color w:val="000000"/>
                <w:sz w:val="20"/>
                <w:szCs w:val="20"/>
              </w:rPr>
              <w:t>9,150,558</w:t>
            </w:r>
          </w:p>
        </w:tc>
        <w:tc>
          <w:tcPr>
            <w:tcW w:w="1176" w:type="dxa"/>
            <w:vAlign w:val="center"/>
            <w:hideMark/>
          </w:tcPr>
          <w:p w14:paraId="432690BC" w14:textId="77777777" w:rsidR="00951674" w:rsidRPr="00230FA8"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230FA8">
              <w:rPr>
                <w:rFonts w:ascii="Times New Roman" w:hAnsi="Times New Roman" w:cs="Times New Roman"/>
                <w:bCs/>
                <w:color w:val="000000"/>
                <w:sz w:val="20"/>
                <w:szCs w:val="20"/>
              </w:rPr>
              <w:t>7,051,558</w:t>
            </w:r>
          </w:p>
        </w:tc>
        <w:tc>
          <w:tcPr>
            <w:tcW w:w="1176" w:type="dxa"/>
            <w:vAlign w:val="center"/>
            <w:hideMark/>
          </w:tcPr>
          <w:p w14:paraId="398B56D0" w14:textId="77777777" w:rsidR="00951674" w:rsidRPr="00230FA8"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230FA8">
              <w:rPr>
                <w:rFonts w:ascii="Times New Roman" w:hAnsi="Times New Roman" w:cs="Times New Roman"/>
                <w:bCs/>
                <w:color w:val="000000"/>
                <w:sz w:val="20"/>
                <w:szCs w:val="20"/>
              </w:rPr>
              <w:t>0</w:t>
            </w:r>
          </w:p>
        </w:tc>
        <w:tc>
          <w:tcPr>
            <w:tcW w:w="1260" w:type="dxa"/>
            <w:gridSpan w:val="2"/>
            <w:vAlign w:val="center"/>
            <w:hideMark/>
          </w:tcPr>
          <w:p w14:paraId="318E2D39" w14:textId="77777777" w:rsidR="00951674" w:rsidRPr="00230FA8"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30FA8">
              <w:rPr>
                <w:rFonts w:ascii="Times New Roman" w:hAnsi="Times New Roman" w:cs="Times New Roman"/>
                <w:bCs/>
                <w:sz w:val="20"/>
                <w:szCs w:val="20"/>
              </w:rPr>
              <w:t>-2,099,000</w:t>
            </w:r>
          </w:p>
        </w:tc>
      </w:tr>
      <w:tr w:rsidR="00951674" w:rsidRPr="00205002" w14:paraId="39CE4C6F" w14:textId="77777777" w:rsidTr="00D12C43">
        <w:trPr>
          <w:trHeight w:val="1070"/>
        </w:trPr>
        <w:tc>
          <w:tcPr>
            <w:cnfStyle w:val="001000000000" w:firstRow="0" w:lastRow="0" w:firstColumn="1" w:lastColumn="0" w:oddVBand="0" w:evenVBand="0" w:oddHBand="0" w:evenHBand="0" w:firstRowFirstColumn="0" w:firstRowLastColumn="0" w:lastRowFirstColumn="0" w:lastRowLastColumn="0"/>
            <w:tcW w:w="5310" w:type="dxa"/>
            <w:vAlign w:val="center"/>
          </w:tcPr>
          <w:p w14:paraId="11B9141D" w14:textId="77777777" w:rsidR="00951674" w:rsidRPr="00205002" w:rsidRDefault="00951674" w:rsidP="00D12C43">
            <w:pPr>
              <w:jc w:val="both"/>
              <w:rPr>
                <w:rFonts w:ascii="Times New Roman" w:eastAsia="Times New Roman" w:hAnsi="Times New Roman" w:cs="Times New Roman"/>
                <w:sz w:val="20"/>
                <w:szCs w:val="20"/>
                <w:lang w:val="sq-AL"/>
              </w:rPr>
            </w:pPr>
            <w:r w:rsidRPr="00205002">
              <w:rPr>
                <w:rFonts w:ascii="Times New Roman" w:hAnsi="Times New Roman" w:cs="Times New Roman"/>
                <w:b w:val="0"/>
                <w:bCs w:val="0"/>
                <w:sz w:val="20"/>
                <w:szCs w:val="20"/>
                <w:lang w:val="sq-AL"/>
              </w:rPr>
              <w:t>Objektivi Specifik 2.4: Procedurat e Menaxhimit të Burimeve Njerëzore facilitohen nga sistemet e gjenerimit të të dhënave të sakta dhe përdorimi i plotë i teknologjisë për thjeshtimin e proceseve të punës në fushën e MBNJ.</w:t>
            </w:r>
          </w:p>
        </w:tc>
        <w:tc>
          <w:tcPr>
            <w:tcW w:w="1283" w:type="dxa"/>
            <w:vAlign w:val="center"/>
          </w:tcPr>
          <w:p w14:paraId="04454899" w14:textId="77777777" w:rsidR="00951674" w:rsidRPr="00230FA8"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rPr>
            </w:pPr>
            <w:r w:rsidRPr="00230FA8">
              <w:rPr>
                <w:rFonts w:ascii="Times New Roman" w:hAnsi="Times New Roman" w:cs="Times New Roman"/>
                <w:bCs/>
                <w:color w:val="000000"/>
                <w:sz w:val="20"/>
                <w:szCs w:val="20"/>
              </w:rPr>
              <w:t>81,026,326</w:t>
            </w:r>
          </w:p>
        </w:tc>
        <w:tc>
          <w:tcPr>
            <w:tcW w:w="1176" w:type="dxa"/>
            <w:vAlign w:val="center"/>
          </w:tcPr>
          <w:p w14:paraId="70FEC190" w14:textId="77777777" w:rsidR="00951674" w:rsidRPr="00230FA8"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230FA8">
              <w:rPr>
                <w:rFonts w:ascii="Times New Roman" w:hAnsi="Times New Roman" w:cs="Times New Roman"/>
                <w:bCs/>
                <w:color w:val="000000"/>
                <w:sz w:val="20"/>
                <w:szCs w:val="20"/>
              </w:rPr>
              <w:t>65,250,000</w:t>
            </w:r>
          </w:p>
        </w:tc>
        <w:tc>
          <w:tcPr>
            <w:tcW w:w="1176" w:type="dxa"/>
            <w:vAlign w:val="center"/>
          </w:tcPr>
          <w:p w14:paraId="7854A30D" w14:textId="77777777" w:rsidR="00951674" w:rsidRPr="00230FA8"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230FA8">
              <w:rPr>
                <w:rFonts w:ascii="Times New Roman" w:hAnsi="Times New Roman" w:cs="Times New Roman"/>
                <w:bCs/>
                <w:color w:val="000000"/>
                <w:sz w:val="20"/>
                <w:szCs w:val="20"/>
              </w:rPr>
              <w:t>4,610,000</w:t>
            </w:r>
          </w:p>
        </w:tc>
        <w:tc>
          <w:tcPr>
            <w:tcW w:w="1260" w:type="dxa"/>
            <w:gridSpan w:val="2"/>
            <w:vAlign w:val="center"/>
          </w:tcPr>
          <w:p w14:paraId="62001FBC" w14:textId="77777777" w:rsidR="00951674" w:rsidRPr="00230FA8"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230FA8">
              <w:rPr>
                <w:rFonts w:ascii="Times New Roman" w:hAnsi="Times New Roman" w:cs="Times New Roman"/>
                <w:bCs/>
                <w:sz w:val="20"/>
                <w:szCs w:val="20"/>
              </w:rPr>
              <w:t>-11,166,326</w:t>
            </w:r>
          </w:p>
        </w:tc>
      </w:tr>
    </w:tbl>
    <w:p w14:paraId="3A570FB2" w14:textId="77777777" w:rsidR="00951674" w:rsidRDefault="00951674" w:rsidP="00951674">
      <w:pPr>
        <w:pStyle w:val="NoSpacing"/>
        <w:spacing w:line="276" w:lineRule="auto"/>
        <w:jc w:val="both"/>
        <w:rPr>
          <w:rFonts w:ascii="Times New Roman" w:eastAsia="Arial" w:hAnsi="Times New Roman"/>
          <w:sz w:val="24"/>
          <w:szCs w:val="28"/>
          <w:lang w:val="sq-AL"/>
        </w:rPr>
      </w:pPr>
    </w:p>
    <w:p w14:paraId="1D4ECA35" w14:textId="02B4A327" w:rsidR="00951674" w:rsidRPr="00205002" w:rsidRDefault="00951674" w:rsidP="00971395">
      <w:pPr>
        <w:pStyle w:val="NoSpacing"/>
        <w:spacing w:after="240" w:line="276" w:lineRule="auto"/>
        <w:jc w:val="both"/>
        <w:rPr>
          <w:rFonts w:ascii="Times New Roman" w:eastAsia="Arial" w:hAnsi="Times New Roman"/>
          <w:sz w:val="24"/>
          <w:szCs w:val="28"/>
          <w:lang w:val="sq-AL"/>
        </w:rPr>
      </w:pPr>
      <w:r w:rsidRPr="00205002">
        <w:rPr>
          <w:rFonts w:ascii="Times New Roman" w:eastAsia="Arial" w:hAnsi="Times New Roman"/>
          <w:sz w:val="24"/>
          <w:szCs w:val="28"/>
          <w:lang w:val="sq-AL"/>
        </w:rPr>
        <w:t xml:space="preserve">Për këtë </w:t>
      </w:r>
      <w:r w:rsidR="00B860EB">
        <w:rPr>
          <w:rFonts w:ascii="Times New Roman" w:eastAsia="Arial" w:hAnsi="Times New Roman"/>
          <w:sz w:val="24"/>
          <w:szCs w:val="28"/>
          <w:lang w:val="sq-AL"/>
        </w:rPr>
        <w:t>Q</w:t>
      </w:r>
      <w:r w:rsidRPr="00205002">
        <w:rPr>
          <w:rFonts w:ascii="Times New Roman" w:eastAsia="Arial" w:hAnsi="Times New Roman"/>
          <w:sz w:val="24"/>
          <w:szCs w:val="28"/>
          <w:lang w:val="sq-AL"/>
        </w:rPr>
        <w:t xml:space="preserve">ëllim të </w:t>
      </w:r>
      <w:r w:rsidR="00B860EB">
        <w:rPr>
          <w:rFonts w:ascii="Times New Roman" w:eastAsia="Arial" w:hAnsi="Times New Roman"/>
          <w:sz w:val="24"/>
          <w:szCs w:val="28"/>
          <w:lang w:val="sq-AL"/>
        </w:rPr>
        <w:t>P</w:t>
      </w:r>
      <w:r w:rsidRPr="00205002">
        <w:rPr>
          <w:rFonts w:ascii="Times New Roman" w:eastAsia="Arial" w:hAnsi="Times New Roman"/>
          <w:sz w:val="24"/>
          <w:szCs w:val="28"/>
          <w:lang w:val="sq-AL"/>
        </w:rPr>
        <w:t xml:space="preserve">olitikës, </w:t>
      </w:r>
      <w:r w:rsidR="00B860EB">
        <w:rPr>
          <w:rFonts w:ascii="Times New Roman" w:eastAsia="Arial" w:hAnsi="Times New Roman"/>
          <w:sz w:val="24"/>
          <w:szCs w:val="28"/>
          <w:lang w:val="sq-AL"/>
        </w:rPr>
        <w:t>O</w:t>
      </w:r>
      <w:r>
        <w:rPr>
          <w:rFonts w:ascii="Times New Roman" w:eastAsia="Arial" w:hAnsi="Times New Roman"/>
          <w:sz w:val="24"/>
          <w:szCs w:val="28"/>
          <w:lang w:val="sq-AL"/>
        </w:rPr>
        <w:t xml:space="preserve">bjektivi </w:t>
      </w:r>
      <w:r w:rsidR="00B860EB">
        <w:rPr>
          <w:rFonts w:ascii="Times New Roman" w:eastAsia="Arial" w:hAnsi="Times New Roman"/>
          <w:sz w:val="24"/>
          <w:szCs w:val="28"/>
          <w:lang w:val="sq-AL"/>
        </w:rPr>
        <w:t>S</w:t>
      </w:r>
      <w:r>
        <w:rPr>
          <w:rFonts w:ascii="Times New Roman" w:eastAsia="Arial" w:hAnsi="Times New Roman"/>
          <w:sz w:val="24"/>
          <w:szCs w:val="28"/>
          <w:lang w:val="sq-AL"/>
        </w:rPr>
        <w:t xml:space="preserve">pecifik 2 nuk ka hendek financiar, ndërsa </w:t>
      </w:r>
      <w:r w:rsidRPr="00205002">
        <w:rPr>
          <w:rFonts w:ascii="Times New Roman" w:eastAsia="Arial" w:hAnsi="Times New Roman"/>
          <w:sz w:val="24"/>
          <w:szCs w:val="28"/>
          <w:lang w:val="sq-AL"/>
        </w:rPr>
        <w:t xml:space="preserve">të gjithë objektivat specifikë </w:t>
      </w:r>
      <w:r>
        <w:rPr>
          <w:rFonts w:ascii="Times New Roman" w:eastAsia="Arial" w:hAnsi="Times New Roman"/>
          <w:sz w:val="24"/>
          <w:szCs w:val="28"/>
          <w:lang w:val="sq-AL"/>
        </w:rPr>
        <w:t xml:space="preserve">të tjerë </w:t>
      </w:r>
      <w:r w:rsidRPr="00205002">
        <w:rPr>
          <w:rFonts w:ascii="Times New Roman" w:eastAsia="Arial" w:hAnsi="Times New Roman"/>
          <w:sz w:val="24"/>
          <w:szCs w:val="28"/>
          <w:lang w:val="sq-AL"/>
        </w:rPr>
        <w:t xml:space="preserve">rezultojnë me hendek financiar ku vlerën më të madhe është ajo e </w:t>
      </w:r>
      <w:r w:rsidR="00B860EB">
        <w:rPr>
          <w:rFonts w:ascii="Times New Roman" w:eastAsia="Arial" w:hAnsi="Times New Roman"/>
          <w:sz w:val="24"/>
          <w:szCs w:val="28"/>
          <w:lang w:val="sq-AL"/>
        </w:rPr>
        <w:t>O</w:t>
      </w:r>
      <w:r w:rsidRPr="00205002">
        <w:rPr>
          <w:rFonts w:ascii="Times New Roman" w:eastAsia="Arial" w:hAnsi="Times New Roman"/>
          <w:sz w:val="24"/>
          <w:szCs w:val="28"/>
          <w:lang w:val="sq-AL"/>
        </w:rPr>
        <w:t xml:space="preserve">bjektivit </w:t>
      </w:r>
      <w:r w:rsidR="00B860EB">
        <w:rPr>
          <w:rFonts w:ascii="Times New Roman" w:eastAsia="Arial" w:hAnsi="Times New Roman"/>
          <w:sz w:val="24"/>
          <w:szCs w:val="28"/>
          <w:lang w:val="sq-AL"/>
        </w:rPr>
        <w:t>S</w:t>
      </w:r>
      <w:r w:rsidRPr="00205002">
        <w:rPr>
          <w:rFonts w:ascii="Times New Roman" w:eastAsia="Arial" w:hAnsi="Times New Roman"/>
          <w:sz w:val="24"/>
          <w:szCs w:val="28"/>
          <w:lang w:val="sq-AL"/>
        </w:rPr>
        <w:t xml:space="preserve">pecifik 4 me </w:t>
      </w:r>
      <w:r>
        <w:rPr>
          <w:rFonts w:ascii="Times New Roman" w:eastAsia="Arial" w:hAnsi="Times New Roman"/>
          <w:sz w:val="24"/>
          <w:szCs w:val="28"/>
          <w:lang w:val="sq-AL"/>
        </w:rPr>
        <w:t>11.2</w:t>
      </w:r>
      <w:r w:rsidRPr="00205002">
        <w:rPr>
          <w:rFonts w:ascii="Times New Roman" w:eastAsia="Arial" w:hAnsi="Times New Roman"/>
          <w:sz w:val="24"/>
          <w:szCs w:val="28"/>
          <w:lang w:val="sq-AL"/>
        </w:rPr>
        <w:t xml:space="preserve"> milion lekë. Ndërkohë</w:t>
      </w:r>
      <w:r w:rsidR="00B860EB">
        <w:rPr>
          <w:rFonts w:ascii="Times New Roman" w:eastAsia="Arial" w:hAnsi="Times New Roman"/>
          <w:sz w:val="24"/>
          <w:szCs w:val="28"/>
          <w:lang w:val="sq-AL"/>
        </w:rPr>
        <w:t>,</w:t>
      </w:r>
      <w:r w:rsidRPr="00205002">
        <w:rPr>
          <w:rFonts w:ascii="Times New Roman" w:eastAsia="Arial" w:hAnsi="Times New Roman"/>
          <w:sz w:val="24"/>
          <w:szCs w:val="28"/>
          <w:lang w:val="sq-AL"/>
        </w:rPr>
        <w:t xml:space="preserve"> </w:t>
      </w:r>
      <w:r w:rsidR="00B860EB">
        <w:rPr>
          <w:rFonts w:ascii="Times New Roman" w:eastAsia="Arial" w:hAnsi="Times New Roman"/>
          <w:sz w:val="24"/>
          <w:szCs w:val="28"/>
          <w:lang w:val="sq-AL"/>
        </w:rPr>
        <w:t>O</w:t>
      </w:r>
      <w:r w:rsidRPr="00205002">
        <w:rPr>
          <w:rFonts w:ascii="Times New Roman" w:eastAsia="Arial" w:hAnsi="Times New Roman"/>
          <w:sz w:val="24"/>
          <w:szCs w:val="28"/>
          <w:lang w:val="sq-AL"/>
        </w:rPr>
        <w:t xml:space="preserve">bjektivi </w:t>
      </w:r>
      <w:r w:rsidR="00B860EB">
        <w:rPr>
          <w:rFonts w:ascii="Times New Roman" w:eastAsia="Arial" w:hAnsi="Times New Roman"/>
          <w:sz w:val="24"/>
          <w:szCs w:val="28"/>
          <w:lang w:val="sq-AL"/>
        </w:rPr>
        <w:t>S</w:t>
      </w:r>
      <w:r w:rsidRPr="00205002">
        <w:rPr>
          <w:rFonts w:ascii="Times New Roman" w:eastAsia="Arial" w:hAnsi="Times New Roman"/>
          <w:sz w:val="24"/>
          <w:szCs w:val="28"/>
          <w:lang w:val="sq-AL"/>
        </w:rPr>
        <w:t>pecifik 3 nuk ka të parashikuar mbështetje nga donatorët.</w:t>
      </w:r>
    </w:p>
    <w:p w14:paraId="72B01D81" w14:textId="564E0756" w:rsidR="00951674" w:rsidRDefault="00951674" w:rsidP="00971395">
      <w:pPr>
        <w:pStyle w:val="NoSpacing"/>
        <w:spacing w:line="276" w:lineRule="auto"/>
        <w:jc w:val="both"/>
        <w:rPr>
          <w:rFonts w:ascii="Times New Roman" w:eastAsia="Arial" w:hAnsi="Times New Roman"/>
          <w:sz w:val="24"/>
          <w:szCs w:val="28"/>
          <w:lang w:val="sq-AL"/>
        </w:rPr>
      </w:pPr>
      <w:r w:rsidRPr="00205002">
        <w:rPr>
          <w:rFonts w:ascii="Times New Roman" w:eastAsia="Arial" w:hAnsi="Times New Roman"/>
          <w:sz w:val="24"/>
          <w:szCs w:val="28"/>
          <w:lang w:val="sq-AL"/>
        </w:rPr>
        <w:t xml:space="preserve">Tek </w:t>
      </w:r>
      <w:r w:rsidR="00906DE7">
        <w:rPr>
          <w:rFonts w:ascii="Times New Roman" w:eastAsia="Arial" w:hAnsi="Times New Roman"/>
          <w:sz w:val="24"/>
          <w:szCs w:val="28"/>
          <w:lang w:val="sq-AL"/>
        </w:rPr>
        <w:t>Q</w:t>
      </w:r>
      <w:r w:rsidRPr="00205002">
        <w:rPr>
          <w:rFonts w:ascii="Times New Roman" w:eastAsia="Arial" w:hAnsi="Times New Roman"/>
          <w:sz w:val="24"/>
          <w:szCs w:val="28"/>
          <w:lang w:val="sq-AL"/>
        </w:rPr>
        <w:t>ëllimi i tretë</w:t>
      </w:r>
      <w:r w:rsidR="00906DE7">
        <w:rPr>
          <w:rFonts w:ascii="Times New Roman" w:eastAsia="Arial" w:hAnsi="Times New Roman"/>
          <w:sz w:val="24"/>
          <w:szCs w:val="28"/>
          <w:lang w:val="sq-AL"/>
        </w:rPr>
        <w:t xml:space="preserve"> i Politikë</w:t>
      </w:r>
      <w:r w:rsidR="0053064B">
        <w:rPr>
          <w:rFonts w:ascii="Times New Roman" w:eastAsia="Arial" w:hAnsi="Times New Roman"/>
          <w:sz w:val="24"/>
          <w:szCs w:val="28"/>
          <w:lang w:val="sq-AL"/>
        </w:rPr>
        <w:t>s</w:t>
      </w:r>
      <w:r w:rsidRPr="00205002">
        <w:rPr>
          <w:rFonts w:ascii="Times New Roman" w:eastAsia="Arial" w:hAnsi="Times New Roman"/>
          <w:sz w:val="24"/>
          <w:szCs w:val="28"/>
          <w:lang w:val="sq-AL"/>
        </w:rPr>
        <w:t xml:space="preserve"> që lidhet me digjitalizimin ka një kontribut të rëndësishëm të donatorëve në të dy objektivat specifikë të këtij </w:t>
      </w:r>
      <w:r w:rsidR="00747D03">
        <w:rPr>
          <w:rFonts w:ascii="Times New Roman" w:eastAsia="Arial" w:hAnsi="Times New Roman"/>
          <w:sz w:val="24"/>
          <w:szCs w:val="28"/>
          <w:lang w:val="sq-AL"/>
        </w:rPr>
        <w:t>Q</w:t>
      </w:r>
      <w:r w:rsidRPr="00205002">
        <w:rPr>
          <w:rFonts w:ascii="Times New Roman" w:eastAsia="Arial" w:hAnsi="Times New Roman"/>
          <w:sz w:val="24"/>
          <w:szCs w:val="28"/>
          <w:lang w:val="sq-AL"/>
        </w:rPr>
        <w:t>ëllimi.</w:t>
      </w:r>
    </w:p>
    <w:p w14:paraId="1F78BE02" w14:textId="77777777" w:rsidR="00971395" w:rsidRPr="00FC083E" w:rsidRDefault="00971395" w:rsidP="00971395">
      <w:pPr>
        <w:pStyle w:val="NoSpacing"/>
        <w:spacing w:line="276" w:lineRule="auto"/>
        <w:jc w:val="both"/>
        <w:rPr>
          <w:rFonts w:ascii="Times New Roman" w:eastAsia="Arial" w:hAnsi="Times New Roman"/>
          <w:sz w:val="24"/>
          <w:szCs w:val="28"/>
          <w:lang w:val="sq-AL"/>
        </w:rPr>
      </w:pPr>
    </w:p>
    <w:p w14:paraId="6968DE4A" w14:textId="77777777" w:rsidR="00951674" w:rsidRPr="003C387F" w:rsidRDefault="00951674" w:rsidP="00951674">
      <w:pPr>
        <w:pStyle w:val="NoSpacing"/>
        <w:spacing w:line="276" w:lineRule="auto"/>
        <w:jc w:val="both"/>
        <w:rPr>
          <w:rFonts w:ascii="Times New Roman" w:eastAsia="Arial" w:hAnsi="Times New Roman"/>
          <w:i/>
          <w:iCs/>
          <w:szCs w:val="24"/>
          <w:lang w:val="sq-AL"/>
        </w:rPr>
      </w:pPr>
      <w:r w:rsidRPr="003C387F">
        <w:rPr>
          <w:rFonts w:ascii="Times New Roman" w:eastAsia="Arial" w:hAnsi="Times New Roman"/>
          <w:i/>
          <w:iCs/>
          <w:szCs w:val="24"/>
          <w:lang w:val="sq-AL"/>
        </w:rPr>
        <w:t xml:space="preserve">Tabela </w:t>
      </w:r>
      <w:r>
        <w:rPr>
          <w:rFonts w:ascii="Times New Roman" w:eastAsia="Arial" w:hAnsi="Times New Roman"/>
          <w:i/>
          <w:iCs/>
          <w:szCs w:val="24"/>
          <w:lang w:val="sq-AL"/>
        </w:rPr>
        <w:t>4</w:t>
      </w:r>
      <w:r w:rsidRPr="003C387F">
        <w:rPr>
          <w:rFonts w:ascii="Times New Roman" w:eastAsia="Arial" w:hAnsi="Times New Roman"/>
          <w:i/>
          <w:iCs/>
          <w:szCs w:val="24"/>
          <w:lang w:val="sq-AL"/>
        </w:rPr>
        <w:t>: Përbërja e kostos totale për qëllimin e tretë të politikës bazuar te burimi i financimit (në lekë)</w:t>
      </w:r>
    </w:p>
    <w:p w14:paraId="7724A39B" w14:textId="77777777" w:rsidR="00951674" w:rsidRPr="00FC083E" w:rsidRDefault="00951674" w:rsidP="00951674">
      <w:pPr>
        <w:pStyle w:val="NoSpacing"/>
        <w:spacing w:line="276" w:lineRule="auto"/>
        <w:jc w:val="both"/>
        <w:rPr>
          <w:rFonts w:ascii="Times New Roman" w:eastAsia="Arial" w:hAnsi="Times New Roman"/>
          <w:sz w:val="8"/>
          <w:szCs w:val="10"/>
          <w:lang w:val="sq-AL"/>
        </w:rPr>
      </w:pPr>
    </w:p>
    <w:tbl>
      <w:tblPr>
        <w:tblStyle w:val="ListTable3-Accent5"/>
        <w:tblW w:w="10629" w:type="dxa"/>
        <w:tblInd w:w="-365" w:type="dxa"/>
        <w:tblLook w:val="04A0" w:firstRow="1" w:lastRow="0" w:firstColumn="1" w:lastColumn="0" w:noHBand="0" w:noVBand="1"/>
      </w:tblPr>
      <w:tblGrid>
        <w:gridCol w:w="5040"/>
        <w:gridCol w:w="1443"/>
        <w:gridCol w:w="1443"/>
        <w:gridCol w:w="1443"/>
        <w:gridCol w:w="1235"/>
        <w:gridCol w:w="25"/>
      </w:tblGrid>
      <w:tr w:rsidR="00951674" w:rsidRPr="00A95FDA" w14:paraId="1EF6EE97" w14:textId="77777777" w:rsidTr="00D12C43">
        <w:trPr>
          <w:cnfStyle w:val="100000000000" w:firstRow="1" w:lastRow="0" w:firstColumn="0" w:lastColumn="0" w:oddVBand="0" w:evenVBand="0" w:oddHBand="0" w:evenHBand="0" w:firstRowFirstColumn="0" w:firstRowLastColumn="0" w:lastRowFirstColumn="0" w:lastRowLastColumn="0"/>
          <w:trHeight w:val="585"/>
        </w:trPr>
        <w:tc>
          <w:tcPr>
            <w:cnfStyle w:val="001000000100" w:firstRow="0" w:lastRow="0" w:firstColumn="1" w:lastColumn="0" w:oddVBand="0" w:evenVBand="0" w:oddHBand="0" w:evenHBand="0" w:firstRowFirstColumn="1" w:firstRowLastColumn="0" w:lastRowFirstColumn="0" w:lastRowLastColumn="0"/>
            <w:tcW w:w="5040" w:type="dxa"/>
            <w:vMerge w:val="restart"/>
            <w:hideMark/>
          </w:tcPr>
          <w:p w14:paraId="53A572A2" w14:textId="77777777" w:rsidR="00951674" w:rsidRPr="00A95FDA" w:rsidRDefault="00951674" w:rsidP="00D12C43">
            <w:pPr>
              <w:jc w:val="both"/>
              <w:rPr>
                <w:rFonts w:ascii="Times New Roman" w:eastAsia="Times New Roman" w:hAnsi="Times New Roman" w:cs="Times New Roman"/>
                <w:color w:val="000000"/>
                <w:sz w:val="20"/>
                <w:szCs w:val="20"/>
                <w:lang w:val="sq-AL"/>
              </w:rPr>
            </w:pPr>
          </w:p>
        </w:tc>
        <w:tc>
          <w:tcPr>
            <w:tcW w:w="1443" w:type="dxa"/>
            <w:vMerge w:val="restart"/>
            <w:hideMark/>
          </w:tcPr>
          <w:p w14:paraId="0D2B9E7A" w14:textId="77777777" w:rsidR="00951674" w:rsidRPr="00A95FDA" w:rsidRDefault="00951674" w:rsidP="00D12C4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sq-AL"/>
              </w:rPr>
            </w:pPr>
            <w:r w:rsidRPr="00A95FDA">
              <w:rPr>
                <w:rFonts w:ascii="Times New Roman" w:eastAsia="Times New Roman" w:hAnsi="Times New Roman" w:cs="Times New Roman"/>
                <w:color w:val="000000"/>
                <w:sz w:val="20"/>
                <w:szCs w:val="20"/>
                <w:lang w:val="sq-AL"/>
              </w:rPr>
              <w:t>Kosto totale</w:t>
            </w:r>
            <w:r w:rsidRPr="00A95FDA">
              <w:rPr>
                <w:rFonts w:ascii="Times New Roman" w:eastAsia="Times New Roman" w:hAnsi="Times New Roman" w:cs="Times New Roman"/>
                <w:color w:val="000000"/>
                <w:sz w:val="20"/>
                <w:szCs w:val="20"/>
                <w:lang w:val="sq-AL"/>
              </w:rPr>
              <w:br/>
              <w:t>(në lekë)</w:t>
            </w:r>
          </w:p>
        </w:tc>
        <w:tc>
          <w:tcPr>
            <w:tcW w:w="2886" w:type="dxa"/>
            <w:gridSpan w:val="2"/>
            <w:hideMark/>
          </w:tcPr>
          <w:p w14:paraId="5D6B57D4" w14:textId="77777777" w:rsidR="00951674" w:rsidRPr="00A95FDA" w:rsidRDefault="00951674" w:rsidP="00D12C4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A95FDA">
              <w:rPr>
                <w:rFonts w:ascii="Times New Roman" w:eastAsia="Times New Roman" w:hAnsi="Times New Roman" w:cs="Times New Roman"/>
                <w:sz w:val="20"/>
                <w:szCs w:val="20"/>
                <w:lang w:val="sq-AL"/>
              </w:rPr>
              <w:t>Burimi i mbulimit</w:t>
            </w:r>
            <w:r w:rsidRPr="00A95FDA">
              <w:rPr>
                <w:rFonts w:ascii="Times New Roman" w:eastAsia="Times New Roman" w:hAnsi="Times New Roman" w:cs="Times New Roman"/>
                <w:sz w:val="20"/>
                <w:szCs w:val="20"/>
                <w:lang w:val="sq-AL"/>
              </w:rPr>
              <w:br/>
              <w:t>2025-2027</w:t>
            </w:r>
          </w:p>
        </w:tc>
        <w:tc>
          <w:tcPr>
            <w:tcW w:w="1260" w:type="dxa"/>
            <w:gridSpan w:val="2"/>
            <w:vMerge w:val="restart"/>
            <w:hideMark/>
          </w:tcPr>
          <w:p w14:paraId="7A1551FA" w14:textId="77777777" w:rsidR="00951674" w:rsidRPr="00A95FDA" w:rsidRDefault="00951674" w:rsidP="00D12C4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A95FDA">
              <w:rPr>
                <w:rFonts w:ascii="Times New Roman" w:eastAsia="Times New Roman" w:hAnsi="Times New Roman" w:cs="Times New Roman"/>
                <w:sz w:val="20"/>
                <w:szCs w:val="20"/>
                <w:lang w:val="sq-AL"/>
              </w:rPr>
              <w:t xml:space="preserve">Hendeku financiar </w:t>
            </w:r>
          </w:p>
        </w:tc>
      </w:tr>
      <w:tr w:rsidR="00951674" w:rsidRPr="00A95FDA" w14:paraId="1330FF32" w14:textId="77777777" w:rsidTr="00D12C43">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040" w:type="dxa"/>
            <w:vMerge/>
            <w:hideMark/>
          </w:tcPr>
          <w:p w14:paraId="022BD99F" w14:textId="77777777" w:rsidR="00951674" w:rsidRPr="00A95FDA" w:rsidRDefault="00951674" w:rsidP="00D12C43">
            <w:pPr>
              <w:jc w:val="both"/>
              <w:rPr>
                <w:rFonts w:ascii="Times New Roman" w:eastAsia="Times New Roman" w:hAnsi="Times New Roman" w:cs="Times New Roman"/>
                <w:color w:val="000000"/>
                <w:sz w:val="20"/>
                <w:szCs w:val="20"/>
                <w:lang w:val="sq-AL"/>
              </w:rPr>
            </w:pPr>
          </w:p>
        </w:tc>
        <w:tc>
          <w:tcPr>
            <w:tcW w:w="1443" w:type="dxa"/>
            <w:vMerge/>
            <w:hideMark/>
          </w:tcPr>
          <w:p w14:paraId="6748562B" w14:textId="77777777" w:rsidR="00951674" w:rsidRPr="00A95FDA"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q-AL"/>
              </w:rPr>
            </w:pPr>
          </w:p>
        </w:tc>
        <w:tc>
          <w:tcPr>
            <w:tcW w:w="1443" w:type="dxa"/>
            <w:noWrap/>
            <w:hideMark/>
          </w:tcPr>
          <w:p w14:paraId="5D1E8C4F" w14:textId="77777777" w:rsidR="00951674" w:rsidRPr="00A95FDA"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q-AL"/>
              </w:rPr>
            </w:pPr>
            <w:r w:rsidRPr="00A95FDA">
              <w:rPr>
                <w:rFonts w:ascii="Times New Roman" w:eastAsia="Times New Roman" w:hAnsi="Times New Roman" w:cs="Times New Roman"/>
                <w:b/>
                <w:bCs/>
                <w:color w:val="000000"/>
                <w:sz w:val="20"/>
                <w:szCs w:val="20"/>
                <w:lang w:val="sq-AL"/>
              </w:rPr>
              <w:t xml:space="preserve">Buxhet shteti </w:t>
            </w:r>
          </w:p>
        </w:tc>
        <w:tc>
          <w:tcPr>
            <w:tcW w:w="1443" w:type="dxa"/>
            <w:noWrap/>
            <w:hideMark/>
          </w:tcPr>
          <w:p w14:paraId="77F997A0" w14:textId="77777777" w:rsidR="00951674" w:rsidRPr="00A95FDA"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q-AL"/>
              </w:rPr>
            </w:pPr>
            <w:r w:rsidRPr="00A95FDA">
              <w:rPr>
                <w:rFonts w:ascii="Times New Roman" w:eastAsia="Times New Roman" w:hAnsi="Times New Roman" w:cs="Times New Roman"/>
                <w:b/>
                <w:bCs/>
                <w:color w:val="000000"/>
                <w:sz w:val="20"/>
                <w:szCs w:val="20"/>
                <w:lang w:val="sq-AL"/>
              </w:rPr>
              <w:t xml:space="preserve">Financim i huaj </w:t>
            </w:r>
          </w:p>
        </w:tc>
        <w:tc>
          <w:tcPr>
            <w:tcW w:w="1260" w:type="dxa"/>
            <w:gridSpan w:val="2"/>
            <w:vMerge/>
            <w:hideMark/>
          </w:tcPr>
          <w:p w14:paraId="3D3AC8AA" w14:textId="77777777" w:rsidR="00951674" w:rsidRPr="00A95FDA"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sq-AL"/>
              </w:rPr>
            </w:pPr>
          </w:p>
        </w:tc>
      </w:tr>
      <w:tr w:rsidR="00951674" w:rsidRPr="00D01309" w14:paraId="0E68F19B" w14:textId="77777777" w:rsidTr="00D12C43">
        <w:trPr>
          <w:gridAfter w:val="1"/>
          <w:wAfter w:w="25" w:type="dxa"/>
          <w:trHeight w:val="449"/>
        </w:trPr>
        <w:tc>
          <w:tcPr>
            <w:cnfStyle w:val="001000000000" w:firstRow="0" w:lastRow="0" w:firstColumn="1" w:lastColumn="0" w:oddVBand="0" w:evenVBand="0" w:oddHBand="0" w:evenHBand="0" w:firstRowFirstColumn="0" w:firstRowLastColumn="0" w:lastRowFirstColumn="0" w:lastRowLastColumn="0"/>
            <w:tcW w:w="5040" w:type="dxa"/>
            <w:noWrap/>
            <w:hideMark/>
          </w:tcPr>
          <w:p w14:paraId="59BAE80C" w14:textId="77777777" w:rsidR="00951674" w:rsidRPr="00A95FDA" w:rsidRDefault="00951674" w:rsidP="00D12C43">
            <w:pPr>
              <w:jc w:val="both"/>
              <w:rPr>
                <w:rFonts w:ascii="Times New Roman" w:eastAsia="Times New Roman" w:hAnsi="Times New Roman" w:cs="Times New Roman"/>
                <w:color w:val="000000"/>
                <w:sz w:val="20"/>
                <w:szCs w:val="20"/>
                <w:lang w:val="sq-AL"/>
              </w:rPr>
            </w:pPr>
            <w:r w:rsidRPr="00A95FDA">
              <w:rPr>
                <w:rFonts w:ascii="Times New Roman" w:eastAsia="Times New Roman" w:hAnsi="Times New Roman" w:cs="Times New Roman"/>
                <w:color w:val="000000"/>
                <w:sz w:val="20"/>
                <w:szCs w:val="20"/>
                <w:lang w:val="sq-AL"/>
              </w:rPr>
              <w:t>Kosto totale e Qëllimit të Politikës 3</w:t>
            </w:r>
          </w:p>
        </w:tc>
        <w:tc>
          <w:tcPr>
            <w:tcW w:w="1443" w:type="dxa"/>
            <w:vAlign w:val="center"/>
            <w:hideMark/>
          </w:tcPr>
          <w:p w14:paraId="7264E7C0" w14:textId="77777777" w:rsidR="00951674" w:rsidRPr="001E1CAE"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1E1CAE">
              <w:rPr>
                <w:rFonts w:ascii="Times New Roman" w:hAnsi="Times New Roman" w:cs="Times New Roman"/>
                <w:b/>
                <w:bCs/>
                <w:sz w:val="20"/>
                <w:szCs w:val="20"/>
              </w:rPr>
              <w:t>7,376,197,512</w:t>
            </w:r>
          </w:p>
        </w:tc>
        <w:tc>
          <w:tcPr>
            <w:tcW w:w="1443" w:type="dxa"/>
            <w:vAlign w:val="center"/>
            <w:hideMark/>
          </w:tcPr>
          <w:p w14:paraId="241BB753" w14:textId="77777777" w:rsidR="00951674" w:rsidRPr="001E1CAE"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1E1CAE">
              <w:rPr>
                <w:rFonts w:ascii="Times New Roman" w:hAnsi="Times New Roman" w:cs="Times New Roman"/>
                <w:b/>
                <w:bCs/>
                <w:sz w:val="20"/>
                <w:szCs w:val="20"/>
              </w:rPr>
              <w:t>3,753,404,049</w:t>
            </w:r>
          </w:p>
        </w:tc>
        <w:tc>
          <w:tcPr>
            <w:tcW w:w="1443" w:type="dxa"/>
            <w:vAlign w:val="center"/>
            <w:hideMark/>
          </w:tcPr>
          <w:p w14:paraId="5654A752" w14:textId="77777777" w:rsidR="00951674" w:rsidRPr="001E1CAE"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1E1CAE">
              <w:rPr>
                <w:rFonts w:ascii="Times New Roman" w:hAnsi="Times New Roman" w:cs="Times New Roman"/>
                <w:b/>
                <w:bCs/>
                <w:sz w:val="20"/>
                <w:szCs w:val="20"/>
              </w:rPr>
              <w:t>3,622,793,463</w:t>
            </w:r>
          </w:p>
        </w:tc>
        <w:tc>
          <w:tcPr>
            <w:tcW w:w="1235" w:type="dxa"/>
            <w:vAlign w:val="center"/>
            <w:hideMark/>
          </w:tcPr>
          <w:p w14:paraId="08A3C929" w14:textId="77777777" w:rsidR="00951674" w:rsidRPr="00D01309"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01309">
              <w:rPr>
                <w:rFonts w:ascii="Times New Roman" w:hAnsi="Times New Roman" w:cs="Times New Roman"/>
                <w:b/>
                <w:bCs/>
                <w:sz w:val="20"/>
                <w:szCs w:val="20"/>
              </w:rPr>
              <w:t>0</w:t>
            </w:r>
          </w:p>
        </w:tc>
      </w:tr>
      <w:tr w:rsidR="00951674" w:rsidRPr="00A95FDA" w14:paraId="517D902B" w14:textId="77777777" w:rsidTr="00D12C43">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5040" w:type="dxa"/>
            <w:vAlign w:val="center"/>
            <w:hideMark/>
          </w:tcPr>
          <w:p w14:paraId="6B097443" w14:textId="77777777" w:rsidR="00951674" w:rsidRPr="00A95FDA" w:rsidRDefault="00951674" w:rsidP="00D12C43">
            <w:pPr>
              <w:jc w:val="both"/>
              <w:rPr>
                <w:rFonts w:ascii="Times New Roman" w:eastAsia="Times New Roman" w:hAnsi="Times New Roman" w:cs="Times New Roman"/>
                <w:sz w:val="20"/>
                <w:szCs w:val="20"/>
                <w:lang w:val="sq-AL"/>
              </w:rPr>
            </w:pPr>
            <w:r w:rsidRPr="00A95FDA">
              <w:rPr>
                <w:rFonts w:ascii="Times New Roman" w:hAnsi="Times New Roman" w:cs="Times New Roman"/>
                <w:b w:val="0"/>
                <w:bCs w:val="0"/>
                <w:sz w:val="20"/>
                <w:szCs w:val="20"/>
                <w:lang w:val="sq-AL"/>
              </w:rPr>
              <w:t>Objektivi Specifik 3.1: Ri-inxhinierimi dhe optimizimi i shërbimeve publike elektronike, duke rritur aksesin për qytetarët dhe bizneset, si dhe efikasitetin përmes teknologjisë së avancuar dhe thjeshtimit të proceseve me fokus te përdoruesi.</w:t>
            </w:r>
          </w:p>
        </w:tc>
        <w:tc>
          <w:tcPr>
            <w:tcW w:w="1443" w:type="dxa"/>
            <w:noWrap/>
            <w:vAlign w:val="center"/>
            <w:hideMark/>
          </w:tcPr>
          <w:p w14:paraId="64BE2DF1" w14:textId="77777777" w:rsidR="00951674" w:rsidRPr="00D01309"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rPr>
            </w:pPr>
            <w:r w:rsidRPr="00D01309">
              <w:rPr>
                <w:rFonts w:ascii="Times New Roman" w:hAnsi="Times New Roman" w:cs="Times New Roman"/>
                <w:bCs/>
                <w:color w:val="000000"/>
                <w:sz w:val="20"/>
                <w:szCs w:val="20"/>
              </w:rPr>
              <w:t>2,562,933,334</w:t>
            </w:r>
          </w:p>
        </w:tc>
        <w:tc>
          <w:tcPr>
            <w:tcW w:w="1443" w:type="dxa"/>
            <w:noWrap/>
            <w:vAlign w:val="center"/>
            <w:hideMark/>
          </w:tcPr>
          <w:p w14:paraId="6EF55D46" w14:textId="77777777" w:rsidR="00951674" w:rsidRPr="00D01309"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D01309">
              <w:rPr>
                <w:rFonts w:ascii="Times New Roman" w:hAnsi="Times New Roman" w:cs="Times New Roman"/>
                <w:bCs/>
                <w:color w:val="000000"/>
                <w:sz w:val="20"/>
                <w:szCs w:val="20"/>
              </w:rPr>
              <w:t>2,562,933,334</w:t>
            </w:r>
          </w:p>
        </w:tc>
        <w:tc>
          <w:tcPr>
            <w:tcW w:w="1443" w:type="dxa"/>
            <w:noWrap/>
            <w:vAlign w:val="center"/>
            <w:hideMark/>
          </w:tcPr>
          <w:p w14:paraId="560847C1" w14:textId="77777777" w:rsidR="00951674" w:rsidRPr="00D01309"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D01309">
              <w:rPr>
                <w:rFonts w:ascii="Times New Roman" w:hAnsi="Times New Roman" w:cs="Times New Roman"/>
                <w:bCs/>
                <w:color w:val="000000"/>
                <w:sz w:val="20"/>
                <w:szCs w:val="20"/>
              </w:rPr>
              <w:t>0</w:t>
            </w:r>
          </w:p>
        </w:tc>
        <w:tc>
          <w:tcPr>
            <w:tcW w:w="1260" w:type="dxa"/>
            <w:gridSpan w:val="2"/>
            <w:noWrap/>
            <w:vAlign w:val="center"/>
            <w:hideMark/>
          </w:tcPr>
          <w:p w14:paraId="16B5A4BC" w14:textId="77777777" w:rsidR="00951674" w:rsidRPr="00D01309"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D01309">
              <w:rPr>
                <w:rFonts w:ascii="Times New Roman" w:hAnsi="Times New Roman" w:cs="Times New Roman"/>
                <w:bCs/>
                <w:sz w:val="20"/>
                <w:szCs w:val="20"/>
              </w:rPr>
              <w:t>0</w:t>
            </w:r>
          </w:p>
        </w:tc>
      </w:tr>
      <w:tr w:rsidR="00951674" w:rsidRPr="00A95FDA" w14:paraId="23011B03" w14:textId="77777777" w:rsidTr="00D12C43">
        <w:trPr>
          <w:trHeight w:val="1115"/>
        </w:trPr>
        <w:tc>
          <w:tcPr>
            <w:cnfStyle w:val="001000000000" w:firstRow="0" w:lastRow="0" w:firstColumn="1" w:lastColumn="0" w:oddVBand="0" w:evenVBand="0" w:oddHBand="0" w:evenHBand="0" w:firstRowFirstColumn="0" w:firstRowLastColumn="0" w:lastRowFirstColumn="0" w:lastRowLastColumn="0"/>
            <w:tcW w:w="5040" w:type="dxa"/>
            <w:vAlign w:val="center"/>
            <w:hideMark/>
          </w:tcPr>
          <w:p w14:paraId="5910B396" w14:textId="77777777" w:rsidR="00951674" w:rsidRPr="00A95FDA" w:rsidRDefault="00951674" w:rsidP="00D12C43">
            <w:pPr>
              <w:jc w:val="both"/>
              <w:rPr>
                <w:rFonts w:ascii="Times New Roman" w:eastAsia="Times New Roman" w:hAnsi="Times New Roman" w:cs="Times New Roman"/>
                <w:sz w:val="20"/>
                <w:szCs w:val="20"/>
                <w:lang w:val="sq-AL"/>
              </w:rPr>
            </w:pPr>
            <w:r w:rsidRPr="00A95FDA">
              <w:rPr>
                <w:rFonts w:ascii="Times New Roman" w:hAnsi="Times New Roman" w:cs="Times New Roman"/>
                <w:b w:val="0"/>
                <w:bCs w:val="0"/>
                <w:sz w:val="20"/>
                <w:szCs w:val="20"/>
                <w:lang w:val="sq-AL"/>
              </w:rPr>
              <w:t>Objektivi Specifik 3.2: Rritja e aftësive dhe gjithëpërfshirjes digjitale përmes zbatimit të masave që sigurojnë arritjen e kompetencave bazë digjitale për nxënësit, përmirësojnë aksesin dhe cilësinë e shërbimeve elektronike për qytetarët, dhe fuqizojnë mundësuesit teknologjikë në sektorin publik.</w:t>
            </w:r>
          </w:p>
        </w:tc>
        <w:tc>
          <w:tcPr>
            <w:tcW w:w="1443" w:type="dxa"/>
            <w:noWrap/>
            <w:vAlign w:val="center"/>
            <w:hideMark/>
          </w:tcPr>
          <w:p w14:paraId="70C665E5" w14:textId="77777777" w:rsidR="00951674" w:rsidRPr="001E1CAE"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rPr>
            </w:pPr>
            <w:r w:rsidRPr="001E1CAE">
              <w:rPr>
                <w:rFonts w:ascii="Times New Roman" w:hAnsi="Times New Roman" w:cs="Times New Roman"/>
                <w:bCs/>
                <w:color w:val="000000"/>
                <w:sz w:val="20"/>
                <w:szCs w:val="20"/>
              </w:rPr>
              <w:t>4,813,264,178</w:t>
            </w:r>
          </w:p>
        </w:tc>
        <w:tc>
          <w:tcPr>
            <w:tcW w:w="1443" w:type="dxa"/>
            <w:noWrap/>
            <w:vAlign w:val="center"/>
            <w:hideMark/>
          </w:tcPr>
          <w:p w14:paraId="063FEB52" w14:textId="77777777" w:rsidR="00951674" w:rsidRPr="001E1CAE"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1E1CAE">
              <w:rPr>
                <w:rFonts w:ascii="Times New Roman" w:hAnsi="Times New Roman" w:cs="Times New Roman"/>
                <w:bCs/>
                <w:color w:val="000000"/>
                <w:sz w:val="20"/>
                <w:szCs w:val="20"/>
              </w:rPr>
              <w:t>1,190,470,715</w:t>
            </w:r>
          </w:p>
        </w:tc>
        <w:tc>
          <w:tcPr>
            <w:tcW w:w="1443" w:type="dxa"/>
            <w:noWrap/>
            <w:vAlign w:val="center"/>
            <w:hideMark/>
          </w:tcPr>
          <w:p w14:paraId="5D335645" w14:textId="77777777" w:rsidR="00951674" w:rsidRPr="001E1CAE"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1E1CAE">
              <w:rPr>
                <w:rFonts w:ascii="Times New Roman" w:hAnsi="Times New Roman" w:cs="Times New Roman"/>
                <w:bCs/>
                <w:color w:val="000000"/>
                <w:sz w:val="20"/>
                <w:szCs w:val="20"/>
              </w:rPr>
              <w:t>3,622,793,463</w:t>
            </w:r>
          </w:p>
        </w:tc>
        <w:tc>
          <w:tcPr>
            <w:tcW w:w="1260" w:type="dxa"/>
            <w:gridSpan w:val="2"/>
            <w:noWrap/>
            <w:vAlign w:val="center"/>
            <w:hideMark/>
          </w:tcPr>
          <w:p w14:paraId="158178B9" w14:textId="77777777" w:rsidR="00951674" w:rsidRPr="00D01309"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D01309">
              <w:rPr>
                <w:rFonts w:ascii="Times New Roman" w:hAnsi="Times New Roman" w:cs="Times New Roman"/>
                <w:bCs/>
                <w:sz w:val="20"/>
                <w:szCs w:val="20"/>
              </w:rPr>
              <w:t>0</w:t>
            </w:r>
          </w:p>
        </w:tc>
      </w:tr>
    </w:tbl>
    <w:p w14:paraId="7C7618B4" w14:textId="77777777" w:rsidR="00951674" w:rsidRDefault="00951674" w:rsidP="00951674">
      <w:pPr>
        <w:pStyle w:val="NoSpacing"/>
        <w:spacing w:line="276" w:lineRule="auto"/>
        <w:jc w:val="both"/>
        <w:rPr>
          <w:rFonts w:ascii="Times New Roman" w:eastAsia="Arial" w:hAnsi="Times New Roman"/>
          <w:sz w:val="24"/>
          <w:szCs w:val="28"/>
          <w:lang w:val="sq-AL"/>
        </w:rPr>
      </w:pPr>
      <w:r w:rsidRPr="00205002">
        <w:rPr>
          <w:rFonts w:ascii="Times New Roman" w:eastAsia="Arial" w:hAnsi="Times New Roman"/>
          <w:sz w:val="24"/>
          <w:szCs w:val="28"/>
          <w:lang w:val="sq-AL"/>
        </w:rPr>
        <w:t xml:space="preserve"> </w:t>
      </w:r>
    </w:p>
    <w:p w14:paraId="599EB0B1" w14:textId="4D51679B" w:rsidR="00951674" w:rsidRPr="00205002" w:rsidRDefault="00951674" w:rsidP="00951674">
      <w:pPr>
        <w:pStyle w:val="NoSpacing"/>
        <w:spacing w:after="240" w:line="276" w:lineRule="auto"/>
        <w:jc w:val="both"/>
        <w:rPr>
          <w:rFonts w:ascii="Times New Roman" w:eastAsia="Arial" w:hAnsi="Times New Roman"/>
          <w:sz w:val="24"/>
          <w:szCs w:val="28"/>
          <w:lang w:val="sq-AL"/>
        </w:rPr>
      </w:pPr>
      <w:r w:rsidRPr="00205002">
        <w:rPr>
          <w:rFonts w:ascii="Times New Roman" w:eastAsia="Arial" w:hAnsi="Times New Roman"/>
          <w:sz w:val="24"/>
          <w:szCs w:val="28"/>
          <w:lang w:val="sq-AL"/>
        </w:rPr>
        <w:t xml:space="preserve">Të dy objektivat specifikë të këtij </w:t>
      </w:r>
      <w:r w:rsidR="00747D03">
        <w:rPr>
          <w:rFonts w:ascii="Times New Roman" w:eastAsia="Arial" w:hAnsi="Times New Roman"/>
          <w:sz w:val="24"/>
          <w:szCs w:val="28"/>
          <w:lang w:val="sq-AL"/>
        </w:rPr>
        <w:t>Q</w:t>
      </w:r>
      <w:r w:rsidRPr="00205002">
        <w:rPr>
          <w:rFonts w:ascii="Times New Roman" w:eastAsia="Arial" w:hAnsi="Times New Roman"/>
          <w:sz w:val="24"/>
          <w:szCs w:val="28"/>
          <w:lang w:val="sq-AL"/>
        </w:rPr>
        <w:t xml:space="preserve">ëllimi të </w:t>
      </w:r>
      <w:r w:rsidR="00747D03">
        <w:rPr>
          <w:rFonts w:ascii="Times New Roman" w:eastAsia="Arial" w:hAnsi="Times New Roman"/>
          <w:sz w:val="24"/>
          <w:szCs w:val="28"/>
          <w:lang w:val="sq-AL"/>
        </w:rPr>
        <w:t>P</w:t>
      </w:r>
      <w:r w:rsidRPr="00205002">
        <w:rPr>
          <w:rFonts w:ascii="Times New Roman" w:eastAsia="Arial" w:hAnsi="Times New Roman"/>
          <w:sz w:val="24"/>
          <w:szCs w:val="28"/>
          <w:lang w:val="sq-AL"/>
        </w:rPr>
        <w:t>olitikës nuk kanë hendek financiar. Përsa i përket kostove për realizimin e masave të objektivave specifikë, vihet re se buxheti i shtetit mbulon vlerën më të madhe të financimit</w:t>
      </w:r>
      <w:r>
        <w:rPr>
          <w:rFonts w:ascii="Times New Roman" w:eastAsia="Arial" w:hAnsi="Times New Roman"/>
          <w:sz w:val="24"/>
          <w:szCs w:val="28"/>
          <w:lang w:val="sq-AL"/>
        </w:rPr>
        <w:t xml:space="preserve"> dhe kostot janë dhënë me vlerën totale të projektit. </w:t>
      </w:r>
    </w:p>
    <w:p w14:paraId="37ED6785" w14:textId="77777777" w:rsidR="00951674" w:rsidRPr="00205002" w:rsidRDefault="00951674" w:rsidP="00951674">
      <w:pPr>
        <w:pStyle w:val="NoSpacing"/>
        <w:spacing w:line="276" w:lineRule="auto"/>
        <w:jc w:val="both"/>
        <w:rPr>
          <w:rFonts w:ascii="Times New Roman" w:eastAsia="Arial" w:hAnsi="Times New Roman"/>
          <w:sz w:val="24"/>
          <w:szCs w:val="28"/>
          <w:lang w:val="sq-AL"/>
        </w:rPr>
      </w:pPr>
      <w:r w:rsidRPr="00205002">
        <w:rPr>
          <w:rFonts w:ascii="Times New Roman" w:eastAsia="Arial" w:hAnsi="Times New Roman"/>
          <w:sz w:val="24"/>
          <w:szCs w:val="28"/>
          <w:lang w:val="sq-AL"/>
        </w:rPr>
        <w:t xml:space="preserve">Ndërkohë nëse analizohet financimi i objektivave të qëllimit të katërt, vihet re se 91% e kostos mbulohet nga buxheti i shtetit dhe që </w:t>
      </w:r>
      <w:r>
        <w:rPr>
          <w:rFonts w:ascii="Times New Roman" w:eastAsia="Arial" w:hAnsi="Times New Roman"/>
          <w:sz w:val="24"/>
          <w:szCs w:val="28"/>
          <w:lang w:val="sq-AL"/>
        </w:rPr>
        <w:t xml:space="preserve">vetëm dy nga </w:t>
      </w:r>
      <w:r w:rsidRPr="00205002">
        <w:rPr>
          <w:rFonts w:ascii="Times New Roman" w:eastAsia="Arial" w:hAnsi="Times New Roman"/>
          <w:sz w:val="24"/>
          <w:szCs w:val="28"/>
          <w:lang w:val="sq-AL"/>
        </w:rPr>
        <w:t>katër objektivat specifikë kanë hendek financiar që lidhet kryesisht me trajnime, aktivitete informuese dhe ndërgjegjësuese si dhe hartim dokumentesh të ndryshëm.</w:t>
      </w:r>
    </w:p>
    <w:p w14:paraId="29A91E67" w14:textId="77777777" w:rsidR="00951674" w:rsidRDefault="00951674" w:rsidP="00951674">
      <w:pPr>
        <w:pStyle w:val="NoSpacing"/>
        <w:spacing w:line="276" w:lineRule="auto"/>
        <w:jc w:val="both"/>
        <w:rPr>
          <w:rFonts w:ascii="Times New Roman" w:eastAsia="Arial" w:hAnsi="Times New Roman"/>
          <w:sz w:val="24"/>
          <w:szCs w:val="28"/>
          <w:lang w:val="sq-AL"/>
        </w:rPr>
      </w:pPr>
    </w:p>
    <w:p w14:paraId="58001B06" w14:textId="77777777" w:rsidR="00951674" w:rsidRDefault="00951674" w:rsidP="00951674">
      <w:pPr>
        <w:pStyle w:val="NoSpacing"/>
        <w:spacing w:line="276" w:lineRule="auto"/>
        <w:jc w:val="both"/>
        <w:rPr>
          <w:rFonts w:ascii="Times New Roman" w:eastAsia="Arial" w:hAnsi="Times New Roman"/>
          <w:sz w:val="24"/>
          <w:szCs w:val="28"/>
          <w:lang w:val="sq-AL"/>
        </w:rPr>
      </w:pPr>
    </w:p>
    <w:p w14:paraId="1719AB92" w14:textId="77777777" w:rsidR="00951674" w:rsidRPr="00205002" w:rsidRDefault="00951674" w:rsidP="00951674">
      <w:pPr>
        <w:pStyle w:val="NoSpacing"/>
        <w:spacing w:line="276" w:lineRule="auto"/>
        <w:jc w:val="both"/>
        <w:rPr>
          <w:rFonts w:ascii="Times New Roman" w:eastAsia="Arial" w:hAnsi="Times New Roman"/>
          <w:sz w:val="24"/>
          <w:szCs w:val="28"/>
          <w:lang w:val="sq-AL"/>
        </w:rPr>
      </w:pPr>
    </w:p>
    <w:p w14:paraId="4ED7B337" w14:textId="77777777" w:rsidR="00951674" w:rsidRPr="003C387F" w:rsidRDefault="00951674" w:rsidP="00951674">
      <w:pPr>
        <w:pStyle w:val="NoSpacing"/>
        <w:spacing w:line="276" w:lineRule="auto"/>
        <w:jc w:val="both"/>
        <w:rPr>
          <w:rFonts w:ascii="Times New Roman" w:eastAsia="Arial" w:hAnsi="Times New Roman"/>
          <w:i/>
          <w:iCs/>
          <w:szCs w:val="24"/>
          <w:lang w:val="sq-AL"/>
        </w:rPr>
      </w:pPr>
      <w:r w:rsidRPr="003C387F">
        <w:rPr>
          <w:rFonts w:ascii="Times New Roman" w:eastAsia="Arial" w:hAnsi="Times New Roman"/>
          <w:i/>
          <w:iCs/>
          <w:szCs w:val="24"/>
          <w:lang w:val="sq-AL"/>
        </w:rPr>
        <w:lastRenderedPageBreak/>
        <w:t xml:space="preserve">Tabela </w:t>
      </w:r>
      <w:r>
        <w:rPr>
          <w:rFonts w:ascii="Times New Roman" w:eastAsia="Arial" w:hAnsi="Times New Roman"/>
          <w:i/>
          <w:iCs/>
          <w:szCs w:val="24"/>
          <w:lang w:val="sq-AL"/>
        </w:rPr>
        <w:t>5</w:t>
      </w:r>
      <w:r w:rsidRPr="003C387F">
        <w:rPr>
          <w:rFonts w:ascii="Times New Roman" w:eastAsia="Arial" w:hAnsi="Times New Roman"/>
          <w:i/>
          <w:iCs/>
          <w:szCs w:val="24"/>
          <w:lang w:val="sq-AL"/>
        </w:rPr>
        <w:t>: Përbërja e kostos totale për qëllimin e katërt të politikës bazuar te burimi i financimit (në lekë)</w:t>
      </w:r>
    </w:p>
    <w:p w14:paraId="44032124" w14:textId="77777777" w:rsidR="00951674" w:rsidRPr="00FC083E" w:rsidRDefault="00951674" w:rsidP="00951674">
      <w:pPr>
        <w:pStyle w:val="NoSpacing"/>
        <w:spacing w:line="276" w:lineRule="auto"/>
        <w:jc w:val="both"/>
        <w:rPr>
          <w:rFonts w:ascii="Times New Roman" w:eastAsia="Arial" w:hAnsi="Times New Roman"/>
          <w:sz w:val="8"/>
          <w:szCs w:val="10"/>
          <w:lang w:val="sq-AL"/>
        </w:rPr>
      </w:pPr>
    </w:p>
    <w:tbl>
      <w:tblPr>
        <w:tblStyle w:val="ListTable3-Accent5"/>
        <w:tblW w:w="10268" w:type="dxa"/>
        <w:tblInd w:w="-365" w:type="dxa"/>
        <w:tblLook w:val="04A0" w:firstRow="1" w:lastRow="0" w:firstColumn="1" w:lastColumn="0" w:noHBand="0" w:noVBand="1"/>
      </w:tblPr>
      <w:tblGrid>
        <w:gridCol w:w="4860"/>
        <w:gridCol w:w="132"/>
        <w:gridCol w:w="1311"/>
        <w:gridCol w:w="59"/>
        <w:gridCol w:w="129"/>
        <w:gridCol w:w="1095"/>
        <w:gridCol w:w="109"/>
        <w:gridCol w:w="180"/>
        <w:gridCol w:w="844"/>
        <w:gridCol w:w="109"/>
        <w:gridCol w:w="180"/>
        <w:gridCol w:w="1072"/>
        <w:gridCol w:w="109"/>
        <w:gridCol w:w="79"/>
      </w:tblGrid>
      <w:tr w:rsidR="00951674" w:rsidRPr="00205002" w14:paraId="2802AF64" w14:textId="77777777" w:rsidTr="00D12C43">
        <w:trPr>
          <w:cnfStyle w:val="100000000000" w:firstRow="1" w:lastRow="0" w:firstColumn="0" w:lastColumn="0" w:oddVBand="0" w:evenVBand="0" w:oddHBand="0" w:evenHBand="0" w:firstRowFirstColumn="0" w:firstRowLastColumn="0" w:lastRowFirstColumn="0" w:lastRowLastColumn="0"/>
          <w:trHeight w:val="585"/>
        </w:trPr>
        <w:tc>
          <w:tcPr>
            <w:cnfStyle w:val="001000000100" w:firstRow="0" w:lastRow="0" w:firstColumn="1" w:lastColumn="0" w:oddVBand="0" w:evenVBand="0" w:oddHBand="0" w:evenHBand="0" w:firstRowFirstColumn="1" w:firstRowLastColumn="0" w:lastRowFirstColumn="0" w:lastRowLastColumn="0"/>
            <w:tcW w:w="4992" w:type="dxa"/>
            <w:gridSpan w:val="2"/>
            <w:vMerge w:val="restart"/>
            <w:hideMark/>
          </w:tcPr>
          <w:p w14:paraId="471B4BF4" w14:textId="77777777" w:rsidR="00951674" w:rsidRPr="00205002" w:rsidRDefault="00951674" w:rsidP="00D12C43">
            <w:pPr>
              <w:jc w:val="both"/>
              <w:rPr>
                <w:rFonts w:ascii="Times New Roman" w:eastAsia="Times New Roman" w:hAnsi="Times New Roman" w:cs="Times New Roman"/>
                <w:color w:val="000000"/>
                <w:sz w:val="20"/>
                <w:szCs w:val="20"/>
                <w:lang w:val="sq-AL"/>
              </w:rPr>
            </w:pPr>
          </w:p>
        </w:tc>
        <w:tc>
          <w:tcPr>
            <w:tcW w:w="1499" w:type="dxa"/>
            <w:gridSpan w:val="3"/>
            <w:vMerge w:val="restart"/>
            <w:hideMark/>
          </w:tcPr>
          <w:p w14:paraId="7D3D9C5D" w14:textId="77777777" w:rsidR="00951674" w:rsidRPr="00205002" w:rsidRDefault="00951674" w:rsidP="002B06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sq-AL"/>
              </w:rPr>
            </w:pPr>
            <w:r w:rsidRPr="00205002">
              <w:rPr>
                <w:rFonts w:ascii="Times New Roman" w:eastAsia="Times New Roman" w:hAnsi="Times New Roman" w:cs="Times New Roman"/>
                <w:color w:val="000000"/>
                <w:sz w:val="20"/>
                <w:szCs w:val="20"/>
                <w:lang w:val="sq-AL"/>
              </w:rPr>
              <w:t>Kosto totale</w:t>
            </w:r>
            <w:r w:rsidRPr="00205002">
              <w:rPr>
                <w:rFonts w:ascii="Times New Roman" w:eastAsia="Times New Roman" w:hAnsi="Times New Roman" w:cs="Times New Roman"/>
                <w:color w:val="000000"/>
                <w:sz w:val="20"/>
                <w:szCs w:val="20"/>
                <w:lang w:val="sq-AL"/>
              </w:rPr>
              <w:br/>
              <w:t>(në lekë)</w:t>
            </w:r>
          </w:p>
        </w:tc>
        <w:tc>
          <w:tcPr>
            <w:tcW w:w="2517" w:type="dxa"/>
            <w:gridSpan w:val="6"/>
            <w:hideMark/>
          </w:tcPr>
          <w:p w14:paraId="3FA49BFD" w14:textId="77777777" w:rsidR="00951674" w:rsidRPr="00205002" w:rsidRDefault="00951674" w:rsidP="002B06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205002">
              <w:rPr>
                <w:rFonts w:ascii="Times New Roman" w:eastAsia="Times New Roman" w:hAnsi="Times New Roman" w:cs="Times New Roman"/>
                <w:sz w:val="20"/>
                <w:szCs w:val="20"/>
                <w:lang w:val="sq-AL"/>
              </w:rPr>
              <w:t>Burimi i mbulimit</w:t>
            </w:r>
            <w:r w:rsidRPr="00205002">
              <w:rPr>
                <w:rFonts w:ascii="Times New Roman" w:eastAsia="Times New Roman" w:hAnsi="Times New Roman" w:cs="Times New Roman"/>
                <w:sz w:val="20"/>
                <w:szCs w:val="20"/>
                <w:lang w:val="sq-AL"/>
              </w:rPr>
              <w:br/>
              <w:t>2025-2027</w:t>
            </w:r>
          </w:p>
        </w:tc>
        <w:tc>
          <w:tcPr>
            <w:tcW w:w="1260" w:type="dxa"/>
            <w:gridSpan w:val="3"/>
            <w:vMerge w:val="restart"/>
            <w:hideMark/>
          </w:tcPr>
          <w:p w14:paraId="29010AA9" w14:textId="35C20335" w:rsidR="00951674" w:rsidRPr="00205002" w:rsidRDefault="00951674" w:rsidP="002B06B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205002">
              <w:rPr>
                <w:rFonts w:ascii="Times New Roman" w:eastAsia="Times New Roman" w:hAnsi="Times New Roman" w:cs="Times New Roman"/>
                <w:sz w:val="20"/>
                <w:szCs w:val="20"/>
                <w:lang w:val="sq-AL"/>
              </w:rPr>
              <w:t>Hendeku financiar</w:t>
            </w:r>
          </w:p>
        </w:tc>
      </w:tr>
      <w:tr w:rsidR="00951674" w:rsidRPr="00205002" w14:paraId="0138C335" w14:textId="77777777" w:rsidTr="00D12C43">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992" w:type="dxa"/>
            <w:gridSpan w:val="2"/>
            <w:vMerge/>
            <w:hideMark/>
          </w:tcPr>
          <w:p w14:paraId="0A0F5970" w14:textId="77777777" w:rsidR="00951674" w:rsidRPr="00205002" w:rsidRDefault="00951674" w:rsidP="00D12C43">
            <w:pPr>
              <w:jc w:val="both"/>
              <w:rPr>
                <w:rFonts w:ascii="Times New Roman" w:eastAsia="Times New Roman" w:hAnsi="Times New Roman" w:cs="Times New Roman"/>
                <w:color w:val="000000"/>
                <w:sz w:val="20"/>
                <w:szCs w:val="20"/>
                <w:lang w:val="sq-AL"/>
              </w:rPr>
            </w:pPr>
          </w:p>
        </w:tc>
        <w:tc>
          <w:tcPr>
            <w:tcW w:w="1499" w:type="dxa"/>
            <w:gridSpan w:val="3"/>
            <w:vMerge/>
            <w:hideMark/>
          </w:tcPr>
          <w:p w14:paraId="09E6C374" w14:textId="77777777" w:rsidR="00951674" w:rsidRPr="00205002"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q-AL"/>
              </w:rPr>
            </w:pPr>
          </w:p>
        </w:tc>
        <w:tc>
          <w:tcPr>
            <w:tcW w:w="1384" w:type="dxa"/>
            <w:gridSpan w:val="3"/>
            <w:noWrap/>
            <w:hideMark/>
          </w:tcPr>
          <w:p w14:paraId="74E50198" w14:textId="77777777" w:rsidR="00951674" w:rsidRPr="00205002"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q-AL"/>
              </w:rPr>
            </w:pPr>
            <w:r w:rsidRPr="00205002">
              <w:rPr>
                <w:rFonts w:ascii="Times New Roman" w:eastAsia="Times New Roman" w:hAnsi="Times New Roman" w:cs="Times New Roman"/>
                <w:b/>
                <w:bCs/>
                <w:color w:val="000000"/>
                <w:sz w:val="20"/>
                <w:szCs w:val="20"/>
                <w:lang w:val="sq-AL"/>
              </w:rPr>
              <w:t xml:space="preserve">Buxhet shteti </w:t>
            </w:r>
          </w:p>
        </w:tc>
        <w:tc>
          <w:tcPr>
            <w:tcW w:w="1133" w:type="dxa"/>
            <w:gridSpan w:val="3"/>
            <w:noWrap/>
            <w:hideMark/>
          </w:tcPr>
          <w:p w14:paraId="107B16DD" w14:textId="6F01EA7B" w:rsidR="00951674" w:rsidRPr="00205002" w:rsidRDefault="00951674" w:rsidP="002B06B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q-AL"/>
              </w:rPr>
            </w:pPr>
            <w:r w:rsidRPr="00205002">
              <w:rPr>
                <w:rFonts w:ascii="Times New Roman" w:eastAsia="Times New Roman" w:hAnsi="Times New Roman" w:cs="Times New Roman"/>
                <w:b/>
                <w:bCs/>
                <w:color w:val="000000"/>
                <w:sz w:val="20"/>
                <w:szCs w:val="20"/>
                <w:lang w:val="sq-AL"/>
              </w:rPr>
              <w:t>Financim i huaj</w:t>
            </w:r>
          </w:p>
        </w:tc>
        <w:tc>
          <w:tcPr>
            <w:tcW w:w="1260" w:type="dxa"/>
            <w:gridSpan w:val="3"/>
            <w:vMerge/>
            <w:hideMark/>
          </w:tcPr>
          <w:p w14:paraId="5D28CC76" w14:textId="77777777" w:rsidR="00951674" w:rsidRPr="00205002"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sq-AL"/>
              </w:rPr>
            </w:pPr>
          </w:p>
        </w:tc>
      </w:tr>
      <w:tr w:rsidR="00951674" w:rsidRPr="00205002" w14:paraId="481CEC03" w14:textId="77777777" w:rsidTr="00D12C43">
        <w:trPr>
          <w:gridAfter w:val="2"/>
          <w:wAfter w:w="188" w:type="dxa"/>
          <w:trHeight w:val="413"/>
        </w:trPr>
        <w:tc>
          <w:tcPr>
            <w:cnfStyle w:val="001000000000" w:firstRow="0" w:lastRow="0" w:firstColumn="1" w:lastColumn="0" w:oddVBand="0" w:evenVBand="0" w:oddHBand="0" w:evenHBand="0" w:firstRowFirstColumn="0" w:firstRowLastColumn="0" w:lastRowFirstColumn="0" w:lastRowLastColumn="0"/>
            <w:tcW w:w="4860" w:type="dxa"/>
            <w:noWrap/>
            <w:hideMark/>
          </w:tcPr>
          <w:p w14:paraId="79A570C9" w14:textId="77777777" w:rsidR="00951674" w:rsidRPr="00971395" w:rsidRDefault="00951674" w:rsidP="00D12C43">
            <w:pPr>
              <w:jc w:val="both"/>
              <w:rPr>
                <w:rFonts w:ascii="Times New Roman" w:eastAsia="Times New Roman" w:hAnsi="Times New Roman" w:cs="Times New Roman"/>
                <w:color w:val="000000"/>
                <w:sz w:val="20"/>
                <w:szCs w:val="20"/>
                <w:lang w:val="sq-AL"/>
              </w:rPr>
            </w:pPr>
            <w:r w:rsidRPr="00971395">
              <w:rPr>
                <w:rFonts w:ascii="Times New Roman" w:eastAsia="Times New Roman" w:hAnsi="Times New Roman" w:cs="Times New Roman"/>
                <w:color w:val="000000"/>
                <w:sz w:val="20"/>
                <w:szCs w:val="20"/>
                <w:lang w:val="sq-AL"/>
              </w:rPr>
              <w:t>Kosto totale e Qëllimit të Politikës 4</w:t>
            </w:r>
          </w:p>
        </w:tc>
        <w:tc>
          <w:tcPr>
            <w:tcW w:w="1443" w:type="dxa"/>
            <w:gridSpan w:val="2"/>
            <w:hideMark/>
          </w:tcPr>
          <w:p w14:paraId="5AE4D97D" w14:textId="77777777" w:rsidR="00951674" w:rsidRPr="00971395"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rPr>
            </w:pPr>
            <w:r w:rsidRPr="00971395">
              <w:rPr>
                <w:rFonts w:ascii="Times New Roman" w:hAnsi="Times New Roman" w:cs="Times New Roman"/>
                <w:b/>
                <w:sz w:val="20"/>
                <w:szCs w:val="20"/>
              </w:rPr>
              <w:t>1,041,593,915</w:t>
            </w:r>
          </w:p>
        </w:tc>
        <w:tc>
          <w:tcPr>
            <w:tcW w:w="1283" w:type="dxa"/>
            <w:gridSpan w:val="3"/>
            <w:hideMark/>
          </w:tcPr>
          <w:p w14:paraId="18786934" w14:textId="77777777" w:rsidR="00951674" w:rsidRPr="00971395"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971395">
              <w:rPr>
                <w:rFonts w:ascii="Times New Roman" w:hAnsi="Times New Roman" w:cs="Times New Roman"/>
                <w:b/>
                <w:sz w:val="20"/>
                <w:szCs w:val="20"/>
              </w:rPr>
              <w:t>982,115,915</w:t>
            </w:r>
          </w:p>
        </w:tc>
        <w:tc>
          <w:tcPr>
            <w:tcW w:w="1133" w:type="dxa"/>
            <w:gridSpan w:val="3"/>
            <w:hideMark/>
          </w:tcPr>
          <w:p w14:paraId="5E68ACBB" w14:textId="77777777" w:rsidR="00951674" w:rsidRPr="00971395"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971395">
              <w:rPr>
                <w:rFonts w:ascii="Times New Roman" w:hAnsi="Times New Roman" w:cs="Times New Roman"/>
                <w:b/>
                <w:sz w:val="20"/>
                <w:szCs w:val="20"/>
              </w:rPr>
              <w:t>4,370,000</w:t>
            </w:r>
          </w:p>
        </w:tc>
        <w:tc>
          <w:tcPr>
            <w:tcW w:w="1361" w:type="dxa"/>
            <w:gridSpan w:val="3"/>
            <w:hideMark/>
          </w:tcPr>
          <w:p w14:paraId="70B76EA7" w14:textId="77777777" w:rsidR="00951674" w:rsidRPr="005A3B47"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A3B47">
              <w:rPr>
                <w:rFonts w:ascii="Times New Roman" w:hAnsi="Times New Roman" w:cs="Times New Roman"/>
                <w:b/>
                <w:sz w:val="20"/>
                <w:szCs w:val="20"/>
              </w:rPr>
              <w:t>-55,108,000</w:t>
            </w:r>
          </w:p>
        </w:tc>
      </w:tr>
      <w:tr w:rsidR="00951674" w:rsidRPr="00D01309" w14:paraId="29CDF6FA" w14:textId="77777777" w:rsidTr="00D12C43">
        <w:trPr>
          <w:gridAfter w:val="1"/>
          <w:cnfStyle w:val="000000100000" w:firstRow="0" w:lastRow="0" w:firstColumn="0" w:lastColumn="0" w:oddVBand="0" w:evenVBand="0" w:oddHBand="1" w:evenHBand="0" w:firstRowFirstColumn="0" w:firstRowLastColumn="0" w:lastRowFirstColumn="0" w:lastRowLastColumn="0"/>
          <w:wAfter w:w="79" w:type="dxa"/>
          <w:trHeight w:val="980"/>
        </w:trPr>
        <w:tc>
          <w:tcPr>
            <w:cnfStyle w:val="001000000000" w:firstRow="0" w:lastRow="0" w:firstColumn="1" w:lastColumn="0" w:oddVBand="0" w:evenVBand="0" w:oddHBand="0" w:evenHBand="0" w:firstRowFirstColumn="0" w:firstRowLastColumn="0" w:lastRowFirstColumn="0" w:lastRowLastColumn="0"/>
            <w:tcW w:w="4860" w:type="dxa"/>
            <w:vAlign w:val="center"/>
            <w:hideMark/>
          </w:tcPr>
          <w:p w14:paraId="189705EF" w14:textId="77777777" w:rsidR="00951674" w:rsidRPr="00205002" w:rsidRDefault="00951674" w:rsidP="00D12C43">
            <w:pPr>
              <w:jc w:val="both"/>
              <w:rPr>
                <w:rFonts w:ascii="Times New Roman" w:eastAsia="Times New Roman" w:hAnsi="Times New Roman" w:cs="Times New Roman"/>
                <w:sz w:val="20"/>
                <w:szCs w:val="20"/>
                <w:lang w:val="sq-AL"/>
              </w:rPr>
            </w:pPr>
            <w:r w:rsidRPr="00205002">
              <w:rPr>
                <w:rFonts w:ascii="Times New Roman" w:hAnsi="Times New Roman" w:cs="Times New Roman"/>
                <w:b w:val="0"/>
                <w:bCs w:val="0"/>
                <w:sz w:val="20"/>
                <w:szCs w:val="20"/>
                <w:lang w:val="sq-AL"/>
              </w:rPr>
              <w:t>Objektivi Specifik 4.1: Zhvillimi i strukturave organizative të qarta dhe të përshtatshme për të përmbushur detyrat e administratës publike në mënyrë efektive dhe efikase.</w:t>
            </w:r>
          </w:p>
        </w:tc>
        <w:tc>
          <w:tcPr>
            <w:tcW w:w="1502" w:type="dxa"/>
            <w:gridSpan w:val="3"/>
            <w:noWrap/>
            <w:vAlign w:val="center"/>
            <w:hideMark/>
          </w:tcPr>
          <w:p w14:paraId="74CB694E" w14:textId="77777777" w:rsidR="00951674" w:rsidRPr="00D01309"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rPr>
            </w:pPr>
            <w:r w:rsidRPr="00D01309">
              <w:rPr>
                <w:rFonts w:ascii="Times New Roman" w:hAnsi="Times New Roman" w:cs="Times New Roman"/>
                <w:bCs/>
                <w:color w:val="000000"/>
                <w:sz w:val="20"/>
                <w:szCs w:val="20"/>
              </w:rPr>
              <w:t>2,970,417</w:t>
            </w:r>
          </w:p>
        </w:tc>
        <w:tc>
          <w:tcPr>
            <w:tcW w:w="1333" w:type="dxa"/>
            <w:gridSpan w:val="3"/>
            <w:noWrap/>
            <w:vAlign w:val="center"/>
            <w:hideMark/>
          </w:tcPr>
          <w:p w14:paraId="3A93BA1D" w14:textId="77777777" w:rsidR="00951674" w:rsidRPr="00D01309"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D01309">
              <w:rPr>
                <w:rFonts w:ascii="Times New Roman" w:hAnsi="Times New Roman" w:cs="Times New Roman"/>
                <w:bCs/>
                <w:color w:val="000000"/>
                <w:sz w:val="20"/>
                <w:szCs w:val="20"/>
              </w:rPr>
              <w:t>1,390,416</w:t>
            </w:r>
          </w:p>
        </w:tc>
        <w:tc>
          <w:tcPr>
            <w:tcW w:w="1133" w:type="dxa"/>
            <w:gridSpan w:val="3"/>
            <w:noWrap/>
            <w:vAlign w:val="center"/>
            <w:hideMark/>
          </w:tcPr>
          <w:p w14:paraId="5057D036" w14:textId="77777777" w:rsidR="00951674" w:rsidRPr="00D01309"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D01309">
              <w:rPr>
                <w:rFonts w:ascii="Times New Roman" w:hAnsi="Times New Roman" w:cs="Times New Roman"/>
                <w:bCs/>
                <w:color w:val="000000"/>
                <w:sz w:val="20"/>
                <w:szCs w:val="20"/>
              </w:rPr>
              <w:t>1,580,000</w:t>
            </w:r>
          </w:p>
        </w:tc>
        <w:tc>
          <w:tcPr>
            <w:tcW w:w="1361" w:type="dxa"/>
            <w:gridSpan w:val="3"/>
            <w:noWrap/>
            <w:vAlign w:val="center"/>
            <w:hideMark/>
          </w:tcPr>
          <w:p w14:paraId="53DB941D" w14:textId="77777777" w:rsidR="00951674" w:rsidRPr="00D01309"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D01309">
              <w:rPr>
                <w:rFonts w:ascii="Times New Roman" w:hAnsi="Times New Roman" w:cs="Times New Roman"/>
                <w:bCs/>
                <w:sz w:val="20"/>
                <w:szCs w:val="20"/>
              </w:rPr>
              <w:t>0</w:t>
            </w:r>
          </w:p>
        </w:tc>
      </w:tr>
      <w:tr w:rsidR="00951674" w:rsidRPr="00205002" w14:paraId="71A418DA" w14:textId="77777777" w:rsidTr="00D12C43">
        <w:trPr>
          <w:trHeight w:val="1088"/>
        </w:trPr>
        <w:tc>
          <w:tcPr>
            <w:cnfStyle w:val="001000000000" w:firstRow="0" w:lastRow="0" w:firstColumn="1" w:lastColumn="0" w:oddVBand="0" w:evenVBand="0" w:oddHBand="0" w:evenHBand="0" w:firstRowFirstColumn="0" w:firstRowLastColumn="0" w:lastRowFirstColumn="0" w:lastRowLastColumn="0"/>
            <w:tcW w:w="4992" w:type="dxa"/>
            <w:gridSpan w:val="2"/>
            <w:vAlign w:val="center"/>
            <w:hideMark/>
          </w:tcPr>
          <w:p w14:paraId="5D889183" w14:textId="77777777" w:rsidR="00951674" w:rsidRPr="00D01309" w:rsidRDefault="00951674" w:rsidP="00D12C43">
            <w:pPr>
              <w:jc w:val="both"/>
              <w:rPr>
                <w:rFonts w:ascii="Times New Roman" w:eastAsia="Times New Roman" w:hAnsi="Times New Roman" w:cs="Times New Roman"/>
                <w:b w:val="0"/>
                <w:sz w:val="20"/>
                <w:szCs w:val="20"/>
                <w:lang w:val="sq-AL"/>
              </w:rPr>
            </w:pPr>
            <w:r w:rsidRPr="00D01309">
              <w:rPr>
                <w:rFonts w:ascii="Times New Roman" w:hAnsi="Times New Roman" w:cs="Times New Roman"/>
                <w:b w:val="0"/>
                <w:bCs w:val="0"/>
                <w:sz w:val="20"/>
                <w:szCs w:val="20"/>
                <w:lang w:val="sq-AL"/>
              </w:rPr>
              <w:t>Objektivi Specifik 4.2 Krijimi i mekanizmave të qartë të brendshëm që garantojnë llogaridhënien e punonjësve dhe drejtuesve të administratës publike për performancën dhe vendimmarrjen e tyre.</w:t>
            </w:r>
          </w:p>
        </w:tc>
        <w:tc>
          <w:tcPr>
            <w:tcW w:w="1499" w:type="dxa"/>
            <w:gridSpan w:val="3"/>
            <w:noWrap/>
            <w:vAlign w:val="center"/>
            <w:hideMark/>
          </w:tcPr>
          <w:p w14:paraId="5B432D5F" w14:textId="77777777" w:rsidR="00951674" w:rsidRPr="00D01309"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rPr>
            </w:pPr>
            <w:r w:rsidRPr="00D01309">
              <w:rPr>
                <w:rFonts w:ascii="Times New Roman" w:hAnsi="Times New Roman" w:cs="Times New Roman"/>
                <w:bCs/>
                <w:color w:val="000000"/>
                <w:sz w:val="20"/>
                <w:szCs w:val="20"/>
              </w:rPr>
              <w:t>160,026,869</w:t>
            </w:r>
          </w:p>
        </w:tc>
        <w:tc>
          <w:tcPr>
            <w:tcW w:w="1384" w:type="dxa"/>
            <w:gridSpan w:val="3"/>
            <w:noWrap/>
            <w:vAlign w:val="center"/>
            <w:hideMark/>
          </w:tcPr>
          <w:p w14:paraId="3B308D19" w14:textId="77777777" w:rsidR="00951674" w:rsidRPr="00D01309"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D01309">
              <w:rPr>
                <w:rFonts w:ascii="Times New Roman" w:hAnsi="Times New Roman" w:cs="Times New Roman"/>
                <w:bCs/>
                <w:color w:val="000000"/>
                <w:sz w:val="20"/>
                <w:szCs w:val="20"/>
              </w:rPr>
              <w:t>158,106,869</w:t>
            </w:r>
          </w:p>
        </w:tc>
        <w:tc>
          <w:tcPr>
            <w:tcW w:w="1133" w:type="dxa"/>
            <w:gridSpan w:val="3"/>
            <w:noWrap/>
            <w:vAlign w:val="center"/>
            <w:hideMark/>
          </w:tcPr>
          <w:p w14:paraId="50A1CE06" w14:textId="77777777" w:rsidR="00951674" w:rsidRPr="00D01309"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D01309">
              <w:rPr>
                <w:rFonts w:ascii="Times New Roman" w:hAnsi="Times New Roman" w:cs="Times New Roman"/>
                <w:bCs/>
                <w:color w:val="000000"/>
                <w:sz w:val="20"/>
                <w:szCs w:val="20"/>
              </w:rPr>
              <w:t>720,000</w:t>
            </w:r>
          </w:p>
        </w:tc>
        <w:tc>
          <w:tcPr>
            <w:tcW w:w="1260" w:type="dxa"/>
            <w:gridSpan w:val="3"/>
            <w:noWrap/>
            <w:vAlign w:val="center"/>
            <w:hideMark/>
          </w:tcPr>
          <w:p w14:paraId="6A69A321" w14:textId="77777777" w:rsidR="00951674" w:rsidRPr="00D01309"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D01309">
              <w:rPr>
                <w:rFonts w:ascii="Times New Roman" w:hAnsi="Times New Roman" w:cs="Times New Roman"/>
                <w:bCs/>
                <w:sz w:val="20"/>
                <w:szCs w:val="20"/>
              </w:rPr>
              <w:t>-1,200,000</w:t>
            </w:r>
          </w:p>
        </w:tc>
      </w:tr>
      <w:tr w:rsidR="00951674" w:rsidRPr="00205002" w14:paraId="491C3C5C" w14:textId="77777777" w:rsidTr="00D12C43">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4992" w:type="dxa"/>
            <w:gridSpan w:val="2"/>
            <w:vAlign w:val="center"/>
            <w:hideMark/>
          </w:tcPr>
          <w:p w14:paraId="3F5A6AAB" w14:textId="77777777" w:rsidR="00951674" w:rsidRPr="00D01309" w:rsidRDefault="00951674" w:rsidP="00D12C43">
            <w:pPr>
              <w:jc w:val="both"/>
              <w:rPr>
                <w:rFonts w:ascii="Times New Roman" w:eastAsia="Times New Roman" w:hAnsi="Times New Roman" w:cs="Times New Roman"/>
                <w:b w:val="0"/>
                <w:sz w:val="20"/>
                <w:szCs w:val="20"/>
                <w:lang w:val="sq-AL"/>
              </w:rPr>
            </w:pPr>
            <w:r w:rsidRPr="00D01309">
              <w:rPr>
                <w:rFonts w:ascii="Times New Roman" w:hAnsi="Times New Roman" w:cs="Times New Roman"/>
                <w:b w:val="0"/>
                <w:bCs w:val="0"/>
                <w:sz w:val="20"/>
                <w:szCs w:val="20"/>
                <w:lang w:val="sq-AL"/>
              </w:rPr>
              <w:t xml:space="preserve">Objektivi Specifik 4.3: Promovimi i një administrate të hapur dhe transparente që angazhon qytetarët dhe palët e tjera të interesuara në proceset e vendimmarrjes, duke rritur aksesin në informacion dhe duke përmirësuar dialogun ndërmjet administratës dhe publikut. </w:t>
            </w:r>
          </w:p>
        </w:tc>
        <w:tc>
          <w:tcPr>
            <w:tcW w:w="1499" w:type="dxa"/>
            <w:gridSpan w:val="3"/>
            <w:vAlign w:val="center"/>
            <w:hideMark/>
          </w:tcPr>
          <w:p w14:paraId="0ABAE52F" w14:textId="77777777" w:rsidR="00951674" w:rsidRPr="00D01309"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20"/>
                <w:szCs w:val="20"/>
              </w:rPr>
            </w:pPr>
            <w:r w:rsidRPr="00D01309">
              <w:rPr>
                <w:rFonts w:ascii="Times New Roman" w:hAnsi="Times New Roman" w:cs="Times New Roman"/>
                <w:bCs/>
                <w:color w:val="000000"/>
                <w:sz w:val="20"/>
                <w:szCs w:val="20"/>
              </w:rPr>
              <w:t>61,025,537</w:t>
            </w:r>
          </w:p>
        </w:tc>
        <w:tc>
          <w:tcPr>
            <w:tcW w:w="1384" w:type="dxa"/>
            <w:gridSpan w:val="3"/>
            <w:vAlign w:val="center"/>
            <w:hideMark/>
          </w:tcPr>
          <w:p w14:paraId="3EF7055B" w14:textId="77777777" w:rsidR="00951674" w:rsidRPr="00D01309"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D01309">
              <w:rPr>
                <w:rFonts w:ascii="Times New Roman" w:hAnsi="Times New Roman" w:cs="Times New Roman"/>
                <w:bCs/>
                <w:color w:val="000000"/>
                <w:sz w:val="20"/>
                <w:szCs w:val="20"/>
              </w:rPr>
              <w:t>6,097,537</w:t>
            </w:r>
          </w:p>
        </w:tc>
        <w:tc>
          <w:tcPr>
            <w:tcW w:w="1133" w:type="dxa"/>
            <w:gridSpan w:val="3"/>
            <w:vAlign w:val="center"/>
            <w:hideMark/>
          </w:tcPr>
          <w:p w14:paraId="25954043" w14:textId="77777777" w:rsidR="00951674" w:rsidRPr="00D01309"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rPr>
            </w:pPr>
            <w:r w:rsidRPr="00D01309">
              <w:rPr>
                <w:rFonts w:ascii="Times New Roman" w:hAnsi="Times New Roman" w:cs="Times New Roman"/>
                <w:bCs/>
                <w:color w:val="000000"/>
                <w:sz w:val="20"/>
                <w:szCs w:val="20"/>
              </w:rPr>
              <w:t>1,020,000</w:t>
            </w:r>
          </w:p>
        </w:tc>
        <w:tc>
          <w:tcPr>
            <w:tcW w:w="1260" w:type="dxa"/>
            <w:gridSpan w:val="3"/>
            <w:vAlign w:val="center"/>
            <w:hideMark/>
          </w:tcPr>
          <w:p w14:paraId="69CF19C3" w14:textId="77777777" w:rsidR="00951674" w:rsidRPr="00D01309"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D01309">
              <w:rPr>
                <w:rFonts w:ascii="Times New Roman" w:hAnsi="Times New Roman" w:cs="Times New Roman"/>
                <w:bCs/>
                <w:sz w:val="20"/>
                <w:szCs w:val="20"/>
              </w:rPr>
              <w:t>-53,908,000</w:t>
            </w:r>
          </w:p>
        </w:tc>
      </w:tr>
      <w:tr w:rsidR="00951674" w:rsidRPr="00205002" w14:paraId="279572DF" w14:textId="77777777" w:rsidTr="00D12C43">
        <w:trPr>
          <w:trHeight w:val="980"/>
        </w:trPr>
        <w:tc>
          <w:tcPr>
            <w:cnfStyle w:val="001000000000" w:firstRow="0" w:lastRow="0" w:firstColumn="1" w:lastColumn="0" w:oddVBand="0" w:evenVBand="0" w:oddHBand="0" w:evenHBand="0" w:firstRowFirstColumn="0" w:firstRowLastColumn="0" w:lastRowFirstColumn="0" w:lastRowLastColumn="0"/>
            <w:tcW w:w="4992" w:type="dxa"/>
            <w:gridSpan w:val="2"/>
            <w:vAlign w:val="center"/>
          </w:tcPr>
          <w:p w14:paraId="5B446C30" w14:textId="77777777" w:rsidR="00951674" w:rsidRPr="00971395" w:rsidRDefault="00951674" w:rsidP="00D12C43">
            <w:pPr>
              <w:jc w:val="both"/>
              <w:rPr>
                <w:rFonts w:ascii="Times New Roman" w:eastAsia="Times New Roman" w:hAnsi="Times New Roman" w:cs="Times New Roman"/>
                <w:b w:val="0"/>
                <w:sz w:val="20"/>
                <w:szCs w:val="20"/>
                <w:lang w:val="sq-AL"/>
              </w:rPr>
            </w:pPr>
            <w:r w:rsidRPr="00971395">
              <w:rPr>
                <w:rFonts w:ascii="Times New Roman" w:hAnsi="Times New Roman" w:cs="Times New Roman"/>
                <w:b w:val="0"/>
                <w:bCs w:val="0"/>
                <w:sz w:val="20"/>
                <w:szCs w:val="20"/>
                <w:lang w:val="sq-AL"/>
              </w:rPr>
              <w:t>Objektivi Specifik 4.4: Fuqizimi i mbikëqyrjes së jashtme të administratës publike nga Kuvendi dhe institucionet e pavarura mbi zbatimin e politikave dhe detyrimeve nga ana e qeverisë.</w:t>
            </w:r>
          </w:p>
        </w:tc>
        <w:tc>
          <w:tcPr>
            <w:tcW w:w="1499" w:type="dxa"/>
            <w:gridSpan w:val="3"/>
            <w:vAlign w:val="center"/>
          </w:tcPr>
          <w:p w14:paraId="6AF75450" w14:textId="77777777" w:rsidR="00951674" w:rsidRPr="00971395"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rPr>
            </w:pPr>
            <w:r w:rsidRPr="00971395">
              <w:rPr>
                <w:rFonts w:ascii="Times New Roman" w:hAnsi="Times New Roman" w:cs="Times New Roman"/>
                <w:bCs/>
                <w:color w:val="000000"/>
                <w:sz w:val="20"/>
                <w:szCs w:val="20"/>
              </w:rPr>
              <w:t>817,571,092</w:t>
            </w:r>
          </w:p>
        </w:tc>
        <w:tc>
          <w:tcPr>
            <w:tcW w:w="1384" w:type="dxa"/>
            <w:gridSpan w:val="3"/>
            <w:vAlign w:val="center"/>
          </w:tcPr>
          <w:p w14:paraId="2D6A69F7" w14:textId="77777777" w:rsidR="00951674" w:rsidRPr="00971395"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971395">
              <w:rPr>
                <w:rFonts w:ascii="Times New Roman" w:hAnsi="Times New Roman" w:cs="Times New Roman"/>
                <w:bCs/>
                <w:color w:val="000000"/>
                <w:sz w:val="20"/>
                <w:szCs w:val="20"/>
              </w:rPr>
              <w:t>816,521,092</w:t>
            </w:r>
          </w:p>
        </w:tc>
        <w:tc>
          <w:tcPr>
            <w:tcW w:w="1133" w:type="dxa"/>
            <w:gridSpan w:val="3"/>
            <w:vAlign w:val="center"/>
          </w:tcPr>
          <w:p w14:paraId="666FE798" w14:textId="77777777" w:rsidR="00951674" w:rsidRPr="00971395"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971395">
              <w:rPr>
                <w:rFonts w:ascii="Times New Roman" w:hAnsi="Times New Roman" w:cs="Times New Roman"/>
                <w:bCs/>
                <w:color w:val="000000"/>
                <w:sz w:val="20"/>
                <w:szCs w:val="20"/>
              </w:rPr>
              <w:t>1,050,000</w:t>
            </w:r>
          </w:p>
        </w:tc>
        <w:tc>
          <w:tcPr>
            <w:tcW w:w="1260" w:type="dxa"/>
            <w:gridSpan w:val="3"/>
            <w:vAlign w:val="center"/>
          </w:tcPr>
          <w:p w14:paraId="6E149B44" w14:textId="77777777" w:rsidR="00951674" w:rsidRPr="005A3B47"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A3B47">
              <w:rPr>
                <w:rFonts w:ascii="Times New Roman" w:hAnsi="Times New Roman" w:cs="Times New Roman"/>
                <w:bCs/>
                <w:sz w:val="20"/>
                <w:szCs w:val="20"/>
              </w:rPr>
              <w:t>0</w:t>
            </w:r>
          </w:p>
        </w:tc>
      </w:tr>
    </w:tbl>
    <w:p w14:paraId="2B648F88" w14:textId="77777777" w:rsidR="00951674" w:rsidRPr="00205002" w:rsidRDefault="00951674" w:rsidP="00951674">
      <w:pPr>
        <w:pStyle w:val="NoSpacing"/>
        <w:spacing w:line="276" w:lineRule="auto"/>
        <w:jc w:val="both"/>
        <w:rPr>
          <w:rFonts w:ascii="Times New Roman" w:eastAsia="Arial" w:hAnsi="Times New Roman"/>
          <w:sz w:val="24"/>
          <w:szCs w:val="28"/>
          <w:lang w:val="sq-AL"/>
        </w:rPr>
      </w:pPr>
    </w:p>
    <w:p w14:paraId="64A5E1BD" w14:textId="04380872" w:rsidR="00951674" w:rsidRPr="00205002" w:rsidRDefault="00951674" w:rsidP="00971395">
      <w:pPr>
        <w:pStyle w:val="NoSpacing"/>
        <w:spacing w:after="240" w:line="276" w:lineRule="auto"/>
        <w:jc w:val="both"/>
        <w:rPr>
          <w:rFonts w:ascii="Times New Roman" w:eastAsia="Arial" w:hAnsi="Times New Roman"/>
          <w:sz w:val="24"/>
          <w:szCs w:val="28"/>
          <w:lang w:val="sq-AL"/>
        </w:rPr>
      </w:pPr>
      <w:r w:rsidRPr="00205002">
        <w:rPr>
          <w:rFonts w:ascii="Times New Roman" w:eastAsia="Arial" w:hAnsi="Times New Roman"/>
          <w:sz w:val="24"/>
          <w:szCs w:val="28"/>
          <w:lang w:val="sq-AL"/>
        </w:rPr>
        <w:t xml:space="preserve">Pikërisht nevoja për mbështetje për aktivitetet e evidentuara pasqyrohet edhe në vlerën e hendekut financiar ku </w:t>
      </w:r>
      <w:r w:rsidR="00F325E5">
        <w:rPr>
          <w:rFonts w:ascii="Times New Roman" w:eastAsia="Arial" w:hAnsi="Times New Roman"/>
          <w:sz w:val="24"/>
          <w:szCs w:val="28"/>
          <w:lang w:val="sq-AL"/>
        </w:rPr>
        <w:t>O</w:t>
      </w:r>
      <w:r w:rsidRPr="00205002">
        <w:rPr>
          <w:rFonts w:ascii="Times New Roman" w:eastAsia="Arial" w:hAnsi="Times New Roman"/>
          <w:sz w:val="24"/>
          <w:szCs w:val="28"/>
          <w:lang w:val="sq-AL"/>
        </w:rPr>
        <w:t xml:space="preserve">bjektivi </w:t>
      </w:r>
      <w:r w:rsidR="00F325E5">
        <w:rPr>
          <w:rFonts w:ascii="Times New Roman" w:eastAsia="Arial" w:hAnsi="Times New Roman"/>
          <w:sz w:val="24"/>
          <w:szCs w:val="28"/>
          <w:lang w:val="sq-AL"/>
        </w:rPr>
        <w:t>S</w:t>
      </w:r>
      <w:r w:rsidRPr="00205002">
        <w:rPr>
          <w:rFonts w:ascii="Times New Roman" w:eastAsia="Arial" w:hAnsi="Times New Roman"/>
          <w:sz w:val="24"/>
          <w:szCs w:val="28"/>
          <w:lang w:val="sq-AL"/>
        </w:rPr>
        <w:t>pecifik i tretë ka edhe vlerën më të lartë me 53.9 milion lekë.</w:t>
      </w:r>
    </w:p>
    <w:p w14:paraId="4AD2011A" w14:textId="0F1CDA57" w:rsidR="00951674" w:rsidRPr="00205002" w:rsidRDefault="00951674" w:rsidP="00951674">
      <w:pPr>
        <w:pStyle w:val="NoSpacing"/>
        <w:spacing w:line="276" w:lineRule="auto"/>
        <w:jc w:val="both"/>
        <w:rPr>
          <w:rFonts w:ascii="Times New Roman" w:eastAsia="Arial" w:hAnsi="Times New Roman"/>
          <w:sz w:val="24"/>
          <w:szCs w:val="28"/>
          <w:lang w:val="sq-AL"/>
        </w:rPr>
      </w:pPr>
      <w:r w:rsidRPr="00205002">
        <w:rPr>
          <w:rFonts w:ascii="Times New Roman" w:eastAsia="Arial" w:hAnsi="Times New Roman"/>
          <w:sz w:val="24"/>
          <w:szCs w:val="28"/>
          <w:lang w:val="sq-AL"/>
        </w:rPr>
        <w:t xml:space="preserve">Përsa i përket </w:t>
      </w:r>
      <w:r w:rsidR="00F325E5">
        <w:rPr>
          <w:rFonts w:ascii="Times New Roman" w:eastAsia="Arial" w:hAnsi="Times New Roman"/>
          <w:sz w:val="24"/>
          <w:szCs w:val="28"/>
          <w:lang w:val="sq-AL"/>
        </w:rPr>
        <w:t>Q</w:t>
      </w:r>
      <w:r w:rsidRPr="00205002">
        <w:rPr>
          <w:rFonts w:ascii="Times New Roman" w:eastAsia="Arial" w:hAnsi="Times New Roman"/>
          <w:sz w:val="24"/>
          <w:szCs w:val="28"/>
          <w:lang w:val="sq-AL"/>
        </w:rPr>
        <w:t xml:space="preserve">ëllimit të </w:t>
      </w:r>
      <w:r w:rsidR="00F325E5">
        <w:rPr>
          <w:rFonts w:ascii="Times New Roman" w:eastAsia="Arial" w:hAnsi="Times New Roman"/>
          <w:sz w:val="24"/>
          <w:szCs w:val="28"/>
          <w:lang w:val="sq-AL"/>
        </w:rPr>
        <w:t>P</w:t>
      </w:r>
      <w:r w:rsidRPr="00205002">
        <w:rPr>
          <w:rFonts w:ascii="Times New Roman" w:eastAsia="Arial" w:hAnsi="Times New Roman"/>
          <w:sz w:val="24"/>
          <w:szCs w:val="28"/>
          <w:lang w:val="sq-AL"/>
        </w:rPr>
        <w:t>olitikës të pestë që ka të bëjë me masat që do ndërmerren në të ardhmen për të pasur një administratë të gjelbër publike, mund të thuhet se nevoja për financim është e dukshme dhe institucioni përgjegjës për energjinë po përgatit bazën ligjore që do mbështesë gjithë procesin. Edhe pse disa nga masat e planifikuara në qëllimet e tjera të politikës mund të kontribuojnë tek arritja e një administrate publike të gjelbër, përsëri masat e nevojshme në lidhje me infrastrukturën publike dhe me mirëmenaxhimin e energjisë janë një risi dhe kërkojnë mbështetje të mëtejshme.</w:t>
      </w:r>
    </w:p>
    <w:p w14:paraId="75811C6E" w14:textId="77777777" w:rsidR="00951674" w:rsidRPr="00205002" w:rsidRDefault="00951674" w:rsidP="00951674">
      <w:pPr>
        <w:pStyle w:val="NoSpacing"/>
        <w:spacing w:line="276" w:lineRule="auto"/>
        <w:jc w:val="both"/>
        <w:rPr>
          <w:rFonts w:ascii="Times New Roman" w:eastAsia="Arial" w:hAnsi="Times New Roman"/>
          <w:sz w:val="24"/>
          <w:szCs w:val="28"/>
          <w:lang w:val="sq-AL"/>
        </w:rPr>
      </w:pPr>
    </w:p>
    <w:p w14:paraId="752CADEE" w14:textId="77777777" w:rsidR="00951674" w:rsidRPr="003C387F" w:rsidRDefault="00951674" w:rsidP="00951674">
      <w:pPr>
        <w:pStyle w:val="NoSpacing"/>
        <w:spacing w:line="276" w:lineRule="auto"/>
        <w:jc w:val="both"/>
        <w:rPr>
          <w:rFonts w:ascii="Times New Roman" w:eastAsia="Arial" w:hAnsi="Times New Roman"/>
          <w:i/>
          <w:iCs/>
          <w:szCs w:val="24"/>
          <w:lang w:val="sq-AL"/>
        </w:rPr>
      </w:pPr>
      <w:r w:rsidRPr="003C387F">
        <w:rPr>
          <w:rFonts w:ascii="Times New Roman" w:eastAsia="Arial" w:hAnsi="Times New Roman"/>
          <w:i/>
          <w:iCs/>
          <w:szCs w:val="24"/>
          <w:lang w:val="sq-AL"/>
        </w:rPr>
        <w:t xml:space="preserve">Tabela </w:t>
      </w:r>
      <w:r>
        <w:rPr>
          <w:rFonts w:ascii="Times New Roman" w:eastAsia="Arial" w:hAnsi="Times New Roman"/>
          <w:i/>
          <w:iCs/>
          <w:szCs w:val="24"/>
          <w:lang w:val="sq-AL"/>
        </w:rPr>
        <w:t>6</w:t>
      </w:r>
      <w:r w:rsidRPr="003C387F">
        <w:rPr>
          <w:rFonts w:ascii="Times New Roman" w:eastAsia="Arial" w:hAnsi="Times New Roman"/>
          <w:i/>
          <w:iCs/>
          <w:szCs w:val="24"/>
          <w:lang w:val="sq-AL"/>
        </w:rPr>
        <w:t>: Përbërja e kostos totale për qëllimin e pestë të politikës bazuar te burimi i financimit (në lekë)</w:t>
      </w:r>
    </w:p>
    <w:p w14:paraId="4E197AF9" w14:textId="77777777" w:rsidR="00951674" w:rsidRPr="00FC083E" w:rsidRDefault="00951674" w:rsidP="00951674">
      <w:pPr>
        <w:pStyle w:val="NoSpacing"/>
        <w:spacing w:line="276" w:lineRule="auto"/>
        <w:jc w:val="both"/>
        <w:rPr>
          <w:rFonts w:ascii="Times New Roman" w:eastAsia="Arial" w:hAnsi="Times New Roman"/>
          <w:sz w:val="8"/>
          <w:szCs w:val="10"/>
          <w:lang w:val="sq-AL"/>
        </w:rPr>
      </w:pPr>
    </w:p>
    <w:tbl>
      <w:tblPr>
        <w:tblStyle w:val="ListTable3-Accent5"/>
        <w:tblW w:w="10159" w:type="dxa"/>
        <w:tblInd w:w="-365" w:type="dxa"/>
        <w:tblLook w:val="04A0" w:firstRow="1" w:lastRow="0" w:firstColumn="1" w:lastColumn="0" w:noHBand="0" w:noVBand="1"/>
      </w:tblPr>
      <w:tblGrid>
        <w:gridCol w:w="4860"/>
        <w:gridCol w:w="180"/>
        <w:gridCol w:w="1263"/>
        <w:gridCol w:w="180"/>
        <w:gridCol w:w="1103"/>
        <w:gridCol w:w="180"/>
        <w:gridCol w:w="953"/>
        <w:gridCol w:w="180"/>
        <w:gridCol w:w="1181"/>
        <w:gridCol w:w="79"/>
      </w:tblGrid>
      <w:tr w:rsidR="00951674" w:rsidRPr="00205002" w14:paraId="4782379C" w14:textId="77777777" w:rsidTr="00D12C43">
        <w:trPr>
          <w:cnfStyle w:val="100000000000" w:firstRow="1" w:lastRow="0" w:firstColumn="0" w:lastColumn="0" w:oddVBand="0" w:evenVBand="0" w:oddHBand="0" w:evenHBand="0" w:firstRowFirstColumn="0" w:firstRowLastColumn="0" w:lastRowFirstColumn="0" w:lastRowLastColumn="0"/>
          <w:trHeight w:val="585"/>
        </w:trPr>
        <w:tc>
          <w:tcPr>
            <w:cnfStyle w:val="001000000100" w:firstRow="0" w:lastRow="0" w:firstColumn="1" w:lastColumn="0" w:oddVBand="0" w:evenVBand="0" w:oddHBand="0" w:evenHBand="0" w:firstRowFirstColumn="1" w:firstRowLastColumn="0" w:lastRowFirstColumn="0" w:lastRowLastColumn="0"/>
            <w:tcW w:w="5040" w:type="dxa"/>
            <w:gridSpan w:val="2"/>
            <w:vMerge w:val="restart"/>
            <w:hideMark/>
          </w:tcPr>
          <w:p w14:paraId="428F7182" w14:textId="77777777" w:rsidR="00951674" w:rsidRPr="00205002" w:rsidRDefault="00951674" w:rsidP="00D12C43">
            <w:pPr>
              <w:jc w:val="both"/>
              <w:rPr>
                <w:rFonts w:ascii="Times New Roman" w:eastAsia="Times New Roman" w:hAnsi="Times New Roman" w:cs="Times New Roman"/>
                <w:color w:val="000000"/>
                <w:sz w:val="20"/>
                <w:szCs w:val="20"/>
                <w:lang w:val="sq-AL"/>
              </w:rPr>
            </w:pPr>
          </w:p>
        </w:tc>
        <w:tc>
          <w:tcPr>
            <w:tcW w:w="1443" w:type="dxa"/>
            <w:gridSpan w:val="2"/>
            <w:vMerge w:val="restart"/>
            <w:hideMark/>
          </w:tcPr>
          <w:p w14:paraId="140253E8" w14:textId="77777777" w:rsidR="00951674" w:rsidRPr="00205002" w:rsidRDefault="00951674" w:rsidP="00D12C4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sq-AL"/>
              </w:rPr>
            </w:pPr>
            <w:r w:rsidRPr="00205002">
              <w:rPr>
                <w:rFonts w:ascii="Times New Roman" w:eastAsia="Times New Roman" w:hAnsi="Times New Roman" w:cs="Times New Roman"/>
                <w:color w:val="000000"/>
                <w:sz w:val="20"/>
                <w:szCs w:val="20"/>
                <w:lang w:val="sq-AL"/>
              </w:rPr>
              <w:t>Kosto totale</w:t>
            </w:r>
            <w:r w:rsidRPr="00205002">
              <w:rPr>
                <w:rFonts w:ascii="Times New Roman" w:eastAsia="Times New Roman" w:hAnsi="Times New Roman" w:cs="Times New Roman"/>
                <w:color w:val="000000"/>
                <w:sz w:val="20"/>
                <w:szCs w:val="20"/>
                <w:lang w:val="sq-AL"/>
              </w:rPr>
              <w:br/>
              <w:t>(në lekë)</w:t>
            </w:r>
          </w:p>
        </w:tc>
        <w:tc>
          <w:tcPr>
            <w:tcW w:w="2416" w:type="dxa"/>
            <w:gridSpan w:val="4"/>
            <w:hideMark/>
          </w:tcPr>
          <w:p w14:paraId="3859B04A" w14:textId="77777777" w:rsidR="00951674" w:rsidRPr="00205002" w:rsidRDefault="00951674" w:rsidP="00D12C4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205002">
              <w:rPr>
                <w:rFonts w:ascii="Times New Roman" w:eastAsia="Times New Roman" w:hAnsi="Times New Roman" w:cs="Times New Roman"/>
                <w:sz w:val="20"/>
                <w:szCs w:val="20"/>
                <w:lang w:val="sq-AL"/>
              </w:rPr>
              <w:t>Burimi i mbulimit</w:t>
            </w:r>
            <w:r w:rsidRPr="00205002">
              <w:rPr>
                <w:rFonts w:ascii="Times New Roman" w:eastAsia="Times New Roman" w:hAnsi="Times New Roman" w:cs="Times New Roman"/>
                <w:sz w:val="20"/>
                <w:szCs w:val="20"/>
                <w:lang w:val="sq-AL"/>
              </w:rPr>
              <w:br/>
              <w:t>2025-2027</w:t>
            </w:r>
          </w:p>
        </w:tc>
        <w:tc>
          <w:tcPr>
            <w:tcW w:w="1260" w:type="dxa"/>
            <w:gridSpan w:val="2"/>
            <w:vMerge w:val="restart"/>
            <w:hideMark/>
          </w:tcPr>
          <w:p w14:paraId="63CCEBE2" w14:textId="77777777" w:rsidR="00951674" w:rsidRPr="00205002" w:rsidRDefault="00951674" w:rsidP="00D12C43">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sq-AL"/>
              </w:rPr>
            </w:pPr>
            <w:r w:rsidRPr="00205002">
              <w:rPr>
                <w:rFonts w:ascii="Times New Roman" w:eastAsia="Times New Roman" w:hAnsi="Times New Roman" w:cs="Times New Roman"/>
                <w:sz w:val="20"/>
                <w:szCs w:val="20"/>
                <w:lang w:val="sq-AL"/>
              </w:rPr>
              <w:t xml:space="preserve">Hendeku financiar </w:t>
            </w:r>
          </w:p>
        </w:tc>
      </w:tr>
      <w:tr w:rsidR="00951674" w:rsidRPr="00205002" w14:paraId="70B7591F" w14:textId="77777777" w:rsidTr="00D12C43">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5040" w:type="dxa"/>
            <w:gridSpan w:val="2"/>
            <w:vMerge/>
            <w:hideMark/>
          </w:tcPr>
          <w:p w14:paraId="699C34D6" w14:textId="77777777" w:rsidR="00951674" w:rsidRPr="00205002" w:rsidRDefault="00951674" w:rsidP="00D12C43">
            <w:pPr>
              <w:jc w:val="both"/>
              <w:rPr>
                <w:rFonts w:ascii="Times New Roman" w:eastAsia="Times New Roman" w:hAnsi="Times New Roman" w:cs="Times New Roman"/>
                <w:color w:val="000000"/>
                <w:sz w:val="20"/>
                <w:szCs w:val="20"/>
                <w:lang w:val="sq-AL"/>
              </w:rPr>
            </w:pPr>
          </w:p>
        </w:tc>
        <w:tc>
          <w:tcPr>
            <w:tcW w:w="1443" w:type="dxa"/>
            <w:gridSpan w:val="2"/>
            <w:vMerge/>
            <w:hideMark/>
          </w:tcPr>
          <w:p w14:paraId="28A3D56D" w14:textId="77777777" w:rsidR="00951674" w:rsidRPr="00205002"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q-AL"/>
              </w:rPr>
            </w:pPr>
          </w:p>
        </w:tc>
        <w:tc>
          <w:tcPr>
            <w:tcW w:w="1283" w:type="dxa"/>
            <w:gridSpan w:val="2"/>
            <w:noWrap/>
            <w:hideMark/>
          </w:tcPr>
          <w:p w14:paraId="303F8EB7" w14:textId="77777777" w:rsidR="00951674" w:rsidRPr="00205002"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q-AL"/>
              </w:rPr>
            </w:pPr>
            <w:r w:rsidRPr="00205002">
              <w:rPr>
                <w:rFonts w:ascii="Times New Roman" w:eastAsia="Times New Roman" w:hAnsi="Times New Roman" w:cs="Times New Roman"/>
                <w:b/>
                <w:bCs/>
                <w:color w:val="000000"/>
                <w:sz w:val="20"/>
                <w:szCs w:val="20"/>
                <w:lang w:val="sq-AL"/>
              </w:rPr>
              <w:t xml:space="preserve">Buxhet shteti </w:t>
            </w:r>
          </w:p>
        </w:tc>
        <w:tc>
          <w:tcPr>
            <w:tcW w:w="1133" w:type="dxa"/>
            <w:gridSpan w:val="2"/>
            <w:noWrap/>
            <w:hideMark/>
          </w:tcPr>
          <w:p w14:paraId="1152CD56" w14:textId="77777777" w:rsidR="00951674" w:rsidRPr="00205002"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sq-AL"/>
              </w:rPr>
            </w:pPr>
            <w:r w:rsidRPr="00205002">
              <w:rPr>
                <w:rFonts w:ascii="Times New Roman" w:eastAsia="Times New Roman" w:hAnsi="Times New Roman" w:cs="Times New Roman"/>
                <w:b/>
                <w:bCs/>
                <w:color w:val="000000"/>
                <w:sz w:val="20"/>
                <w:szCs w:val="20"/>
                <w:lang w:val="sq-AL"/>
              </w:rPr>
              <w:t xml:space="preserve">Financim i huaj </w:t>
            </w:r>
          </w:p>
        </w:tc>
        <w:tc>
          <w:tcPr>
            <w:tcW w:w="1260" w:type="dxa"/>
            <w:gridSpan w:val="2"/>
            <w:vMerge/>
            <w:hideMark/>
          </w:tcPr>
          <w:p w14:paraId="309C2154" w14:textId="77777777" w:rsidR="00951674" w:rsidRPr="00205002"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sq-AL"/>
              </w:rPr>
            </w:pPr>
          </w:p>
        </w:tc>
      </w:tr>
      <w:tr w:rsidR="00951674" w:rsidRPr="00205002" w14:paraId="3AFAFC6E" w14:textId="77777777" w:rsidTr="00D12C43">
        <w:trPr>
          <w:gridAfter w:val="1"/>
          <w:wAfter w:w="79" w:type="dxa"/>
          <w:trHeight w:val="413"/>
        </w:trPr>
        <w:tc>
          <w:tcPr>
            <w:cnfStyle w:val="001000000000" w:firstRow="0" w:lastRow="0" w:firstColumn="1" w:lastColumn="0" w:oddVBand="0" w:evenVBand="0" w:oddHBand="0" w:evenHBand="0" w:firstRowFirstColumn="0" w:firstRowLastColumn="0" w:lastRowFirstColumn="0" w:lastRowLastColumn="0"/>
            <w:tcW w:w="4860" w:type="dxa"/>
            <w:noWrap/>
            <w:hideMark/>
          </w:tcPr>
          <w:p w14:paraId="44E2F0A6" w14:textId="77777777" w:rsidR="00951674" w:rsidRPr="00205002" w:rsidRDefault="00951674" w:rsidP="00D12C43">
            <w:pPr>
              <w:jc w:val="both"/>
              <w:rPr>
                <w:rFonts w:ascii="Times New Roman" w:eastAsia="Times New Roman" w:hAnsi="Times New Roman" w:cs="Times New Roman"/>
                <w:color w:val="000000"/>
                <w:sz w:val="20"/>
                <w:szCs w:val="20"/>
                <w:lang w:val="sq-AL"/>
              </w:rPr>
            </w:pPr>
            <w:r w:rsidRPr="00205002">
              <w:rPr>
                <w:rFonts w:ascii="Times New Roman" w:eastAsia="Times New Roman" w:hAnsi="Times New Roman" w:cs="Times New Roman"/>
                <w:color w:val="000000"/>
                <w:sz w:val="20"/>
                <w:szCs w:val="20"/>
                <w:lang w:val="sq-AL"/>
              </w:rPr>
              <w:t>Kosto totale e Qëllimit të Politikës 5</w:t>
            </w:r>
          </w:p>
        </w:tc>
        <w:tc>
          <w:tcPr>
            <w:tcW w:w="1443" w:type="dxa"/>
            <w:gridSpan w:val="2"/>
            <w:vAlign w:val="center"/>
            <w:hideMark/>
          </w:tcPr>
          <w:p w14:paraId="5136E9D8" w14:textId="77777777" w:rsidR="00951674" w:rsidRPr="00D01309" w:rsidRDefault="00951674" w:rsidP="00D12C4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D01309">
              <w:rPr>
                <w:rFonts w:ascii="Times New Roman" w:hAnsi="Times New Roman" w:cs="Times New Roman"/>
                <w:b/>
                <w:bCs/>
                <w:sz w:val="20"/>
                <w:szCs w:val="20"/>
              </w:rPr>
              <w:t>644,664,013</w:t>
            </w:r>
          </w:p>
        </w:tc>
        <w:tc>
          <w:tcPr>
            <w:tcW w:w="1283" w:type="dxa"/>
            <w:gridSpan w:val="2"/>
            <w:vAlign w:val="center"/>
            <w:hideMark/>
          </w:tcPr>
          <w:p w14:paraId="42B5DFA1" w14:textId="77777777" w:rsidR="00951674" w:rsidRPr="00D01309" w:rsidRDefault="00951674" w:rsidP="00D12C4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01309">
              <w:rPr>
                <w:rFonts w:ascii="Times New Roman" w:hAnsi="Times New Roman" w:cs="Times New Roman"/>
                <w:b/>
                <w:bCs/>
                <w:sz w:val="20"/>
                <w:szCs w:val="20"/>
              </w:rPr>
              <w:t>84,600,014</w:t>
            </w:r>
          </w:p>
        </w:tc>
        <w:tc>
          <w:tcPr>
            <w:tcW w:w="1133" w:type="dxa"/>
            <w:gridSpan w:val="2"/>
            <w:vAlign w:val="center"/>
            <w:hideMark/>
          </w:tcPr>
          <w:p w14:paraId="56510D5C" w14:textId="77777777" w:rsidR="00951674" w:rsidRPr="00D01309" w:rsidRDefault="00951674" w:rsidP="00D12C43">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01309">
              <w:rPr>
                <w:rFonts w:ascii="Times New Roman" w:hAnsi="Times New Roman" w:cs="Times New Roman"/>
                <w:b/>
                <w:bCs/>
                <w:sz w:val="20"/>
                <w:szCs w:val="20"/>
              </w:rPr>
              <w:t>1,200,000</w:t>
            </w:r>
          </w:p>
        </w:tc>
        <w:tc>
          <w:tcPr>
            <w:tcW w:w="1361" w:type="dxa"/>
            <w:gridSpan w:val="2"/>
            <w:vAlign w:val="center"/>
            <w:hideMark/>
          </w:tcPr>
          <w:p w14:paraId="7E7A7582" w14:textId="77777777" w:rsidR="00951674" w:rsidRPr="00D01309"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01309">
              <w:rPr>
                <w:rFonts w:ascii="Times New Roman" w:hAnsi="Times New Roman" w:cs="Times New Roman"/>
                <w:b/>
                <w:bCs/>
                <w:sz w:val="20"/>
                <w:szCs w:val="20"/>
              </w:rPr>
              <w:t>-558,864,000</w:t>
            </w:r>
          </w:p>
        </w:tc>
      </w:tr>
      <w:tr w:rsidR="00951674" w:rsidRPr="00D01309" w14:paraId="5F41BBC9" w14:textId="77777777" w:rsidTr="00D12C43">
        <w:trPr>
          <w:gridAfter w:val="1"/>
          <w:cnfStyle w:val="000000100000" w:firstRow="0" w:lastRow="0" w:firstColumn="0" w:lastColumn="0" w:oddVBand="0" w:evenVBand="0" w:oddHBand="1" w:evenHBand="0" w:firstRowFirstColumn="0" w:firstRowLastColumn="0" w:lastRowFirstColumn="0" w:lastRowLastColumn="0"/>
          <w:wAfter w:w="79" w:type="dxa"/>
          <w:trHeight w:val="980"/>
        </w:trPr>
        <w:tc>
          <w:tcPr>
            <w:cnfStyle w:val="001000000000" w:firstRow="0" w:lastRow="0" w:firstColumn="1" w:lastColumn="0" w:oddVBand="0" w:evenVBand="0" w:oddHBand="0" w:evenHBand="0" w:firstRowFirstColumn="0" w:firstRowLastColumn="0" w:lastRowFirstColumn="0" w:lastRowLastColumn="0"/>
            <w:tcW w:w="4860" w:type="dxa"/>
            <w:vAlign w:val="center"/>
            <w:hideMark/>
          </w:tcPr>
          <w:p w14:paraId="49B2D9B5" w14:textId="77777777" w:rsidR="00951674" w:rsidRPr="00205002" w:rsidRDefault="00951674" w:rsidP="00D12C43">
            <w:pPr>
              <w:jc w:val="both"/>
              <w:rPr>
                <w:rFonts w:ascii="Times New Roman" w:eastAsia="Times New Roman" w:hAnsi="Times New Roman" w:cs="Times New Roman"/>
                <w:sz w:val="20"/>
                <w:szCs w:val="20"/>
                <w:lang w:val="sq-AL"/>
              </w:rPr>
            </w:pPr>
            <w:r w:rsidRPr="00205002">
              <w:rPr>
                <w:rFonts w:ascii="Times New Roman" w:hAnsi="Times New Roman" w:cs="Times New Roman"/>
                <w:b w:val="0"/>
                <w:bCs w:val="0"/>
                <w:sz w:val="20"/>
                <w:szCs w:val="20"/>
                <w:lang w:val="sq-AL"/>
              </w:rPr>
              <w:t xml:space="preserve">Objektivi specifik 5.1: Përmirësimi i performancës mjedisore të institucioneve publike në përputhje me standardet e Skemës së Eko-Menaxhimit dhe Auditimit (SEMA). </w:t>
            </w:r>
          </w:p>
        </w:tc>
        <w:tc>
          <w:tcPr>
            <w:tcW w:w="1443" w:type="dxa"/>
            <w:gridSpan w:val="2"/>
            <w:noWrap/>
            <w:vAlign w:val="center"/>
            <w:hideMark/>
          </w:tcPr>
          <w:p w14:paraId="6D56D51C" w14:textId="77777777" w:rsidR="00951674" w:rsidRPr="00D01309"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D01309">
              <w:rPr>
                <w:rFonts w:ascii="Times New Roman" w:hAnsi="Times New Roman" w:cs="Times New Roman"/>
                <w:bCs/>
                <w:sz w:val="20"/>
                <w:szCs w:val="20"/>
              </w:rPr>
              <w:t>623,829,411</w:t>
            </w:r>
          </w:p>
        </w:tc>
        <w:tc>
          <w:tcPr>
            <w:tcW w:w="1283" w:type="dxa"/>
            <w:gridSpan w:val="2"/>
            <w:noWrap/>
            <w:vAlign w:val="center"/>
            <w:hideMark/>
          </w:tcPr>
          <w:p w14:paraId="373A83A4" w14:textId="77777777" w:rsidR="00951674" w:rsidRPr="00D01309"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D01309">
              <w:rPr>
                <w:rFonts w:ascii="Times New Roman" w:hAnsi="Times New Roman" w:cs="Times New Roman"/>
                <w:bCs/>
                <w:sz w:val="20"/>
                <w:szCs w:val="20"/>
              </w:rPr>
              <w:t>73,989,411</w:t>
            </w:r>
          </w:p>
        </w:tc>
        <w:tc>
          <w:tcPr>
            <w:tcW w:w="1133" w:type="dxa"/>
            <w:gridSpan w:val="2"/>
            <w:noWrap/>
            <w:vAlign w:val="center"/>
            <w:hideMark/>
          </w:tcPr>
          <w:p w14:paraId="5AD8F6C7" w14:textId="77777777" w:rsidR="00951674" w:rsidRPr="00D01309"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D01309">
              <w:rPr>
                <w:rFonts w:ascii="Times New Roman" w:hAnsi="Times New Roman" w:cs="Times New Roman"/>
                <w:bCs/>
                <w:sz w:val="20"/>
                <w:szCs w:val="20"/>
              </w:rPr>
              <w:t>0</w:t>
            </w:r>
          </w:p>
        </w:tc>
        <w:tc>
          <w:tcPr>
            <w:tcW w:w="1361" w:type="dxa"/>
            <w:gridSpan w:val="2"/>
            <w:noWrap/>
            <w:vAlign w:val="center"/>
            <w:hideMark/>
          </w:tcPr>
          <w:p w14:paraId="50802614" w14:textId="77777777" w:rsidR="00951674" w:rsidRPr="00D01309" w:rsidRDefault="00951674" w:rsidP="00D12C4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D01309">
              <w:rPr>
                <w:rFonts w:ascii="Times New Roman" w:hAnsi="Times New Roman" w:cs="Times New Roman"/>
                <w:bCs/>
                <w:sz w:val="20"/>
                <w:szCs w:val="20"/>
              </w:rPr>
              <w:t>-549,840,000</w:t>
            </w:r>
          </w:p>
        </w:tc>
      </w:tr>
      <w:tr w:rsidR="00951674" w:rsidRPr="00205002" w14:paraId="5BB4C4CA" w14:textId="77777777" w:rsidTr="00D12C43">
        <w:trPr>
          <w:trHeight w:val="620"/>
        </w:trPr>
        <w:tc>
          <w:tcPr>
            <w:cnfStyle w:val="001000000000" w:firstRow="0" w:lastRow="0" w:firstColumn="1" w:lastColumn="0" w:oddVBand="0" w:evenVBand="0" w:oddHBand="0" w:evenHBand="0" w:firstRowFirstColumn="0" w:firstRowLastColumn="0" w:lastRowFirstColumn="0" w:lastRowLastColumn="0"/>
            <w:tcW w:w="5040" w:type="dxa"/>
            <w:gridSpan w:val="2"/>
            <w:vAlign w:val="center"/>
            <w:hideMark/>
          </w:tcPr>
          <w:p w14:paraId="77CDE4C9" w14:textId="77777777" w:rsidR="00951674" w:rsidRPr="00D01309" w:rsidRDefault="00951674" w:rsidP="00D12C43">
            <w:pPr>
              <w:jc w:val="both"/>
              <w:rPr>
                <w:rFonts w:ascii="Times New Roman" w:eastAsia="Times New Roman" w:hAnsi="Times New Roman" w:cs="Times New Roman"/>
                <w:b w:val="0"/>
                <w:sz w:val="20"/>
                <w:szCs w:val="20"/>
                <w:lang w:val="sq-AL"/>
              </w:rPr>
            </w:pPr>
            <w:r w:rsidRPr="00D01309">
              <w:rPr>
                <w:rFonts w:ascii="Times New Roman" w:hAnsi="Times New Roman" w:cs="Times New Roman"/>
                <w:b w:val="0"/>
                <w:bCs w:val="0"/>
                <w:sz w:val="20"/>
                <w:szCs w:val="20"/>
                <w:lang w:val="sq-AL"/>
              </w:rPr>
              <w:lastRenderedPageBreak/>
              <w:t>Objektivi specifik 5.2: Forcimi i partneritetit ndërsektorial për zbatimin e nismave të gjelbra në administratën publike</w:t>
            </w:r>
          </w:p>
        </w:tc>
        <w:tc>
          <w:tcPr>
            <w:tcW w:w="1443" w:type="dxa"/>
            <w:gridSpan w:val="2"/>
            <w:noWrap/>
            <w:vAlign w:val="center"/>
            <w:hideMark/>
          </w:tcPr>
          <w:p w14:paraId="30CED9E6" w14:textId="77777777" w:rsidR="00951674" w:rsidRPr="00D01309"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D01309">
              <w:rPr>
                <w:rFonts w:ascii="Times New Roman" w:hAnsi="Times New Roman" w:cs="Times New Roman"/>
                <w:bCs/>
                <w:sz w:val="20"/>
                <w:szCs w:val="20"/>
              </w:rPr>
              <w:t>6,764,000</w:t>
            </w:r>
          </w:p>
        </w:tc>
        <w:tc>
          <w:tcPr>
            <w:tcW w:w="1283" w:type="dxa"/>
            <w:gridSpan w:val="2"/>
            <w:noWrap/>
            <w:vAlign w:val="center"/>
            <w:hideMark/>
          </w:tcPr>
          <w:p w14:paraId="0A8A0F2B" w14:textId="77777777" w:rsidR="00951674" w:rsidRPr="00D01309"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D01309">
              <w:rPr>
                <w:rFonts w:ascii="Times New Roman" w:hAnsi="Times New Roman" w:cs="Times New Roman"/>
                <w:bCs/>
                <w:sz w:val="20"/>
                <w:szCs w:val="20"/>
              </w:rPr>
              <w:t>5,420,000</w:t>
            </w:r>
          </w:p>
        </w:tc>
        <w:tc>
          <w:tcPr>
            <w:tcW w:w="1133" w:type="dxa"/>
            <w:gridSpan w:val="2"/>
            <w:noWrap/>
            <w:vAlign w:val="center"/>
            <w:hideMark/>
          </w:tcPr>
          <w:p w14:paraId="6D74AA74" w14:textId="77777777" w:rsidR="00951674" w:rsidRPr="00D01309"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D01309">
              <w:rPr>
                <w:rFonts w:ascii="Times New Roman" w:hAnsi="Times New Roman" w:cs="Times New Roman"/>
                <w:bCs/>
                <w:sz w:val="20"/>
                <w:szCs w:val="20"/>
              </w:rPr>
              <w:t>0</w:t>
            </w:r>
          </w:p>
        </w:tc>
        <w:tc>
          <w:tcPr>
            <w:tcW w:w="1260" w:type="dxa"/>
            <w:gridSpan w:val="2"/>
            <w:noWrap/>
            <w:vAlign w:val="center"/>
            <w:hideMark/>
          </w:tcPr>
          <w:p w14:paraId="2FBC0912" w14:textId="77777777" w:rsidR="00951674" w:rsidRPr="00D01309"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D01309">
              <w:rPr>
                <w:rFonts w:ascii="Times New Roman" w:hAnsi="Times New Roman" w:cs="Times New Roman"/>
                <w:bCs/>
                <w:sz w:val="20"/>
                <w:szCs w:val="20"/>
              </w:rPr>
              <w:t>-1,344,000</w:t>
            </w:r>
          </w:p>
        </w:tc>
      </w:tr>
      <w:tr w:rsidR="00951674" w:rsidRPr="00205002" w14:paraId="586130C5" w14:textId="77777777" w:rsidTr="00D12C43">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040" w:type="dxa"/>
            <w:gridSpan w:val="2"/>
            <w:vAlign w:val="center"/>
            <w:hideMark/>
          </w:tcPr>
          <w:p w14:paraId="40EE5DA3" w14:textId="77777777" w:rsidR="00951674" w:rsidRPr="00D01309" w:rsidRDefault="00951674" w:rsidP="00D12C43">
            <w:pPr>
              <w:jc w:val="both"/>
              <w:rPr>
                <w:rFonts w:ascii="Times New Roman" w:eastAsia="Times New Roman" w:hAnsi="Times New Roman" w:cs="Times New Roman"/>
                <w:b w:val="0"/>
                <w:sz w:val="20"/>
                <w:szCs w:val="20"/>
                <w:lang w:val="sq-AL"/>
              </w:rPr>
            </w:pPr>
            <w:r w:rsidRPr="00D01309">
              <w:rPr>
                <w:rFonts w:ascii="Times New Roman" w:hAnsi="Times New Roman" w:cs="Times New Roman"/>
                <w:b w:val="0"/>
                <w:bCs w:val="0"/>
                <w:sz w:val="20"/>
                <w:szCs w:val="20"/>
                <w:lang w:val="sq-AL"/>
              </w:rPr>
              <w:t>Objektivi Specifik 5.3: Transformimi i kapitalit njerëzor të sektorit publik për tranzicionin ekologjik</w:t>
            </w:r>
          </w:p>
        </w:tc>
        <w:tc>
          <w:tcPr>
            <w:tcW w:w="1443" w:type="dxa"/>
            <w:gridSpan w:val="2"/>
            <w:vAlign w:val="center"/>
            <w:hideMark/>
          </w:tcPr>
          <w:p w14:paraId="138B1168" w14:textId="77777777" w:rsidR="00951674" w:rsidRPr="00D01309"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rPr>
            </w:pPr>
            <w:r w:rsidRPr="00D01309">
              <w:rPr>
                <w:rFonts w:ascii="Times New Roman" w:hAnsi="Times New Roman" w:cs="Times New Roman"/>
                <w:bCs/>
                <w:sz w:val="20"/>
                <w:szCs w:val="20"/>
              </w:rPr>
              <w:t>3,216,130</w:t>
            </w:r>
          </w:p>
        </w:tc>
        <w:tc>
          <w:tcPr>
            <w:tcW w:w="1283" w:type="dxa"/>
            <w:gridSpan w:val="2"/>
            <w:vAlign w:val="center"/>
            <w:hideMark/>
          </w:tcPr>
          <w:p w14:paraId="5927786E" w14:textId="77777777" w:rsidR="00951674" w:rsidRPr="00D01309"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D01309">
              <w:rPr>
                <w:rFonts w:ascii="Times New Roman" w:hAnsi="Times New Roman" w:cs="Times New Roman"/>
                <w:bCs/>
                <w:sz w:val="20"/>
                <w:szCs w:val="20"/>
              </w:rPr>
              <w:t>1,976,130</w:t>
            </w:r>
          </w:p>
        </w:tc>
        <w:tc>
          <w:tcPr>
            <w:tcW w:w="1133" w:type="dxa"/>
            <w:gridSpan w:val="2"/>
            <w:vAlign w:val="center"/>
            <w:hideMark/>
          </w:tcPr>
          <w:p w14:paraId="5A43EFE6" w14:textId="77777777" w:rsidR="00951674" w:rsidRPr="00D01309"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D01309">
              <w:rPr>
                <w:rFonts w:ascii="Times New Roman" w:hAnsi="Times New Roman" w:cs="Times New Roman"/>
                <w:bCs/>
                <w:sz w:val="20"/>
                <w:szCs w:val="20"/>
              </w:rPr>
              <w:t>0</w:t>
            </w:r>
          </w:p>
        </w:tc>
        <w:tc>
          <w:tcPr>
            <w:tcW w:w="1260" w:type="dxa"/>
            <w:gridSpan w:val="2"/>
            <w:vAlign w:val="center"/>
            <w:hideMark/>
          </w:tcPr>
          <w:p w14:paraId="7B571F85" w14:textId="77777777" w:rsidR="00951674" w:rsidRPr="00D01309" w:rsidRDefault="00951674" w:rsidP="00D12C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D01309">
              <w:rPr>
                <w:rFonts w:ascii="Times New Roman" w:hAnsi="Times New Roman" w:cs="Times New Roman"/>
                <w:bCs/>
                <w:sz w:val="20"/>
                <w:szCs w:val="20"/>
              </w:rPr>
              <w:t>-1,240,000</w:t>
            </w:r>
          </w:p>
        </w:tc>
      </w:tr>
      <w:tr w:rsidR="00951674" w:rsidRPr="00205002" w14:paraId="753CAF98" w14:textId="77777777" w:rsidTr="00D12C43">
        <w:trPr>
          <w:trHeight w:val="710"/>
        </w:trPr>
        <w:tc>
          <w:tcPr>
            <w:cnfStyle w:val="001000000000" w:firstRow="0" w:lastRow="0" w:firstColumn="1" w:lastColumn="0" w:oddVBand="0" w:evenVBand="0" w:oddHBand="0" w:evenHBand="0" w:firstRowFirstColumn="0" w:firstRowLastColumn="0" w:lastRowFirstColumn="0" w:lastRowLastColumn="0"/>
            <w:tcW w:w="5040" w:type="dxa"/>
            <w:gridSpan w:val="2"/>
            <w:vAlign w:val="center"/>
          </w:tcPr>
          <w:p w14:paraId="2398CE5C" w14:textId="77777777" w:rsidR="00951674" w:rsidRPr="00D01309" w:rsidRDefault="00951674" w:rsidP="00D12C43">
            <w:pPr>
              <w:jc w:val="both"/>
              <w:rPr>
                <w:rFonts w:ascii="Times New Roman" w:eastAsia="Times New Roman" w:hAnsi="Times New Roman" w:cs="Times New Roman"/>
                <w:b w:val="0"/>
                <w:sz w:val="20"/>
                <w:szCs w:val="20"/>
                <w:lang w:val="sq-AL"/>
              </w:rPr>
            </w:pPr>
            <w:r w:rsidRPr="00D01309">
              <w:rPr>
                <w:rFonts w:ascii="Times New Roman" w:hAnsi="Times New Roman" w:cs="Times New Roman"/>
                <w:b w:val="0"/>
                <w:bCs w:val="0"/>
                <w:sz w:val="20"/>
                <w:szCs w:val="20"/>
                <w:lang w:val="sq-AL"/>
              </w:rPr>
              <w:t>Objektivi Specifik 5.4:  Përshpejtimi i prokurimit të gjelbër publik dhe zbatimi i parimeve të ekonomisë qarkulluese</w:t>
            </w:r>
          </w:p>
        </w:tc>
        <w:tc>
          <w:tcPr>
            <w:tcW w:w="1443" w:type="dxa"/>
            <w:gridSpan w:val="2"/>
            <w:vAlign w:val="center"/>
          </w:tcPr>
          <w:p w14:paraId="38315C44" w14:textId="77777777" w:rsidR="00951674" w:rsidRPr="00D01309"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rPr>
            </w:pPr>
            <w:r w:rsidRPr="00D01309">
              <w:rPr>
                <w:rFonts w:ascii="Times New Roman" w:hAnsi="Times New Roman" w:cs="Times New Roman"/>
                <w:bCs/>
                <w:sz w:val="20"/>
                <w:szCs w:val="20"/>
              </w:rPr>
              <w:t>10,854,473</w:t>
            </w:r>
          </w:p>
        </w:tc>
        <w:tc>
          <w:tcPr>
            <w:tcW w:w="1283" w:type="dxa"/>
            <w:gridSpan w:val="2"/>
            <w:vAlign w:val="center"/>
          </w:tcPr>
          <w:p w14:paraId="58AD630F" w14:textId="77777777" w:rsidR="00951674" w:rsidRPr="00D01309"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D01309">
              <w:rPr>
                <w:rFonts w:ascii="Times New Roman" w:hAnsi="Times New Roman" w:cs="Times New Roman"/>
                <w:bCs/>
                <w:sz w:val="20"/>
                <w:szCs w:val="20"/>
              </w:rPr>
              <w:t>3,214,473</w:t>
            </w:r>
          </w:p>
        </w:tc>
        <w:tc>
          <w:tcPr>
            <w:tcW w:w="1133" w:type="dxa"/>
            <w:gridSpan w:val="2"/>
            <w:vAlign w:val="center"/>
          </w:tcPr>
          <w:p w14:paraId="0EBE25CC" w14:textId="77777777" w:rsidR="00951674" w:rsidRPr="00D01309"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D01309">
              <w:rPr>
                <w:rFonts w:ascii="Times New Roman" w:hAnsi="Times New Roman" w:cs="Times New Roman"/>
                <w:bCs/>
                <w:sz w:val="20"/>
                <w:szCs w:val="20"/>
              </w:rPr>
              <w:t>1,200,000</w:t>
            </w:r>
          </w:p>
        </w:tc>
        <w:tc>
          <w:tcPr>
            <w:tcW w:w="1260" w:type="dxa"/>
            <w:gridSpan w:val="2"/>
            <w:vAlign w:val="center"/>
          </w:tcPr>
          <w:p w14:paraId="2FBCB370" w14:textId="77777777" w:rsidR="00951674" w:rsidRPr="00D01309" w:rsidRDefault="00951674" w:rsidP="00D12C4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D01309">
              <w:rPr>
                <w:rFonts w:ascii="Times New Roman" w:hAnsi="Times New Roman" w:cs="Times New Roman"/>
                <w:bCs/>
                <w:sz w:val="20"/>
                <w:szCs w:val="20"/>
              </w:rPr>
              <w:t>-6,440,000</w:t>
            </w:r>
          </w:p>
        </w:tc>
      </w:tr>
    </w:tbl>
    <w:p w14:paraId="3429473E" w14:textId="77777777" w:rsidR="00951674" w:rsidRPr="00205002" w:rsidRDefault="00951674" w:rsidP="00951674">
      <w:pPr>
        <w:pStyle w:val="NoSpacing"/>
        <w:spacing w:line="276" w:lineRule="auto"/>
        <w:jc w:val="both"/>
        <w:rPr>
          <w:rFonts w:ascii="Times New Roman" w:eastAsia="Arial" w:hAnsi="Times New Roman"/>
          <w:sz w:val="24"/>
          <w:szCs w:val="28"/>
          <w:lang w:val="sq-AL"/>
        </w:rPr>
      </w:pPr>
    </w:p>
    <w:p w14:paraId="1E3B4389" w14:textId="29DFB0B7" w:rsidR="00951674" w:rsidRDefault="00951674" w:rsidP="00FC083E">
      <w:pPr>
        <w:pStyle w:val="NoSpacing"/>
        <w:spacing w:after="240" w:line="276" w:lineRule="auto"/>
        <w:jc w:val="both"/>
        <w:rPr>
          <w:rFonts w:ascii="Times New Roman" w:hAnsi="Times New Roman"/>
          <w:sz w:val="24"/>
          <w:szCs w:val="24"/>
          <w:lang w:val="sq-AL"/>
        </w:rPr>
      </w:pPr>
      <w:r w:rsidRPr="00205002">
        <w:rPr>
          <w:rFonts w:ascii="Times New Roman" w:eastAsia="Arial" w:hAnsi="Times New Roman"/>
          <w:sz w:val="24"/>
          <w:szCs w:val="28"/>
          <w:lang w:val="sq-AL"/>
        </w:rPr>
        <w:t xml:space="preserve">Peshën më të madhe të kostos e zë </w:t>
      </w:r>
      <w:r w:rsidR="00B61B2C">
        <w:rPr>
          <w:rFonts w:ascii="Times New Roman" w:eastAsia="Arial" w:hAnsi="Times New Roman"/>
          <w:sz w:val="24"/>
          <w:szCs w:val="28"/>
          <w:lang w:val="sq-AL"/>
        </w:rPr>
        <w:t>O</w:t>
      </w:r>
      <w:r w:rsidRPr="00205002">
        <w:rPr>
          <w:rFonts w:ascii="Times New Roman" w:eastAsia="Arial" w:hAnsi="Times New Roman"/>
          <w:sz w:val="24"/>
          <w:szCs w:val="28"/>
          <w:lang w:val="sq-AL"/>
        </w:rPr>
        <w:t xml:space="preserve">bjektivi </w:t>
      </w:r>
      <w:r w:rsidR="00B61B2C">
        <w:rPr>
          <w:rFonts w:ascii="Times New Roman" w:eastAsia="Arial" w:hAnsi="Times New Roman"/>
          <w:sz w:val="24"/>
          <w:szCs w:val="28"/>
          <w:lang w:val="sq-AL"/>
        </w:rPr>
        <w:t>S</w:t>
      </w:r>
      <w:r w:rsidRPr="00205002">
        <w:rPr>
          <w:rFonts w:ascii="Times New Roman" w:eastAsia="Arial" w:hAnsi="Times New Roman"/>
          <w:sz w:val="24"/>
          <w:szCs w:val="28"/>
          <w:lang w:val="sq-AL"/>
        </w:rPr>
        <w:t xml:space="preserve">pecifik i parë që përfshin masën </w:t>
      </w:r>
      <w:r>
        <w:rPr>
          <w:rFonts w:ascii="Times New Roman" w:eastAsia="Arial" w:hAnsi="Times New Roman"/>
          <w:sz w:val="24"/>
          <w:szCs w:val="28"/>
          <w:lang w:val="sq-AL"/>
        </w:rPr>
        <w:t>“</w:t>
      </w:r>
      <w:r w:rsidRPr="002D03D1">
        <w:rPr>
          <w:rFonts w:ascii="Times New Roman" w:eastAsia="Arial" w:hAnsi="Times New Roman"/>
          <w:i/>
          <w:iCs/>
          <w:sz w:val="24"/>
          <w:szCs w:val="28"/>
          <w:lang w:val="sq-AL"/>
        </w:rPr>
        <w:t>Vlerësimi i performancës energjetike në institucionet publike nëpërmjet gjenerimit të Certifikatës së performancës Energjetike dhe vendosja e saj në një vend të dukshëm për publikun</w:t>
      </w:r>
      <w:r>
        <w:rPr>
          <w:rFonts w:ascii="Times New Roman" w:eastAsia="Arial" w:hAnsi="Times New Roman"/>
          <w:sz w:val="24"/>
          <w:szCs w:val="28"/>
          <w:lang w:val="sq-AL"/>
        </w:rPr>
        <w:t>”,</w:t>
      </w:r>
      <w:r w:rsidRPr="00205002">
        <w:rPr>
          <w:rFonts w:ascii="Times New Roman" w:eastAsia="Arial" w:hAnsi="Times New Roman"/>
          <w:sz w:val="24"/>
          <w:szCs w:val="28"/>
          <w:lang w:val="sq-AL"/>
        </w:rPr>
        <w:t xml:space="preserve"> që është një proces i planifikuar të nisë në 2026.</w:t>
      </w:r>
      <w:r w:rsidRPr="0098230F">
        <w:rPr>
          <w:rFonts w:ascii="Times New Roman" w:eastAsia="Arial" w:hAnsi="Times New Roman"/>
          <w:sz w:val="24"/>
          <w:szCs w:val="24"/>
          <w:lang w:val="sq-AL"/>
        </w:rPr>
        <w:t xml:space="preserve"> Ky hendek parashikohet të mbulohet me fonde të buxhetit të shtetit.</w:t>
      </w:r>
      <w:r w:rsidRPr="0098230F">
        <w:rPr>
          <w:rFonts w:ascii="Times New Roman" w:hAnsi="Times New Roman"/>
          <w:sz w:val="24"/>
          <w:szCs w:val="24"/>
          <w:lang w:val="sq-AL"/>
        </w:rPr>
        <w:t xml:space="preserve"> Hendekun më të ulët e ka objektivi specifik 3 </w:t>
      </w:r>
      <w:r>
        <w:rPr>
          <w:rFonts w:ascii="Times New Roman" w:hAnsi="Times New Roman"/>
          <w:sz w:val="24"/>
          <w:szCs w:val="24"/>
          <w:lang w:val="sq-AL"/>
        </w:rPr>
        <w:t>“</w:t>
      </w:r>
      <w:r w:rsidRPr="00DE4944">
        <w:rPr>
          <w:rFonts w:ascii="Times New Roman" w:hAnsi="Times New Roman"/>
          <w:i/>
          <w:iCs/>
          <w:sz w:val="24"/>
          <w:szCs w:val="24"/>
          <w:lang w:val="sq-AL"/>
        </w:rPr>
        <w:t>Transformimi i kapitalit njerëzor të sektorit publik për tranzicionin ekologjik</w:t>
      </w:r>
      <w:r>
        <w:rPr>
          <w:rFonts w:ascii="Times New Roman" w:hAnsi="Times New Roman"/>
          <w:sz w:val="24"/>
          <w:szCs w:val="24"/>
          <w:lang w:val="sq-AL"/>
        </w:rPr>
        <w:t>”.</w:t>
      </w:r>
    </w:p>
    <w:p w14:paraId="5F6D869C" w14:textId="137C6B96" w:rsidR="00951674" w:rsidRPr="001D7836" w:rsidRDefault="00951674" w:rsidP="00FC083E">
      <w:pPr>
        <w:pStyle w:val="NoSpacing"/>
        <w:spacing w:after="240" w:line="276" w:lineRule="auto"/>
        <w:jc w:val="both"/>
        <w:rPr>
          <w:rFonts w:ascii="Times New Roman" w:hAnsi="Times New Roman"/>
          <w:sz w:val="24"/>
          <w:szCs w:val="24"/>
          <w:lang w:val="sq-AL"/>
        </w:rPr>
      </w:pPr>
      <w:r w:rsidRPr="001D7836">
        <w:rPr>
          <w:rFonts w:ascii="Times New Roman" w:hAnsi="Times New Roman"/>
          <w:sz w:val="24"/>
          <w:szCs w:val="24"/>
          <w:lang w:val="sq-AL"/>
        </w:rPr>
        <w:t>Përsa i përket parashikimit të kostove p</w:t>
      </w:r>
      <w:r>
        <w:rPr>
          <w:rFonts w:ascii="Times New Roman" w:hAnsi="Times New Roman"/>
          <w:sz w:val="24"/>
          <w:szCs w:val="24"/>
          <w:lang w:val="sq-AL"/>
        </w:rPr>
        <w:t>ë</w:t>
      </w:r>
      <w:r w:rsidRPr="001D7836">
        <w:rPr>
          <w:rFonts w:ascii="Times New Roman" w:hAnsi="Times New Roman"/>
          <w:sz w:val="24"/>
          <w:szCs w:val="24"/>
          <w:lang w:val="sq-AL"/>
        </w:rPr>
        <w:t>r të realizuar masat e planifikuara në Planin aktual të Veprimit në periudhën 2028–2030, shpenzimet për paga parashikohen të mbeten në të njëjtat nivele, pra 359,090,718 lekë. Ky vlerësim mbështetet në supozimin se nuk do të ketë indeksim pagash. Nëse do të aplikohet një indeksim vjetor prej 3% në përputhje me normën e inflacionit, fondi i nevojshëm për paga do t’i afrohet vlerës prej 400 milionë lekësh. Ky parashikim nuk merr në konsideratë skenarët e mundshëm të riformatimit institucional që mund të çojnë në ulje ose rritje të numrit të punonjësve.</w:t>
      </w:r>
    </w:p>
    <w:p w14:paraId="1B16B829" w14:textId="5FC0E4BB" w:rsidR="00951674" w:rsidRPr="001D7836" w:rsidRDefault="00951674" w:rsidP="00FC083E">
      <w:pPr>
        <w:pStyle w:val="NoSpacing"/>
        <w:spacing w:after="240" w:line="276" w:lineRule="auto"/>
        <w:jc w:val="both"/>
        <w:rPr>
          <w:rFonts w:ascii="Times New Roman" w:hAnsi="Times New Roman"/>
          <w:sz w:val="24"/>
          <w:szCs w:val="24"/>
          <w:lang w:val="sq-AL"/>
        </w:rPr>
      </w:pPr>
      <w:r w:rsidRPr="001D7836">
        <w:rPr>
          <w:rFonts w:ascii="Times New Roman" w:hAnsi="Times New Roman"/>
          <w:sz w:val="24"/>
          <w:szCs w:val="24"/>
          <w:lang w:val="sq-AL"/>
        </w:rPr>
        <w:t>Shpenzimet e tjera korente parashikohen të mbeten në nivele të ngjashme me ato të periudhës paraprake, rreth 1,478,701,138 lekë. Ky parashikim është i vlefshëm nëse politikat për energjinë, të mbuluara nga fondet buxhetore jashtë projekteve specifike, mbeten të pandryshuara. Megjithatë, nëse do të përshpejtohen politikat që lidhen me ndërhyrjet për Administratën e Gjelbër, kjo vlerë mund të dyfishohet.</w:t>
      </w:r>
    </w:p>
    <w:p w14:paraId="51A3C01B" w14:textId="77777777" w:rsidR="00951674" w:rsidRPr="001D7836" w:rsidRDefault="00951674" w:rsidP="00951674">
      <w:pPr>
        <w:pStyle w:val="NoSpacing"/>
        <w:spacing w:line="276" w:lineRule="auto"/>
        <w:jc w:val="both"/>
        <w:rPr>
          <w:rFonts w:ascii="Times New Roman" w:hAnsi="Times New Roman"/>
          <w:sz w:val="24"/>
          <w:szCs w:val="24"/>
          <w:lang w:val="sq-AL"/>
        </w:rPr>
      </w:pPr>
      <w:r w:rsidRPr="001D7836">
        <w:rPr>
          <w:rFonts w:ascii="Times New Roman" w:hAnsi="Times New Roman"/>
          <w:sz w:val="24"/>
          <w:szCs w:val="24"/>
          <w:lang w:val="sq-AL"/>
        </w:rPr>
        <w:t>Shpenzimet kapitale nuk mund të parashikohen me saktësi në këtë fazë. Megjithatë, pritet një rritje e ndjeshme e tyre duke marrë parasysh dinamizmin e zhvillimeve dhe përshpejtimin e procesit të integrimit europian. Përgjatë periudhës 2025–2030 si kohëzgjatja totale e SNRAP 2025-2030 parashikohet përfshirja e fondeve shtesë përtej atyre nga buxheti i shtetit, përfshirë mbështetjen nga instrumentet e BE-së si IPA III, si dhe nga donatorë ndërkombëtarë. Këtu përfshihen financimi shtesë prej 80 milionë dollarësh nga Banka Botërore për të mbështetur agjendën e modernizimit dhe transformimit digjital të sektorit publik, si dhe Programi Operacional Shumëvjeçar për Energjinë në kuadër të IPA III, me një vlerë totale prej 79 milionë eurosh dhe kohëzgjatje 12-vjeçare (një pjesë e të cilës bashkëfinancohet nga qeveria shqiptare).</w:t>
      </w:r>
    </w:p>
    <w:p w14:paraId="120DA307" w14:textId="77777777" w:rsidR="00951674" w:rsidRPr="001D7836" w:rsidRDefault="00951674" w:rsidP="00951674">
      <w:pPr>
        <w:pStyle w:val="NoSpacing"/>
        <w:spacing w:line="276" w:lineRule="auto"/>
        <w:jc w:val="both"/>
        <w:rPr>
          <w:rFonts w:ascii="Times New Roman" w:hAnsi="Times New Roman"/>
          <w:sz w:val="24"/>
          <w:szCs w:val="24"/>
          <w:lang w:val="sq-AL"/>
        </w:rPr>
      </w:pPr>
    </w:p>
    <w:p w14:paraId="30340781" w14:textId="77777777" w:rsidR="00951674" w:rsidRPr="0094323A" w:rsidRDefault="00951674" w:rsidP="00951674">
      <w:pPr>
        <w:pStyle w:val="NoSpacing"/>
        <w:spacing w:line="276" w:lineRule="auto"/>
        <w:jc w:val="both"/>
        <w:rPr>
          <w:rFonts w:ascii="Times New Roman" w:hAnsi="Times New Roman"/>
          <w:sz w:val="24"/>
          <w:szCs w:val="24"/>
          <w:lang w:val="sq-AL"/>
        </w:rPr>
      </w:pPr>
      <w:r w:rsidRPr="001D7836">
        <w:rPr>
          <w:rFonts w:ascii="Times New Roman" w:hAnsi="Times New Roman"/>
          <w:sz w:val="24"/>
          <w:szCs w:val="24"/>
          <w:lang w:val="sq-AL"/>
        </w:rPr>
        <w:t>Për të gjithë vitet e kohëzgjatjes së Strategjisë 2025–2030 përllogaritet një hendek financiar përafërsisht prej 1.27 miliardë lekësh, ose 6.8%.</w:t>
      </w:r>
    </w:p>
    <w:p w14:paraId="363E30BF" w14:textId="77777777" w:rsidR="00951674" w:rsidRPr="0094323A" w:rsidRDefault="00951674" w:rsidP="00951674">
      <w:pPr>
        <w:pStyle w:val="NoSpacing"/>
        <w:spacing w:line="276" w:lineRule="auto"/>
        <w:jc w:val="both"/>
        <w:rPr>
          <w:rFonts w:ascii="Times New Roman" w:hAnsi="Times New Roman"/>
          <w:sz w:val="24"/>
          <w:szCs w:val="24"/>
          <w:lang w:val="sq-AL"/>
        </w:rPr>
      </w:pPr>
    </w:p>
    <w:p w14:paraId="0AE0E34F" w14:textId="77777777" w:rsidR="00951674" w:rsidRPr="0098230F" w:rsidRDefault="00951674" w:rsidP="00951674">
      <w:pPr>
        <w:pStyle w:val="NoSpacing"/>
        <w:spacing w:line="276" w:lineRule="auto"/>
        <w:jc w:val="both"/>
        <w:rPr>
          <w:rFonts w:ascii="Times New Roman" w:hAnsi="Times New Roman"/>
          <w:sz w:val="24"/>
          <w:szCs w:val="24"/>
          <w:lang w:val="sq-AL"/>
        </w:rPr>
      </w:pPr>
    </w:p>
    <w:p w14:paraId="707D11F5" w14:textId="77777777" w:rsidR="00951674" w:rsidRPr="001D7836" w:rsidRDefault="00951674" w:rsidP="00951674">
      <w:pPr>
        <w:pBdr>
          <w:top w:val="nil"/>
          <w:left w:val="nil"/>
          <w:bottom w:val="nil"/>
          <w:right w:val="nil"/>
          <w:between w:val="nil"/>
          <w:bar w:val="nil"/>
        </w:pBdr>
        <w:spacing w:line="276" w:lineRule="auto"/>
        <w:jc w:val="both"/>
        <w:rPr>
          <w:color w:val="000000"/>
          <w:u w:color="000000"/>
          <w:bdr w:val="nil"/>
          <w:lang w:val="sq-AL" w:eastAsia="sq-AL"/>
        </w:rPr>
      </w:pPr>
    </w:p>
    <w:p w14:paraId="0926D00E" w14:textId="77777777" w:rsidR="00951674" w:rsidRDefault="00951674" w:rsidP="00951674">
      <w:pPr>
        <w:spacing w:after="0" w:line="276" w:lineRule="auto"/>
        <w:jc w:val="both"/>
        <w:rPr>
          <w:rFonts w:ascii="Times New Roman" w:hAnsi="Times New Roman" w:cs="Times New Roman"/>
          <w:noProof/>
          <w:sz w:val="24"/>
          <w:szCs w:val="24"/>
          <w:lang w:val="sq-AL"/>
        </w:rPr>
      </w:pPr>
    </w:p>
    <w:p w14:paraId="7D8AE9CC" w14:textId="77777777" w:rsidR="00951674" w:rsidRDefault="00951674" w:rsidP="005A5C66">
      <w:pPr>
        <w:spacing w:line="276" w:lineRule="auto"/>
        <w:jc w:val="both"/>
        <w:rPr>
          <w:rFonts w:ascii="Times New Roman" w:hAnsi="Times New Roman" w:cs="Times New Roman"/>
          <w:noProof/>
          <w:sz w:val="24"/>
          <w:szCs w:val="24"/>
          <w:lang w:val="sq-AL"/>
        </w:rPr>
      </w:pPr>
    </w:p>
    <w:sectPr w:rsidR="00951674" w:rsidSect="00DB3F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A3991" w14:textId="77777777" w:rsidR="006B3179" w:rsidRDefault="006B3179" w:rsidP="002E5BE0">
      <w:pPr>
        <w:spacing w:after="0" w:line="240" w:lineRule="auto"/>
      </w:pPr>
      <w:r>
        <w:separator/>
      </w:r>
    </w:p>
  </w:endnote>
  <w:endnote w:type="continuationSeparator" w:id="0">
    <w:p w14:paraId="3C5F0B2D" w14:textId="77777777" w:rsidR="006B3179" w:rsidRDefault="006B3179" w:rsidP="002E5BE0">
      <w:pPr>
        <w:spacing w:after="0" w:line="240" w:lineRule="auto"/>
      </w:pPr>
      <w:r>
        <w:continuationSeparator/>
      </w:r>
    </w:p>
  </w:endnote>
  <w:endnote w:type="continuationNotice" w:id="1">
    <w:p w14:paraId="1D929FDE" w14:textId="77777777" w:rsidR="006B3179" w:rsidRDefault="006B3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CG Times">
    <w:altName w:val="Times New Roman"/>
    <w:panose1 w:val="02020603050405020304"/>
    <w:charset w:val="00"/>
    <w:family w:val="roman"/>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0ACC" w14:textId="77777777" w:rsidR="006B3179" w:rsidRDefault="006B3179" w:rsidP="002E5BE0">
      <w:pPr>
        <w:spacing w:after="0" w:line="240" w:lineRule="auto"/>
      </w:pPr>
      <w:r>
        <w:separator/>
      </w:r>
    </w:p>
  </w:footnote>
  <w:footnote w:type="continuationSeparator" w:id="0">
    <w:p w14:paraId="2E03FB1A" w14:textId="77777777" w:rsidR="006B3179" w:rsidRDefault="006B3179" w:rsidP="002E5BE0">
      <w:pPr>
        <w:spacing w:after="0" w:line="240" w:lineRule="auto"/>
      </w:pPr>
      <w:r>
        <w:continuationSeparator/>
      </w:r>
    </w:p>
  </w:footnote>
  <w:footnote w:type="continuationNotice" w:id="1">
    <w:p w14:paraId="411BED88" w14:textId="77777777" w:rsidR="006B3179" w:rsidRDefault="006B3179">
      <w:pPr>
        <w:spacing w:after="0" w:line="240" w:lineRule="auto"/>
      </w:pPr>
    </w:p>
  </w:footnote>
  <w:footnote w:id="2">
    <w:p w14:paraId="72358DC7" w14:textId="1872015A"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w:t>
      </w:r>
      <w:r w:rsidRPr="001063EA">
        <w:rPr>
          <w:rFonts w:ascii="Times New Roman" w:hAnsi="Times New Roman" w:cs="Times New Roman"/>
          <w:lang w:val="en-GB"/>
        </w:rPr>
        <w:t>Udhërrëfyesi për Reformën në Administratën Publike 2023-2030, miratuar me VKM nr. 737, date 13.12.2023.</w:t>
      </w:r>
    </w:p>
  </w:footnote>
  <w:footnote w:id="3">
    <w:p w14:paraId="577211BF" w14:textId="77777777" w:rsidR="00EF7B8D" w:rsidRPr="001063EA" w:rsidRDefault="00EF7B8D" w:rsidP="00B242AE">
      <w:pPr>
        <w:spacing w:after="0"/>
        <w:jc w:val="both"/>
        <w:rPr>
          <w:rFonts w:ascii="Times New Roman" w:hAnsi="Times New Roman" w:cs="Times New Roman"/>
          <w:sz w:val="20"/>
          <w:szCs w:val="20"/>
        </w:rPr>
      </w:pPr>
      <w:r w:rsidRPr="001063EA">
        <w:rPr>
          <w:rStyle w:val="FootnoteReference"/>
          <w:rFonts w:ascii="Times New Roman" w:hAnsi="Times New Roman" w:cs="Times New Roman"/>
          <w:sz w:val="20"/>
          <w:szCs w:val="20"/>
        </w:rPr>
        <w:footnoteRef/>
      </w:r>
      <w:r w:rsidRPr="001063EA">
        <w:rPr>
          <w:rFonts w:ascii="Times New Roman" w:hAnsi="Times New Roman" w:cs="Times New Roman"/>
          <w:sz w:val="20"/>
          <w:szCs w:val="20"/>
        </w:rPr>
        <w:t xml:space="preserve"> Ligji Nr. 44/2015 datë 30.4.2015, Kodi i Procedurave Administrative në Republikën e Shqipërisë.</w:t>
      </w:r>
    </w:p>
  </w:footnote>
  <w:footnote w:id="4">
    <w:p w14:paraId="0678F524" w14:textId="77777777" w:rsidR="00EF7B8D" w:rsidRPr="001063EA" w:rsidRDefault="00EF7B8D" w:rsidP="00B242AE">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Ligji 9000/2003</w:t>
      </w:r>
      <w:r w:rsidRPr="001063EA">
        <w:rPr>
          <w:rFonts w:ascii="Times New Roman" w:hAnsi="Times New Roman" w:cs="Times New Roman"/>
          <w:lang w:val="sq-AL"/>
        </w:rPr>
        <w:t xml:space="preserve"> datë dt.30.01.2003, “Për Organizimin dhe Funksionimin e Këshillit të Ministrave” </w:t>
      </w:r>
    </w:p>
  </w:footnote>
  <w:footnote w:id="5">
    <w:p w14:paraId="764AC57C" w14:textId="77777777" w:rsidR="00EF7B8D" w:rsidRPr="001063EA" w:rsidRDefault="00EF7B8D" w:rsidP="00B242AE">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VKM 584/2003 datë 28.08.2003, “Për Miratimin e Rregullores së Këshillit të Ministrave”, p</w:t>
      </w:r>
      <w:r w:rsidRPr="001063EA">
        <w:rPr>
          <w:rFonts w:ascii="Times New Roman" w:hAnsi="Times New Roman" w:cs="Times New Roman"/>
          <w:lang w:val="sq-AL"/>
        </w:rPr>
        <w:t>ë</w:t>
      </w:r>
      <w:r w:rsidRPr="001063EA">
        <w:rPr>
          <w:rFonts w:ascii="Times New Roman" w:hAnsi="Times New Roman" w:cs="Times New Roman"/>
        </w:rPr>
        <w:t>rdit</w:t>
      </w:r>
      <w:r w:rsidRPr="001063EA">
        <w:rPr>
          <w:rFonts w:ascii="Times New Roman" w:hAnsi="Times New Roman" w:cs="Times New Roman"/>
          <w:lang w:val="sq-AL"/>
        </w:rPr>
        <w:t>ë</w:t>
      </w:r>
      <w:r w:rsidRPr="001063EA">
        <w:rPr>
          <w:rFonts w:ascii="Times New Roman" w:hAnsi="Times New Roman" w:cs="Times New Roman"/>
        </w:rPr>
        <w:t>suar</w:t>
      </w:r>
    </w:p>
  </w:footnote>
  <w:footnote w:id="6">
    <w:p w14:paraId="4B9E7749" w14:textId="658CB2BE" w:rsidR="00EF7B8D" w:rsidRPr="001063EA" w:rsidRDefault="00EF7B8D" w:rsidP="00B242AE">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Ligji Nr. 90/2012 </w:t>
      </w:r>
      <w:r w:rsidRPr="001063EA">
        <w:rPr>
          <w:rFonts w:ascii="Times New Roman" w:hAnsi="Times New Roman" w:cs="Times New Roman"/>
          <w:b/>
          <w:bCs/>
          <w:lang w:val="en-GB"/>
        </w:rPr>
        <w:t>“</w:t>
      </w:r>
      <w:r w:rsidRPr="001063EA">
        <w:rPr>
          <w:rFonts w:ascii="Times New Roman" w:hAnsi="Times New Roman" w:cs="Times New Roman"/>
        </w:rPr>
        <w:t>Për organizimin dhe funksionimin e administratës shtetërore”, Miratuar në datën 27.9.2012</w:t>
      </w:r>
    </w:p>
  </w:footnote>
  <w:footnote w:id="7">
    <w:p w14:paraId="79CC490E" w14:textId="07FFB37F" w:rsidR="00EF7B8D" w:rsidRPr="001063EA" w:rsidRDefault="00EF7B8D" w:rsidP="00B242AE">
      <w:pPr>
        <w:pStyle w:val="FootnoteText"/>
        <w:jc w:val="both"/>
        <w:rPr>
          <w:rFonts w:ascii="Times New Roman" w:hAnsi="Times New Roman" w:cs="Times New Roman"/>
          <w:lang w:val="sq-AL"/>
        </w:rPr>
      </w:pPr>
      <w:r w:rsidRPr="001063EA">
        <w:rPr>
          <w:rStyle w:val="FootnoteReference"/>
          <w:rFonts w:ascii="Times New Roman" w:hAnsi="Times New Roman" w:cs="Times New Roman"/>
        </w:rPr>
        <w:footnoteRef/>
      </w:r>
      <w:r w:rsidRPr="001063EA">
        <w:rPr>
          <w:rFonts w:ascii="Times New Roman" w:hAnsi="Times New Roman" w:cs="Times New Roman"/>
        </w:rPr>
        <w:t xml:space="preserve"> VKM nr. 893, datë 17.12.2014, "Për miratimin e rregullave të organizimit dhe të funksionimit të kabineteve ndihmëse, të organizimit të brendshëm të institucioneve të administratës shtetërore, si dhe për procedurat e hollësishme për përgatitjen, propozimin, konsultimin dhe miratimin e organizimit të brendshëm", i ndryshuar</w:t>
      </w:r>
    </w:p>
  </w:footnote>
  <w:footnote w:id="8">
    <w:p w14:paraId="1D35F37E" w14:textId="00882347"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w:t>
      </w:r>
      <w:r w:rsidRPr="001063EA">
        <w:rPr>
          <w:rFonts w:ascii="Times New Roman" w:hAnsi="Times New Roman" w:cs="Times New Roman"/>
          <w:color w:val="000000" w:themeColor="text1"/>
          <w:lang w:val="sq-AL"/>
        </w:rPr>
        <w:t>Ligji nr.146/2014 “Për njoftimin dhe konsultimin publik”.</w:t>
      </w:r>
    </w:p>
  </w:footnote>
  <w:footnote w:id="9">
    <w:p w14:paraId="39CAE28B" w14:textId="77777777"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Udhëzues për Procesin e Konsultimit Publik, miratuar me Urdhrin e Sekretarit të Përgjithshëm të KM nr. 3, datë 29 janar 2021.</w:t>
      </w:r>
    </w:p>
  </w:footnote>
  <w:footnote w:id="10">
    <w:p w14:paraId="780E0B45" w14:textId="31AE02F4"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Ligji nr. 119, datë 18.9.2014, “Për të drejtën e informimit”, i ndryshuar</w:t>
      </w:r>
      <w:r w:rsidRPr="001063EA">
        <w:rPr>
          <w:rFonts w:ascii="Times New Roman" w:hAnsi="Times New Roman" w:cs="Times New Roman"/>
          <w:lang w:val="en-GB"/>
        </w:rPr>
        <w:t xml:space="preserve"> në 2023 me ligjin 78/2023, “Për disa ndryshime dhe shtesa në ligjin nr. 119/2014 “Për të drejtën e informimit” të datës 18 shtator 2023)</w:t>
      </w:r>
    </w:p>
  </w:footnote>
  <w:footnote w:id="11">
    <w:p w14:paraId="6B14C351" w14:textId="1A25EE1B"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Ligji nr. 107/2021, datë 04.11.2021, “</w:t>
      </w:r>
      <w:r w:rsidRPr="001063EA">
        <w:rPr>
          <w:rFonts w:ascii="Times New Roman" w:hAnsi="Times New Roman" w:cs="Times New Roman"/>
          <w:lang w:val="en-GB"/>
        </w:rPr>
        <w:t>Për bashkëqeverisjen”.</w:t>
      </w:r>
    </w:p>
  </w:footnote>
  <w:footnote w:id="12">
    <w:p w14:paraId="345407B6" w14:textId="56BEC117"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Ligji nr. 43/2023, datë 15.06.2015, “Për Qeverisjen Elektronike”.</w:t>
      </w:r>
    </w:p>
  </w:footnote>
  <w:footnote w:id="13">
    <w:p w14:paraId="0866F4B8" w14:textId="7BB42440"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Ligji nr. 15/2015, datë 05.03.2015, “Për Rolin e Kuvendit në Procesin e Integrimit të Republikës së Shqipërisë në Bashkimin Evropian”, i ndryshuar me Ligjin Nr. 19/2023, datë 16.03.2023. </w:t>
      </w:r>
    </w:p>
  </w:footnote>
  <w:footnote w:id="14">
    <w:p w14:paraId="4DECF9D3" w14:textId="0A813B4D"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Miratuar me VKM </w:t>
      </w:r>
      <w:r w:rsidR="00036F1A">
        <w:rPr>
          <w:rFonts w:ascii="Times New Roman" w:hAnsi="Times New Roman" w:cs="Times New Roman"/>
        </w:rPr>
        <w:t>n</w:t>
      </w:r>
      <w:r w:rsidRPr="001063EA">
        <w:rPr>
          <w:rFonts w:ascii="Times New Roman" w:hAnsi="Times New Roman" w:cs="Times New Roman"/>
        </w:rPr>
        <w:t>r. 88, datë 22.2.2023</w:t>
      </w:r>
    </w:p>
  </w:footnote>
  <w:footnote w:id="15">
    <w:p w14:paraId="3795842F" w14:textId="399BC277"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Miratuar me VKM </w:t>
      </w:r>
      <w:r w:rsidR="00036F1A">
        <w:rPr>
          <w:rFonts w:ascii="Times New Roman" w:hAnsi="Times New Roman" w:cs="Times New Roman"/>
        </w:rPr>
        <w:t>n</w:t>
      </w:r>
      <w:r w:rsidRPr="001063EA">
        <w:rPr>
          <w:rFonts w:ascii="Times New Roman" w:hAnsi="Times New Roman" w:cs="Times New Roman"/>
        </w:rPr>
        <w:t>r. 621, datë 10.10.2024</w:t>
      </w:r>
    </w:p>
  </w:footnote>
  <w:footnote w:id="16">
    <w:p w14:paraId="239750D8" w14:textId="7BC85CCB"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Miratuar me VKM </w:t>
      </w:r>
      <w:r w:rsidR="00036F1A">
        <w:rPr>
          <w:rFonts w:ascii="Times New Roman" w:hAnsi="Times New Roman" w:cs="Times New Roman"/>
        </w:rPr>
        <w:t>n</w:t>
      </w:r>
      <w:r w:rsidRPr="001063EA">
        <w:rPr>
          <w:rFonts w:ascii="Times New Roman" w:hAnsi="Times New Roman" w:cs="Times New Roman"/>
        </w:rPr>
        <w:t>r.252, datë 20.4.2023</w:t>
      </w:r>
    </w:p>
  </w:footnote>
  <w:footnote w:id="17">
    <w:p w14:paraId="1D5B45CC" w14:textId="2A382C7E"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Miratuar me VKM </w:t>
      </w:r>
      <w:r w:rsidR="00036F1A">
        <w:rPr>
          <w:rFonts w:ascii="Times New Roman" w:hAnsi="Times New Roman" w:cs="Times New Roman"/>
        </w:rPr>
        <w:t>n</w:t>
      </w:r>
      <w:r w:rsidRPr="001063EA">
        <w:rPr>
          <w:rFonts w:ascii="Times New Roman" w:hAnsi="Times New Roman" w:cs="Times New Roman"/>
        </w:rPr>
        <w:t>r. 370, datë 1.6.2022</w:t>
      </w:r>
    </w:p>
  </w:footnote>
  <w:footnote w:id="18">
    <w:p w14:paraId="0C508FC0" w14:textId="1E06B394"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Miratuar me VKM </w:t>
      </w:r>
      <w:r w:rsidR="00036F1A">
        <w:rPr>
          <w:rFonts w:ascii="Times New Roman" w:hAnsi="Times New Roman" w:cs="Times New Roman"/>
        </w:rPr>
        <w:t>n</w:t>
      </w:r>
      <w:r w:rsidRPr="001063EA">
        <w:rPr>
          <w:rFonts w:ascii="Times New Roman" w:hAnsi="Times New Roman" w:cs="Times New Roman"/>
        </w:rPr>
        <w:t>r. 390, datë 12.6.2024</w:t>
      </w:r>
    </w:p>
  </w:footnote>
  <w:footnote w:id="19">
    <w:p w14:paraId="79B36F0B" w14:textId="3BA1C9DF"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Miratuar me VKM </w:t>
      </w:r>
      <w:r w:rsidR="00036F1A">
        <w:rPr>
          <w:rFonts w:ascii="Times New Roman" w:hAnsi="Times New Roman" w:cs="Times New Roman"/>
        </w:rPr>
        <w:t>n</w:t>
      </w:r>
      <w:r w:rsidRPr="001063EA">
        <w:rPr>
          <w:rFonts w:ascii="Times New Roman" w:hAnsi="Times New Roman" w:cs="Times New Roman"/>
        </w:rPr>
        <w:t>r. 859, datë 26.12.2024</w:t>
      </w:r>
    </w:p>
  </w:footnote>
  <w:footnote w:id="20">
    <w:p w14:paraId="371046E5" w14:textId="10DC9744"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Miratuar me VKM </w:t>
      </w:r>
      <w:r w:rsidR="00036F1A">
        <w:rPr>
          <w:rFonts w:ascii="Times New Roman" w:hAnsi="Times New Roman" w:cs="Times New Roman"/>
        </w:rPr>
        <w:t>n</w:t>
      </w:r>
      <w:r w:rsidRPr="001063EA">
        <w:rPr>
          <w:rFonts w:ascii="Times New Roman" w:hAnsi="Times New Roman" w:cs="Times New Roman"/>
        </w:rPr>
        <w:t>r. 400, datë 30.6.2021</w:t>
      </w:r>
    </w:p>
  </w:footnote>
  <w:footnote w:id="21">
    <w:p w14:paraId="4282ED94" w14:textId="74D673BA"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w:t>
      </w:r>
      <w:r w:rsidRPr="001063EA">
        <w:rPr>
          <w:rFonts w:ascii="Times New Roman" w:hAnsi="Times New Roman" w:cs="Times New Roman"/>
          <w:lang w:val="en-GB"/>
        </w:rPr>
        <w:t>Miratuar me VKM nr. 88 datë 22 shkurt 2023</w:t>
      </w:r>
    </w:p>
  </w:footnote>
  <w:footnote w:id="22">
    <w:p w14:paraId="5ED6316C" w14:textId="2FC5FB05"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w:t>
      </w:r>
      <w:hyperlink r:id="rId1" w:history="1">
        <w:r w:rsidRPr="001063EA">
          <w:rPr>
            <w:rStyle w:val="Hyperlink"/>
            <w:rFonts w:ascii="Times New Roman" w:hAnsi="Times New Roman" w:cs="Times New Roman"/>
          </w:rPr>
          <w:t>https://kryeministria.al/wp-content/uploads/2021/10/Programi_Qeverises_2021-2025.pdf</w:t>
        </w:r>
      </w:hyperlink>
      <w:r w:rsidRPr="001063EA">
        <w:rPr>
          <w:rFonts w:ascii="Times New Roman" w:hAnsi="Times New Roman" w:cs="Times New Roman"/>
        </w:rPr>
        <w:t xml:space="preserve"> </w:t>
      </w:r>
    </w:p>
  </w:footnote>
  <w:footnote w:id="23">
    <w:p w14:paraId="226532F2" w14:textId="255CD8D2"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Miratuar me VKM Nr. 736, datë 13.12.2023.</w:t>
      </w:r>
    </w:p>
  </w:footnote>
  <w:footnote w:id="24">
    <w:p w14:paraId="5772C666" w14:textId="4BE5FB61"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Këto synime shprehen në Treguesit e mëposhtëm të OZHQ 16:</w:t>
      </w:r>
    </w:p>
    <w:p w14:paraId="34B25A1D" w14:textId="28C9F608" w:rsidR="00EF7B8D" w:rsidRPr="001063EA" w:rsidRDefault="00EF7B8D" w:rsidP="000D5E07">
      <w:pPr>
        <w:pStyle w:val="FootnoteText"/>
        <w:jc w:val="both"/>
        <w:rPr>
          <w:rFonts w:ascii="Times New Roman" w:hAnsi="Times New Roman" w:cs="Times New Roman"/>
          <w:i/>
        </w:rPr>
      </w:pPr>
      <w:r w:rsidRPr="001063EA">
        <w:rPr>
          <w:rFonts w:ascii="Times New Roman" w:hAnsi="Times New Roman" w:cs="Times New Roman"/>
          <w:i/>
        </w:rPr>
        <w:t>“16.6 Zhvillimi i institucioneve efektive, llogaridhënëse dhe transparente në të gjitha nivelet;</w:t>
      </w:r>
    </w:p>
    <w:p w14:paraId="3937D6E3" w14:textId="77777777" w:rsidR="00EF7B8D" w:rsidRPr="001063EA" w:rsidRDefault="00EF7B8D" w:rsidP="000D5E07">
      <w:pPr>
        <w:pStyle w:val="FootnoteText"/>
        <w:jc w:val="both"/>
        <w:rPr>
          <w:rFonts w:ascii="Times New Roman" w:hAnsi="Times New Roman" w:cs="Times New Roman"/>
          <w:i/>
        </w:rPr>
      </w:pPr>
      <w:r w:rsidRPr="001063EA">
        <w:rPr>
          <w:rFonts w:ascii="Times New Roman" w:hAnsi="Times New Roman" w:cs="Times New Roman"/>
          <w:i/>
        </w:rPr>
        <w:t>16.7 Sigurimi i vendimmarrjes reaguese, përfshirëse, pjesëmarrëse dhe përfaqësuese në të gjitha nivelet;</w:t>
      </w:r>
    </w:p>
    <w:p w14:paraId="2E3B9FD4" w14:textId="77777777" w:rsidR="00EF7B8D" w:rsidRPr="001063EA" w:rsidRDefault="00EF7B8D" w:rsidP="000D5E07">
      <w:pPr>
        <w:pStyle w:val="FootnoteText"/>
        <w:jc w:val="both"/>
        <w:rPr>
          <w:rFonts w:ascii="Times New Roman" w:hAnsi="Times New Roman" w:cs="Times New Roman"/>
          <w:i/>
        </w:rPr>
      </w:pPr>
      <w:r w:rsidRPr="001063EA">
        <w:rPr>
          <w:rFonts w:ascii="Times New Roman" w:hAnsi="Times New Roman" w:cs="Times New Roman"/>
          <w:i/>
        </w:rPr>
        <w:t>16.8 Zgjerimi dhe forcimi i pjesëmarrjes së vendeve në zhvillim në institucionet e qeverisjes globale;</w:t>
      </w:r>
    </w:p>
    <w:p w14:paraId="406F47EE" w14:textId="77777777" w:rsidR="00EF7B8D" w:rsidRPr="001063EA" w:rsidRDefault="00EF7B8D" w:rsidP="000D5E07">
      <w:pPr>
        <w:pStyle w:val="FootnoteText"/>
        <w:jc w:val="both"/>
        <w:rPr>
          <w:rFonts w:ascii="Times New Roman" w:hAnsi="Times New Roman" w:cs="Times New Roman"/>
          <w:i/>
        </w:rPr>
      </w:pPr>
      <w:r w:rsidRPr="001063EA">
        <w:rPr>
          <w:rFonts w:ascii="Times New Roman" w:hAnsi="Times New Roman" w:cs="Times New Roman"/>
          <w:i/>
        </w:rPr>
        <w:t>16.10 Sigurimi i aksesit të publikut në informacion dhe mbrojtja e lirive themelore, në përputhje me legjislacionin kombëtar dhe marrëveshjet ndërkombëtare;</w:t>
      </w:r>
    </w:p>
    <w:p w14:paraId="08274CFB" w14:textId="77777777" w:rsidR="00EF7B8D" w:rsidRPr="001063EA" w:rsidRDefault="00EF7B8D" w:rsidP="000D5E07">
      <w:pPr>
        <w:pStyle w:val="FootnoteText"/>
        <w:jc w:val="both"/>
        <w:rPr>
          <w:rFonts w:ascii="Times New Roman" w:hAnsi="Times New Roman" w:cs="Times New Roman"/>
          <w:i/>
        </w:rPr>
      </w:pPr>
      <w:r w:rsidRPr="001063EA">
        <w:rPr>
          <w:rFonts w:ascii="Times New Roman" w:hAnsi="Times New Roman" w:cs="Times New Roman"/>
          <w:i/>
        </w:rPr>
        <w:t>16.a Forcimi i institucioneve përkatëse kombëtare, duke përfshirë bashkëpunimin ndërkombëtar, për ndërtimin e kapaciteteve në të gjitha nivelet, veçanërisht në vendet në zhvillim, për të parandaluar dhunën dhe për të luftuar terrorizmin dhe krimin;</w:t>
      </w:r>
    </w:p>
    <w:p w14:paraId="0BD012B9" w14:textId="3CB0B3B4" w:rsidR="00EF7B8D" w:rsidRPr="001063EA" w:rsidRDefault="00EF7B8D" w:rsidP="000D5E07">
      <w:pPr>
        <w:pStyle w:val="FootnoteText"/>
        <w:jc w:val="both"/>
        <w:rPr>
          <w:rFonts w:ascii="Times New Roman" w:hAnsi="Times New Roman" w:cs="Times New Roman"/>
        </w:rPr>
      </w:pPr>
      <w:r w:rsidRPr="001063EA">
        <w:rPr>
          <w:rFonts w:ascii="Times New Roman" w:hAnsi="Times New Roman" w:cs="Times New Roman"/>
          <w:i/>
        </w:rPr>
        <w:t>16.b Promovimi dhe zbatimi i ligjeve dhe politikave jodiskriminuese për zhvillim të qëndrueshëm.”</w:t>
      </w:r>
    </w:p>
  </w:footnote>
  <w:footnote w:id="25">
    <w:p w14:paraId="5E9B0815" w14:textId="598B06B6"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Komisioni Evropian, </w:t>
      </w:r>
      <w:r w:rsidRPr="001063EA">
        <w:rPr>
          <w:rFonts w:ascii="Times New Roman" w:hAnsi="Times New Roman" w:cs="Times New Roman"/>
          <w:lang w:val="sq-AL"/>
        </w:rPr>
        <w:t xml:space="preserve">Raporti për Shqipërinë 2024, Tetor 2024, i aksesueshëm në </w:t>
      </w:r>
      <w:hyperlink r:id="rId2" w:history="1">
        <w:r w:rsidRPr="001063EA">
          <w:rPr>
            <w:rStyle w:val="Hyperlink"/>
            <w:rFonts w:ascii="Times New Roman" w:hAnsi="Times New Roman" w:cs="Times New Roman"/>
            <w:lang w:val="sq-AL"/>
          </w:rPr>
          <w:t>https://neighbourhood-enlargement.ec.europa.eu/document/doënload/a8eec3f9-b2ec-4cb1-8748-9058854dbc68_en?filename=Albania%20Report%202024.pdf</w:t>
        </w:r>
      </w:hyperlink>
      <w:r w:rsidRPr="001063EA">
        <w:rPr>
          <w:rFonts w:ascii="Times New Roman" w:hAnsi="Times New Roman" w:cs="Times New Roman"/>
          <w:lang w:val="sq-AL"/>
        </w:rPr>
        <w:t xml:space="preserve">. </w:t>
      </w:r>
    </w:p>
  </w:footnote>
  <w:footnote w:id="26">
    <w:p w14:paraId="7C240A99" w14:textId="20C98AC8"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Komisioni Evropian, Raporti i Shqyrtimit Analitik p</w:t>
      </w:r>
      <w:r w:rsidRPr="001063EA">
        <w:rPr>
          <w:rFonts w:ascii="Times New Roman" w:hAnsi="Times New Roman" w:cs="Times New Roman"/>
          <w:lang w:val="sq-AL"/>
        </w:rPr>
        <w:t>ë</w:t>
      </w:r>
      <w:r w:rsidRPr="001063EA">
        <w:rPr>
          <w:rFonts w:ascii="Times New Roman" w:hAnsi="Times New Roman" w:cs="Times New Roman"/>
        </w:rPr>
        <w:t>r Shqip</w:t>
      </w:r>
      <w:r w:rsidRPr="001063EA">
        <w:rPr>
          <w:rFonts w:ascii="Times New Roman" w:hAnsi="Times New Roman" w:cs="Times New Roman"/>
          <w:lang w:val="sq-AL"/>
        </w:rPr>
        <w:t>ë</w:t>
      </w:r>
      <w:r w:rsidRPr="001063EA">
        <w:rPr>
          <w:rFonts w:ascii="Times New Roman" w:hAnsi="Times New Roman" w:cs="Times New Roman"/>
        </w:rPr>
        <w:t>rin</w:t>
      </w:r>
      <w:r w:rsidRPr="001063EA">
        <w:rPr>
          <w:rFonts w:ascii="Times New Roman" w:hAnsi="Times New Roman" w:cs="Times New Roman"/>
          <w:lang w:val="sq-AL"/>
        </w:rPr>
        <w:t>ë – Grupkapitujt I “Themeloret”</w:t>
      </w:r>
      <w:r w:rsidRPr="001063EA">
        <w:rPr>
          <w:rFonts w:ascii="Times New Roman" w:hAnsi="Times New Roman" w:cs="Times New Roman"/>
        </w:rPr>
        <w:t xml:space="preserve">, </w:t>
      </w:r>
      <w:r w:rsidR="00D7075F">
        <w:rPr>
          <w:rFonts w:ascii="Times New Roman" w:hAnsi="Times New Roman" w:cs="Times New Roman"/>
        </w:rPr>
        <w:t>k</w:t>
      </w:r>
      <w:r w:rsidRPr="001063EA">
        <w:rPr>
          <w:rFonts w:ascii="Times New Roman" w:hAnsi="Times New Roman" w:cs="Times New Roman"/>
        </w:rPr>
        <w:t xml:space="preserve">orrik 2023, </w:t>
      </w:r>
      <w:r w:rsidRPr="001063EA">
        <w:rPr>
          <w:rFonts w:ascii="Times New Roman" w:hAnsi="Times New Roman" w:cs="Times New Roman"/>
          <w:lang w:val="sq-AL"/>
        </w:rPr>
        <w:t xml:space="preserve">i aksesueshëm në: </w:t>
      </w:r>
      <w:hyperlink r:id="rId3" w:history="1">
        <w:r w:rsidRPr="001063EA">
          <w:rPr>
            <w:rStyle w:val="Hyperlink"/>
            <w:rFonts w:ascii="Times New Roman" w:hAnsi="Times New Roman" w:cs="Times New Roman"/>
            <w:lang w:val="sq-AL"/>
          </w:rPr>
          <w:t>https://neighbourhood-enlargement.ec.europa.eu/screening-report-albania_en</w:t>
        </w:r>
      </w:hyperlink>
      <w:r w:rsidRPr="001063EA">
        <w:rPr>
          <w:rFonts w:ascii="Times New Roman" w:hAnsi="Times New Roman" w:cs="Times New Roman"/>
          <w:lang w:val="sq-AL"/>
        </w:rPr>
        <w:t xml:space="preserve"> </w:t>
      </w:r>
      <w:r w:rsidRPr="001063EA">
        <w:rPr>
          <w:rFonts w:ascii="Times New Roman" w:hAnsi="Times New Roman" w:cs="Times New Roman"/>
        </w:rPr>
        <w:t xml:space="preserve">  </w:t>
      </w:r>
    </w:p>
  </w:footnote>
  <w:footnote w:id="27">
    <w:p w14:paraId="6FEBF6CA" w14:textId="0A85680E"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Shtyllat e Vlerësimit sipas Parimeve të Administratës Publike të OECD/SIGMA janë: </w:t>
      </w:r>
    </w:p>
    <w:p w14:paraId="4A67846A" w14:textId="1EE6BD6E" w:rsidR="00EF7B8D" w:rsidRPr="001063EA" w:rsidRDefault="00EF7B8D" w:rsidP="002B2E02">
      <w:pPr>
        <w:pStyle w:val="FootnoteText"/>
        <w:numPr>
          <w:ilvl w:val="0"/>
          <w:numId w:val="12"/>
        </w:numPr>
        <w:jc w:val="both"/>
        <w:rPr>
          <w:rFonts w:ascii="Times New Roman" w:hAnsi="Times New Roman" w:cs="Times New Roman"/>
          <w:lang w:val="it-IT"/>
        </w:rPr>
      </w:pPr>
      <w:r w:rsidRPr="001063EA">
        <w:rPr>
          <w:rFonts w:ascii="Times New Roman" w:hAnsi="Times New Roman" w:cs="Times New Roman"/>
          <w:lang w:val="it-IT"/>
        </w:rPr>
        <w:t>Kuadri Strategjik dhe përmirësimi i vazhd</w:t>
      </w:r>
      <w:r w:rsidR="000E3B12">
        <w:rPr>
          <w:rFonts w:ascii="Times New Roman" w:hAnsi="Times New Roman" w:cs="Times New Roman"/>
          <w:lang w:val="it-IT"/>
        </w:rPr>
        <w:t>u</w:t>
      </w:r>
      <w:r w:rsidRPr="001063EA">
        <w:rPr>
          <w:rFonts w:ascii="Times New Roman" w:hAnsi="Times New Roman" w:cs="Times New Roman"/>
          <w:lang w:val="it-IT"/>
        </w:rPr>
        <w:t>eshëm i administratës publike;</w:t>
      </w:r>
    </w:p>
    <w:p w14:paraId="004FB90B" w14:textId="58154B4A" w:rsidR="00EF7B8D" w:rsidRPr="001063EA" w:rsidRDefault="00EF7B8D" w:rsidP="002B2E02">
      <w:pPr>
        <w:pStyle w:val="FootnoteText"/>
        <w:numPr>
          <w:ilvl w:val="0"/>
          <w:numId w:val="12"/>
        </w:numPr>
        <w:jc w:val="both"/>
        <w:rPr>
          <w:rFonts w:ascii="Times New Roman" w:hAnsi="Times New Roman" w:cs="Times New Roman"/>
          <w:lang w:val="it-IT"/>
        </w:rPr>
      </w:pPr>
      <w:r w:rsidRPr="001063EA">
        <w:rPr>
          <w:rFonts w:ascii="Times New Roman" w:hAnsi="Times New Roman" w:cs="Times New Roman"/>
          <w:lang w:val="it-IT"/>
        </w:rPr>
        <w:t>Zhvillimi dhe koordinimi i politikave;</w:t>
      </w:r>
    </w:p>
    <w:p w14:paraId="0D7A8901" w14:textId="43F62E86" w:rsidR="00EF7B8D" w:rsidRPr="001063EA" w:rsidRDefault="00EF7B8D" w:rsidP="002B2E02">
      <w:pPr>
        <w:pStyle w:val="FootnoteText"/>
        <w:numPr>
          <w:ilvl w:val="0"/>
          <w:numId w:val="12"/>
        </w:numPr>
        <w:jc w:val="both"/>
        <w:rPr>
          <w:rFonts w:ascii="Times New Roman" w:hAnsi="Times New Roman" w:cs="Times New Roman"/>
          <w:lang w:val="it-IT"/>
        </w:rPr>
      </w:pPr>
      <w:r w:rsidRPr="001063EA">
        <w:rPr>
          <w:rFonts w:ascii="Times New Roman" w:hAnsi="Times New Roman" w:cs="Times New Roman"/>
          <w:lang w:val="it-IT"/>
        </w:rPr>
        <w:t>Shërbimi publik dhe menaxhimi i burimeve njerëzore;</w:t>
      </w:r>
    </w:p>
    <w:p w14:paraId="30E6B313" w14:textId="56639FF2" w:rsidR="00EF7B8D" w:rsidRPr="001063EA" w:rsidRDefault="00EF7B8D" w:rsidP="002B2E02">
      <w:pPr>
        <w:pStyle w:val="FootnoteText"/>
        <w:numPr>
          <w:ilvl w:val="0"/>
          <w:numId w:val="12"/>
        </w:numPr>
        <w:jc w:val="both"/>
        <w:rPr>
          <w:rFonts w:ascii="Times New Roman" w:hAnsi="Times New Roman" w:cs="Times New Roman"/>
        </w:rPr>
      </w:pPr>
      <w:r w:rsidRPr="001063EA">
        <w:rPr>
          <w:rFonts w:ascii="Times New Roman" w:hAnsi="Times New Roman" w:cs="Times New Roman"/>
        </w:rPr>
        <w:t>Organizimi, llogaridhënia dhe mbikëqyrja;</w:t>
      </w:r>
    </w:p>
    <w:p w14:paraId="1D709B3B" w14:textId="46FBFBE1" w:rsidR="00EF7B8D" w:rsidRPr="001063EA" w:rsidRDefault="00EF7B8D" w:rsidP="002B2E02">
      <w:pPr>
        <w:pStyle w:val="FootnoteText"/>
        <w:numPr>
          <w:ilvl w:val="0"/>
          <w:numId w:val="12"/>
        </w:numPr>
        <w:jc w:val="both"/>
        <w:rPr>
          <w:rFonts w:ascii="Times New Roman" w:hAnsi="Times New Roman" w:cs="Times New Roman"/>
          <w:lang w:val="it-IT"/>
        </w:rPr>
      </w:pPr>
      <w:r w:rsidRPr="001063EA">
        <w:rPr>
          <w:rFonts w:ascii="Times New Roman" w:hAnsi="Times New Roman" w:cs="Times New Roman"/>
          <w:lang w:val="it-IT"/>
        </w:rPr>
        <w:t>Ofrimi i shërbimeve dhe digjitalizimi;</w:t>
      </w:r>
    </w:p>
    <w:p w14:paraId="62E40357" w14:textId="64539127" w:rsidR="00EF7B8D" w:rsidRPr="001063EA" w:rsidRDefault="00EF7B8D" w:rsidP="002B2E02">
      <w:pPr>
        <w:pStyle w:val="FootnoteText"/>
        <w:numPr>
          <w:ilvl w:val="0"/>
          <w:numId w:val="12"/>
        </w:numPr>
        <w:jc w:val="both"/>
        <w:rPr>
          <w:rFonts w:ascii="Times New Roman" w:hAnsi="Times New Roman" w:cs="Times New Roman"/>
        </w:rPr>
      </w:pPr>
      <w:r w:rsidRPr="001063EA">
        <w:rPr>
          <w:rFonts w:ascii="Times New Roman" w:hAnsi="Times New Roman" w:cs="Times New Roman"/>
        </w:rPr>
        <w:t>Menaxhimi i financave publike.</w:t>
      </w:r>
    </w:p>
  </w:footnote>
  <w:footnote w:id="28">
    <w:p w14:paraId="4A9E71FF" w14:textId="422CD29F"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Urdhër </w:t>
      </w:r>
      <w:r w:rsidR="001A3B3F">
        <w:rPr>
          <w:rFonts w:ascii="Times New Roman" w:hAnsi="Times New Roman" w:cs="Times New Roman"/>
        </w:rPr>
        <w:t>n</w:t>
      </w:r>
      <w:r w:rsidRPr="001063EA">
        <w:rPr>
          <w:rFonts w:ascii="Times New Roman" w:hAnsi="Times New Roman" w:cs="Times New Roman"/>
        </w:rPr>
        <w:t xml:space="preserve">r. </w:t>
      </w:r>
      <w:r w:rsidRPr="001063EA">
        <w:rPr>
          <w:rFonts w:ascii="Times New Roman" w:hAnsi="Times New Roman" w:cs="Times New Roman"/>
          <w:lang w:val="en-GB"/>
        </w:rPr>
        <w:t xml:space="preserve">157, datë 22.10.2018, i Kryeministrit </w:t>
      </w:r>
      <w:r w:rsidR="001A3B3F">
        <w:rPr>
          <w:rFonts w:ascii="Times New Roman" w:hAnsi="Times New Roman" w:cs="Times New Roman"/>
          <w:lang w:val="en-GB"/>
        </w:rPr>
        <w:t>“</w:t>
      </w:r>
      <w:r w:rsidRPr="001063EA">
        <w:rPr>
          <w:rFonts w:ascii="Times New Roman" w:hAnsi="Times New Roman" w:cs="Times New Roman"/>
        </w:rPr>
        <w:t>Për marrjen e masave për zbatimin e qasjes së gjerë sektoriale/ndërsektoriale, si dhe ngritjen dhe funksionimin e mekanizmit sektorial/ndërsektorial të integruar</w:t>
      </w:r>
      <w:r w:rsidRPr="001063EA">
        <w:rPr>
          <w:rFonts w:ascii="Times New Roman" w:hAnsi="Times New Roman" w:cs="Times New Roman"/>
          <w:lang w:val="en-GB"/>
        </w:rPr>
        <w:t xml:space="preserve">”. </w:t>
      </w:r>
    </w:p>
  </w:footnote>
  <w:footnote w:id="29">
    <w:p w14:paraId="0AEB9023" w14:textId="21FE1087"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Urdhër </w:t>
      </w:r>
      <w:r w:rsidR="001A3B3F">
        <w:rPr>
          <w:rFonts w:ascii="Times New Roman" w:hAnsi="Times New Roman" w:cs="Times New Roman"/>
        </w:rPr>
        <w:t>n</w:t>
      </w:r>
      <w:r w:rsidRPr="001063EA">
        <w:rPr>
          <w:rFonts w:ascii="Times New Roman" w:hAnsi="Times New Roman" w:cs="Times New Roman"/>
        </w:rPr>
        <w:t xml:space="preserve">r. 90, datë 01.08.2023 i Kryeministrit. </w:t>
      </w:r>
    </w:p>
  </w:footnote>
  <w:footnote w:id="30">
    <w:p w14:paraId="01459762" w14:textId="50C86F4E"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Në zbatim të VKM </w:t>
      </w:r>
      <w:r w:rsidR="001A3B3F">
        <w:rPr>
          <w:rFonts w:ascii="Times New Roman" w:hAnsi="Times New Roman" w:cs="Times New Roman"/>
        </w:rPr>
        <w:t>n</w:t>
      </w:r>
      <w:r w:rsidRPr="001063EA">
        <w:rPr>
          <w:rFonts w:ascii="Times New Roman" w:hAnsi="Times New Roman" w:cs="Times New Roman"/>
        </w:rPr>
        <w:t>r. 642, datë 29.10.2021 “Për krijimin, organizimin dhe funksionimin e Agjencisë Shtetërore për Programimin Strategjik dhe Koordinimin e Ndihmës”.</w:t>
      </w:r>
    </w:p>
  </w:footnote>
  <w:footnote w:id="31">
    <w:p w14:paraId="391F46CC" w14:textId="6936A8E2" w:rsidR="00EF7B8D" w:rsidRPr="001063EA" w:rsidRDefault="00EF7B8D" w:rsidP="000D5E07">
      <w:pPr>
        <w:pStyle w:val="FootnoteText"/>
        <w:tabs>
          <w:tab w:val="left" w:pos="7222"/>
        </w:tabs>
        <w:jc w:val="both"/>
        <w:rPr>
          <w:rFonts w:ascii="Times New Roman" w:hAnsi="Times New Roman" w:cs="Times New Roman"/>
          <w:lang w:val="it-IT"/>
        </w:rPr>
      </w:pPr>
      <w:r w:rsidRPr="001063EA">
        <w:rPr>
          <w:rStyle w:val="FootnoteReference"/>
          <w:rFonts w:ascii="Times New Roman" w:hAnsi="Times New Roman" w:cs="Times New Roman"/>
        </w:rPr>
        <w:footnoteRef/>
      </w:r>
      <w:r w:rsidRPr="001063EA">
        <w:rPr>
          <w:rFonts w:ascii="Times New Roman" w:hAnsi="Times New Roman" w:cs="Times New Roman"/>
          <w:lang w:val="it-IT"/>
        </w:rPr>
        <w:t xml:space="preserve"> Miratuar me VKM nr. 290, datë 11.04.2020. </w:t>
      </w:r>
      <w:r w:rsidRPr="001063EA">
        <w:rPr>
          <w:rFonts w:ascii="Times New Roman" w:hAnsi="Times New Roman" w:cs="Times New Roman"/>
          <w:lang w:val="it-IT"/>
        </w:rPr>
        <w:tab/>
      </w:r>
    </w:p>
  </w:footnote>
  <w:footnote w:id="32">
    <w:p w14:paraId="2E550613" w14:textId="5238BD16" w:rsidR="00EF7B8D" w:rsidRPr="001063EA" w:rsidRDefault="00EF7B8D" w:rsidP="00C64AAF">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Miratuar me VKM </w:t>
      </w:r>
      <w:r w:rsidR="001A3B3F">
        <w:rPr>
          <w:rFonts w:ascii="Times New Roman" w:hAnsi="Times New Roman" w:cs="Times New Roman"/>
        </w:rPr>
        <w:t>n</w:t>
      </w:r>
      <w:r w:rsidRPr="001063EA">
        <w:rPr>
          <w:rFonts w:ascii="Times New Roman" w:hAnsi="Times New Roman" w:cs="Times New Roman"/>
        </w:rPr>
        <w:t>r. 161, datë 20.03.2024 “Për miratimin e Dokumentit të Politikave Prioritare 2025-2027”.</w:t>
      </w:r>
    </w:p>
  </w:footnote>
  <w:footnote w:id="33">
    <w:p w14:paraId="0ED6DDE6" w14:textId="49616147" w:rsidR="00EF7B8D" w:rsidRPr="001063EA" w:rsidRDefault="00EF7B8D" w:rsidP="00C64AAF">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Miratuar me VKM </w:t>
      </w:r>
      <w:r w:rsidR="001A3B3F">
        <w:rPr>
          <w:rFonts w:ascii="Times New Roman" w:hAnsi="Times New Roman" w:cs="Times New Roman"/>
        </w:rPr>
        <w:t>n</w:t>
      </w:r>
      <w:r w:rsidRPr="001063EA">
        <w:rPr>
          <w:rFonts w:ascii="Times New Roman" w:hAnsi="Times New Roman" w:cs="Times New Roman"/>
        </w:rPr>
        <w:t>r. 533, datë 12.08.2024.</w:t>
      </w:r>
    </w:p>
  </w:footnote>
  <w:footnote w:id="34">
    <w:p w14:paraId="5622580D" w14:textId="58A43416" w:rsidR="00EF7B8D" w:rsidRPr="001063EA" w:rsidRDefault="00EF7B8D" w:rsidP="000D5E07">
      <w:pPr>
        <w:pStyle w:val="FootnoteText"/>
        <w:jc w:val="both"/>
        <w:rPr>
          <w:rFonts w:ascii="Times New Roman" w:hAnsi="Times New Roman" w:cs="Times New Roman"/>
          <w:lang w:val="it-IT"/>
        </w:rPr>
      </w:pPr>
      <w:r w:rsidRPr="001063EA">
        <w:rPr>
          <w:rStyle w:val="FootnoteReference"/>
          <w:rFonts w:ascii="Times New Roman" w:hAnsi="Times New Roman" w:cs="Times New Roman"/>
        </w:rPr>
        <w:footnoteRef/>
      </w:r>
      <w:r w:rsidRPr="001063EA">
        <w:rPr>
          <w:rFonts w:ascii="Times New Roman" w:hAnsi="Times New Roman" w:cs="Times New Roman"/>
          <w:lang w:val="it-IT"/>
        </w:rPr>
        <w:t xml:space="preserve"> Ligji </w:t>
      </w:r>
      <w:r w:rsidR="000438F7">
        <w:rPr>
          <w:rFonts w:ascii="Times New Roman" w:hAnsi="Times New Roman" w:cs="Times New Roman"/>
          <w:lang w:val="it-IT"/>
        </w:rPr>
        <w:t xml:space="preserve">nr. </w:t>
      </w:r>
      <w:r w:rsidRPr="001063EA">
        <w:rPr>
          <w:rFonts w:ascii="Times New Roman" w:hAnsi="Times New Roman" w:cs="Times New Roman"/>
          <w:lang w:val="it-IT"/>
        </w:rPr>
        <w:t>9000</w:t>
      </w:r>
      <w:r w:rsidR="000438F7">
        <w:rPr>
          <w:rFonts w:ascii="Times New Roman" w:hAnsi="Times New Roman" w:cs="Times New Roman"/>
          <w:lang w:val="it-IT"/>
        </w:rPr>
        <w:t>,</w:t>
      </w:r>
      <w:r w:rsidR="000438F7" w:rsidRPr="000438F7">
        <w:rPr>
          <w:rFonts w:ascii="Times New Roman" w:hAnsi="Times New Roman" w:cs="Times New Roman"/>
          <w:lang w:val="sq-AL"/>
        </w:rPr>
        <w:t xml:space="preserve"> </w:t>
      </w:r>
      <w:r w:rsidR="000438F7" w:rsidRPr="001063EA">
        <w:rPr>
          <w:rFonts w:ascii="Times New Roman" w:hAnsi="Times New Roman" w:cs="Times New Roman"/>
          <w:lang w:val="sq-AL"/>
        </w:rPr>
        <w:t>datë 30.01.2003</w:t>
      </w:r>
      <w:r w:rsidRPr="001063EA">
        <w:rPr>
          <w:rFonts w:ascii="Times New Roman" w:hAnsi="Times New Roman" w:cs="Times New Roman"/>
          <w:lang w:val="sq-AL"/>
        </w:rPr>
        <w:t xml:space="preserve"> </w:t>
      </w:r>
      <w:r w:rsidR="002D5CC5">
        <w:rPr>
          <w:rFonts w:ascii="Times New Roman" w:hAnsi="Times New Roman" w:cs="Times New Roman"/>
          <w:lang w:val="sq-AL"/>
        </w:rPr>
        <w:t>“</w:t>
      </w:r>
      <w:r w:rsidRPr="00A24808">
        <w:rPr>
          <w:rFonts w:ascii="Times New Roman" w:hAnsi="Times New Roman" w:cs="Times New Roman"/>
          <w:i/>
          <w:iCs/>
          <w:lang w:val="sq-AL"/>
        </w:rPr>
        <w:t xml:space="preserve">Për </w:t>
      </w:r>
      <w:r w:rsidR="002D5CC5" w:rsidRPr="00A24808">
        <w:rPr>
          <w:rFonts w:ascii="Times New Roman" w:hAnsi="Times New Roman" w:cs="Times New Roman"/>
          <w:i/>
          <w:iCs/>
          <w:lang w:val="sq-AL"/>
        </w:rPr>
        <w:t>o</w:t>
      </w:r>
      <w:r w:rsidRPr="00A24808">
        <w:rPr>
          <w:rFonts w:ascii="Times New Roman" w:hAnsi="Times New Roman" w:cs="Times New Roman"/>
          <w:i/>
          <w:iCs/>
          <w:lang w:val="sq-AL"/>
        </w:rPr>
        <w:t xml:space="preserve">rganizimin dhe </w:t>
      </w:r>
      <w:r w:rsidR="002D5CC5" w:rsidRPr="00A24808">
        <w:rPr>
          <w:rFonts w:ascii="Times New Roman" w:hAnsi="Times New Roman" w:cs="Times New Roman"/>
          <w:i/>
          <w:iCs/>
          <w:lang w:val="sq-AL"/>
        </w:rPr>
        <w:t>f</w:t>
      </w:r>
      <w:r w:rsidRPr="00A24808">
        <w:rPr>
          <w:rFonts w:ascii="Times New Roman" w:hAnsi="Times New Roman" w:cs="Times New Roman"/>
          <w:i/>
          <w:iCs/>
          <w:lang w:val="sq-AL"/>
        </w:rPr>
        <w:t>unksionimin e Këshillit të Ministrave</w:t>
      </w:r>
      <w:r w:rsidR="002D5CC5">
        <w:rPr>
          <w:rFonts w:ascii="Times New Roman" w:hAnsi="Times New Roman" w:cs="Times New Roman"/>
          <w:lang w:val="sq-AL"/>
        </w:rPr>
        <w:t>”</w:t>
      </w:r>
      <w:r w:rsidRPr="001063EA">
        <w:rPr>
          <w:rFonts w:ascii="Times New Roman" w:hAnsi="Times New Roman" w:cs="Times New Roman"/>
          <w:lang w:val="sq-AL"/>
        </w:rPr>
        <w:t>.</w:t>
      </w:r>
    </w:p>
  </w:footnote>
  <w:footnote w:id="35">
    <w:p w14:paraId="710899D7" w14:textId="4311F15A" w:rsidR="00EF7B8D" w:rsidRPr="001063EA" w:rsidRDefault="00EF7B8D" w:rsidP="000D5E07">
      <w:pPr>
        <w:pStyle w:val="FootnoteText"/>
        <w:jc w:val="both"/>
        <w:rPr>
          <w:rFonts w:ascii="Times New Roman" w:hAnsi="Times New Roman" w:cs="Times New Roman"/>
          <w:lang w:val="it-IT"/>
        </w:rPr>
      </w:pPr>
      <w:r w:rsidRPr="001063EA">
        <w:rPr>
          <w:rStyle w:val="FootnoteReference"/>
          <w:rFonts w:ascii="Times New Roman" w:hAnsi="Times New Roman" w:cs="Times New Roman"/>
        </w:rPr>
        <w:footnoteRef/>
      </w:r>
      <w:r w:rsidRPr="001063EA">
        <w:rPr>
          <w:rFonts w:ascii="Times New Roman" w:hAnsi="Times New Roman" w:cs="Times New Roman"/>
          <w:lang w:val="it-IT"/>
        </w:rPr>
        <w:t xml:space="preserve"> VKM </w:t>
      </w:r>
      <w:r w:rsidR="002D5CC5">
        <w:rPr>
          <w:rFonts w:ascii="Times New Roman" w:hAnsi="Times New Roman" w:cs="Times New Roman"/>
          <w:lang w:val="it-IT"/>
        </w:rPr>
        <w:t xml:space="preserve">nr. </w:t>
      </w:r>
      <w:r w:rsidRPr="001063EA">
        <w:rPr>
          <w:rFonts w:ascii="Times New Roman" w:hAnsi="Times New Roman" w:cs="Times New Roman"/>
          <w:lang w:val="it-IT"/>
        </w:rPr>
        <w:t>584</w:t>
      </w:r>
      <w:r w:rsidR="002D5CC5">
        <w:rPr>
          <w:rFonts w:ascii="Times New Roman" w:hAnsi="Times New Roman" w:cs="Times New Roman"/>
          <w:lang w:val="it-IT"/>
        </w:rPr>
        <w:t>, datë 28.08</w:t>
      </w:r>
      <w:r w:rsidR="000438F7">
        <w:rPr>
          <w:rFonts w:ascii="Times New Roman" w:hAnsi="Times New Roman" w:cs="Times New Roman"/>
          <w:lang w:val="it-IT"/>
        </w:rPr>
        <w:t>.</w:t>
      </w:r>
      <w:r w:rsidRPr="001063EA">
        <w:rPr>
          <w:rFonts w:ascii="Times New Roman" w:hAnsi="Times New Roman" w:cs="Times New Roman"/>
          <w:lang w:val="it-IT"/>
        </w:rPr>
        <w:t xml:space="preserve">2003 </w:t>
      </w:r>
      <w:r w:rsidR="002D5CC5">
        <w:rPr>
          <w:rFonts w:ascii="Times New Roman" w:hAnsi="Times New Roman" w:cs="Times New Roman"/>
          <w:lang w:val="it-IT"/>
        </w:rPr>
        <w:t>“</w:t>
      </w:r>
      <w:r w:rsidRPr="00A24808">
        <w:rPr>
          <w:rFonts w:ascii="Times New Roman" w:hAnsi="Times New Roman" w:cs="Times New Roman"/>
          <w:i/>
          <w:iCs/>
          <w:lang w:val="it-IT"/>
        </w:rPr>
        <w:t xml:space="preserve">Për </w:t>
      </w:r>
      <w:r w:rsidR="002D5CC5" w:rsidRPr="00A24808">
        <w:rPr>
          <w:rFonts w:ascii="Times New Roman" w:hAnsi="Times New Roman" w:cs="Times New Roman"/>
          <w:i/>
          <w:iCs/>
          <w:lang w:val="it-IT"/>
        </w:rPr>
        <w:t>m</w:t>
      </w:r>
      <w:r w:rsidRPr="00A24808">
        <w:rPr>
          <w:rFonts w:ascii="Times New Roman" w:hAnsi="Times New Roman" w:cs="Times New Roman"/>
          <w:i/>
          <w:iCs/>
          <w:lang w:val="it-IT"/>
        </w:rPr>
        <w:t>iratimin e Rregullores së Këshillit të Ministrave</w:t>
      </w:r>
      <w:r w:rsidR="002D5CC5">
        <w:rPr>
          <w:rFonts w:ascii="Times New Roman" w:hAnsi="Times New Roman" w:cs="Times New Roman"/>
          <w:lang w:val="it-IT"/>
        </w:rPr>
        <w:t>”</w:t>
      </w:r>
      <w:r w:rsidRPr="001063EA">
        <w:rPr>
          <w:rFonts w:ascii="Times New Roman" w:hAnsi="Times New Roman" w:cs="Times New Roman"/>
          <w:lang w:val="it-IT"/>
        </w:rPr>
        <w:t>,</w:t>
      </w:r>
      <w:r w:rsidR="000438F7">
        <w:rPr>
          <w:rFonts w:ascii="Times New Roman" w:hAnsi="Times New Roman" w:cs="Times New Roman"/>
          <w:lang w:val="it-IT"/>
        </w:rPr>
        <w:t xml:space="preserve"> i</w:t>
      </w:r>
      <w:r w:rsidRPr="001063EA">
        <w:rPr>
          <w:rFonts w:ascii="Times New Roman" w:hAnsi="Times New Roman" w:cs="Times New Roman"/>
          <w:lang w:val="it-IT"/>
        </w:rPr>
        <w:t xml:space="preserve"> </w:t>
      </w:r>
      <w:r w:rsidR="000438F7">
        <w:rPr>
          <w:rFonts w:ascii="Times New Roman" w:hAnsi="Times New Roman" w:cs="Times New Roman"/>
          <w:lang w:val="it-IT"/>
        </w:rPr>
        <w:t>ndryshua</w:t>
      </w:r>
      <w:r w:rsidRPr="001063EA">
        <w:rPr>
          <w:rFonts w:ascii="Times New Roman" w:hAnsi="Times New Roman" w:cs="Times New Roman"/>
          <w:lang w:val="it-IT"/>
        </w:rPr>
        <w:t>r.</w:t>
      </w:r>
    </w:p>
  </w:footnote>
  <w:footnote w:id="36">
    <w:p w14:paraId="175FA373" w14:textId="3057899D" w:rsidR="00EF7B8D" w:rsidRPr="001063EA" w:rsidRDefault="00EF7B8D" w:rsidP="000D5E07">
      <w:pPr>
        <w:pStyle w:val="FootnoteText"/>
        <w:jc w:val="both"/>
        <w:rPr>
          <w:rFonts w:ascii="Times New Roman" w:hAnsi="Times New Roman" w:cs="Times New Roman"/>
          <w:lang w:val="it-IT"/>
        </w:rPr>
      </w:pPr>
      <w:r w:rsidRPr="001063EA">
        <w:rPr>
          <w:rStyle w:val="FootnoteReference"/>
          <w:rFonts w:ascii="Times New Roman" w:hAnsi="Times New Roman" w:cs="Times New Roman"/>
        </w:rPr>
        <w:footnoteRef/>
      </w:r>
      <w:r w:rsidRPr="001063EA">
        <w:rPr>
          <w:rFonts w:ascii="Times New Roman" w:hAnsi="Times New Roman" w:cs="Times New Roman"/>
          <w:lang w:val="it-IT"/>
        </w:rPr>
        <w:t xml:space="preserve"> OECD/SIGMA, Raport Monitorimi: Parimet e Administratës Publike – Shqipëria, 2021, </w:t>
      </w:r>
      <w:hyperlink r:id="rId4" w:history="1">
        <w:r w:rsidRPr="001063EA">
          <w:rPr>
            <w:rStyle w:val="Hyperlink"/>
            <w:rFonts w:ascii="Times New Roman" w:hAnsi="Times New Roman" w:cs="Times New Roman"/>
            <w:lang w:val="sq-AL"/>
          </w:rPr>
          <w:t>www.sigmaweb.org</w:t>
        </w:r>
      </w:hyperlink>
    </w:p>
  </w:footnote>
  <w:footnote w:id="37">
    <w:p w14:paraId="0AB341CA" w14:textId="74FE15C8" w:rsidR="00EF7B8D" w:rsidRPr="001063EA" w:rsidRDefault="00EF7B8D" w:rsidP="000D5E07">
      <w:pPr>
        <w:pStyle w:val="FootnoteText"/>
        <w:jc w:val="both"/>
        <w:rPr>
          <w:rFonts w:ascii="Times New Roman" w:hAnsi="Times New Roman" w:cs="Times New Roman"/>
          <w:lang w:val="it-IT"/>
        </w:rPr>
      </w:pPr>
      <w:r w:rsidRPr="001063EA">
        <w:rPr>
          <w:rStyle w:val="FootnoteReference"/>
          <w:rFonts w:ascii="Times New Roman" w:hAnsi="Times New Roman" w:cs="Times New Roman"/>
        </w:rPr>
        <w:footnoteRef/>
      </w:r>
      <w:r w:rsidRPr="001063EA">
        <w:rPr>
          <w:rFonts w:ascii="Times New Roman" w:hAnsi="Times New Roman" w:cs="Times New Roman"/>
          <w:lang w:val="it-IT"/>
        </w:rPr>
        <w:t xml:space="preserve"> OECD/SIGMA, Raport Monitorimi: Parimet e Administratës Publike – Shqipëria, 2024, </w:t>
      </w:r>
      <w:hyperlink r:id="rId5" w:history="1">
        <w:r w:rsidRPr="001063EA">
          <w:rPr>
            <w:rStyle w:val="Hyperlink"/>
            <w:rFonts w:ascii="Times New Roman" w:hAnsi="Times New Roman" w:cs="Times New Roman"/>
            <w:lang w:val="it-IT"/>
          </w:rPr>
          <w:t>www.sigmaweb.org</w:t>
        </w:r>
      </w:hyperlink>
      <w:r w:rsidRPr="001063EA">
        <w:rPr>
          <w:rFonts w:ascii="Times New Roman" w:hAnsi="Times New Roman" w:cs="Times New Roman"/>
          <w:lang w:val="it-IT"/>
        </w:rPr>
        <w:t xml:space="preserve"> </w:t>
      </w:r>
    </w:p>
  </w:footnote>
  <w:footnote w:id="38">
    <w:p w14:paraId="321A7C2E" w14:textId="727CBD20" w:rsidR="00EF7B8D" w:rsidRPr="001063EA" w:rsidRDefault="00EF7B8D" w:rsidP="000D5E07">
      <w:pPr>
        <w:pStyle w:val="FootnoteText"/>
        <w:jc w:val="both"/>
        <w:rPr>
          <w:rFonts w:ascii="Times New Roman" w:hAnsi="Times New Roman" w:cs="Times New Roman"/>
          <w:lang w:val="it-IT"/>
        </w:rPr>
      </w:pPr>
      <w:r w:rsidRPr="001063EA">
        <w:rPr>
          <w:rStyle w:val="FootnoteReference"/>
          <w:rFonts w:ascii="Times New Roman" w:hAnsi="Times New Roman" w:cs="Times New Roman"/>
        </w:rPr>
        <w:footnoteRef/>
      </w:r>
      <w:r w:rsidRPr="001063EA">
        <w:rPr>
          <w:rFonts w:ascii="Times New Roman" w:hAnsi="Times New Roman" w:cs="Times New Roman"/>
          <w:lang w:val="it-IT"/>
        </w:rPr>
        <w:t xml:space="preserve"> Komisioni Evropian, Raporti i Shqyrtimit Analitik – Grup-Kapitujt I “Themeloret”, Korrik 2023, f. 29, </w:t>
      </w:r>
      <w:hyperlink r:id="rId6" w:history="1">
        <w:r w:rsidRPr="001063EA">
          <w:rPr>
            <w:rStyle w:val="Hyperlink"/>
            <w:rFonts w:ascii="Times New Roman" w:hAnsi="Times New Roman" w:cs="Times New Roman"/>
            <w:lang w:val="it-IT"/>
          </w:rPr>
          <w:t>https://neighbourhood-enlargement.ec.europa.eu/document/doënload/b83313ef-48c5-4bef-9f00-f5d66509572e_en?filename=AL%20Cluster_1%20Draft%20screening%20report_external%20version.pdf</w:t>
        </w:r>
      </w:hyperlink>
      <w:r w:rsidRPr="001063EA">
        <w:rPr>
          <w:rFonts w:ascii="Times New Roman" w:hAnsi="Times New Roman" w:cs="Times New Roman"/>
          <w:lang w:val="it-IT"/>
        </w:rPr>
        <w:t xml:space="preserve"> </w:t>
      </w:r>
    </w:p>
  </w:footnote>
  <w:footnote w:id="39">
    <w:p w14:paraId="14B3E78D" w14:textId="18468442" w:rsidR="00EF7B8D" w:rsidRPr="001063EA" w:rsidRDefault="00EF7B8D" w:rsidP="000D5E07">
      <w:pPr>
        <w:pStyle w:val="FootnoteText"/>
        <w:jc w:val="both"/>
        <w:rPr>
          <w:rFonts w:ascii="Times New Roman" w:hAnsi="Times New Roman" w:cs="Times New Roman"/>
          <w:lang w:val="it-IT"/>
        </w:rPr>
      </w:pPr>
      <w:r w:rsidRPr="001063EA">
        <w:rPr>
          <w:rStyle w:val="FootnoteReference"/>
          <w:rFonts w:ascii="Times New Roman" w:hAnsi="Times New Roman" w:cs="Times New Roman"/>
        </w:rPr>
        <w:footnoteRef/>
      </w:r>
      <w:r w:rsidRPr="001063EA">
        <w:rPr>
          <w:rFonts w:ascii="Times New Roman" w:hAnsi="Times New Roman" w:cs="Times New Roman"/>
          <w:lang w:val="it-IT"/>
        </w:rPr>
        <w:t xml:space="preserve"> OECD/SIGMA, Raport Monitorimi: Parimet e Administratës Publike – Shqipëria, 2024, www.sigmaweb.org</w:t>
      </w:r>
    </w:p>
  </w:footnote>
  <w:footnote w:id="40">
    <w:p w14:paraId="5CE86D56" w14:textId="0B985DF0"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lang w:val="it-IT"/>
        </w:rPr>
        <w:t xml:space="preserve"> Komisioni Evropian, Raporti për Shqipërinë 2024, </w:t>
      </w:r>
      <w:r w:rsidR="008F4B52">
        <w:rPr>
          <w:rFonts w:ascii="Times New Roman" w:hAnsi="Times New Roman" w:cs="Times New Roman"/>
          <w:lang w:val="it-IT"/>
        </w:rPr>
        <w:t>T</w:t>
      </w:r>
      <w:r w:rsidRPr="001063EA">
        <w:rPr>
          <w:rFonts w:ascii="Times New Roman" w:hAnsi="Times New Roman" w:cs="Times New Roman"/>
          <w:lang w:val="it-IT"/>
        </w:rPr>
        <w:t xml:space="preserve">etor 2024, f. 27. </w:t>
      </w:r>
      <w:hyperlink r:id="rId7" w:history="1">
        <w:r w:rsidRPr="001063EA">
          <w:rPr>
            <w:rStyle w:val="Hyperlink"/>
            <w:rFonts w:ascii="Times New Roman" w:hAnsi="Times New Roman" w:cs="Times New Roman"/>
          </w:rPr>
          <w:t>https://neighbourhood-enlargement.ec.europa.eu/document/doënload/a8eec3f9-b2ec-4cb1-8748-9058854dbc68_en?filename=Albania%20Report%202024.pdf</w:t>
        </w:r>
      </w:hyperlink>
      <w:r w:rsidRPr="001063EA">
        <w:rPr>
          <w:rFonts w:ascii="Times New Roman" w:hAnsi="Times New Roman" w:cs="Times New Roman"/>
        </w:rPr>
        <w:t xml:space="preserve"> </w:t>
      </w:r>
    </w:p>
  </w:footnote>
  <w:footnote w:id="41">
    <w:p w14:paraId="4562DA62" w14:textId="266BB9FE"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Miratuar me VKM </w:t>
      </w:r>
      <w:r w:rsidR="008F4B52">
        <w:rPr>
          <w:rFonts w:ascii="Times New Roman" w:hAnsi="Times New Roman" w:cs="Times New Roman"/>
        </w:rPr>
        <w:t>n</w:t>
      </w:r>
      <w:r w:rsidRPr="001063EA">
        <w:rPr>
          <w:rFonts w:ascii="Times New Roman" w:hAnsi="Times New Roman" w:cs="Times New Roman"/>
        </w:rPr>
        <w:t xml:space="preserve">r. 503, datë 01.08.2024 </w:t>
      </w:r>
      <w:r w:rsidR="00D65F31">
        <w:rPr>
          <w:rFonts w:ascii="Times New Roman" w:hAnsi="Times New Roman" w:cs="Times New Roman"/>
        </w:rPr>
        <w:t>‘</w:t>
      </w:r>
      <w:r w:rsidRPr="001063EA">
        <w:rPr>
          <w:rFonts w:ascii="Times New Roman" w:hAnsi="Times New Roman" w:cs="Times New Roman"/>
        </w:rPr>
        <w:t xml:space="preserve">“Për disa ndryshime në vendimin nr. 328, datë 31.5.2023, të Këshillit të Ministrave, </w:t>
      </w:r>
      <w:r w:rsidR="008F4B52">
        <w:rPr>
          <w:rFonts w:ascii="Times New Roman" w:hAnsi="Times New Roman" w:cs="Times New Roman"/>
        </w:rPr>
        <w:t>“</w:t>
      </w:r>
      <w:r w:rsidRPr="001063EA">
        <w:rPr>
          <w:rFonts w:ascii="Times New Roman" w:hAnsi="Times New Roman" w:cs="Times New Roman"/>
        </w:rPr>
        <w:t>Për klasifikimin e funksioneve, grupimin e njësive të vetëqeverisjes vendore, për efekt page, dhe caktimin e kufijve të pagave të funksionarëve të zgjedhur e të emëruar, të nëpunësve civilë e të punonjësve administrativë të njësive të vetëqeverisjes vendore”</w:t>
      </w:r>
      <w:r w:rsidR="00D65F31">
        <w:rPr>
          <w:rFonts w:ascii="Times New Roman" w:hAnsi="Times New Roman" w:cs="Times New Roman"/>
        </w:rPr>
        <w:t>’</w:t>
      </w:r>
      <w:r w:rsidRPr="001063EA">
        <w:rPr>
          <w:rFonts w:ascii="Times New Roman" w:hAnsi="Times New Roman" w:cs="Times New Roman"/>
        </w:rPr>
        <w:t>.</w:t>
      </w:r>
    </w:p>
  </w:footnote>
  <w:footnote w:id="42">
    <w:p w14:paraId="7EC9AD21" w14:textId="25F43173"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OECD/SIGMA, Raport Monitorimi: Parimet e Administratës Publike – Shqipëria, 2024, </w:t>
      </w:r>
      <w:hyperlink r:id="rId8" w:history="1">
        <w:r w:rsidRPr="001063EA">
          <w:rPr>
            <w:rStyle w:val="Hyperlink"/>
            <w:rFonts w:ascii="Times New Roman" w:hAnsi="Times New Roman" w:cs="Times New Roman"/>
          </w:rPr>
          <w:t>https://www.oecd.org/en/publications/public-administration-in-albania-2024_5577d117-en.html</w:t>
        </w:r>
      </w:hyperlink>
      <w:r w:rsidRPr="001063EA">
        <w:rPr>
          <w:rFonts w:ascii="Times New Roman" w:hAnsi="Times New Roman" w:cs="Times New Roman"/>
        </w:rPr>
        <w:t xml:space="preserve"> </w:t>
      </w:r>
    </w:p>
  </w:footnote>
  <w:footnote w:id="43">
    <w:p w14:paraId="56F6AAA7" w14:textId="54C32107"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Më gjerësisht: </w:t>
      </w:r>
    </w:p>
    <w:p w14:paraId="38009A04" w14:textId="4FFDA3EE" w:rsidR="00EF7B8D" w:rsidRPr="001063EA" w:rsidRDefault="00EF7B8D" w:rsidP="000D5E07">
      <w:pPr>
        <w:pStyle w:val="FootnoteText"/>
        <w:jc w:val="both"/>
        <w:rPr>
          <w:rFonts w:ascii="Times New Roman" w:hAnsi="Times New Roman" w:cs="Times New Roman"/>
        </w:rPr>
      </w:pPr>
      <w:r w:rsidRPr="001063EA">
        <w:rPr>
          <w:rFonts w:ascii="Times New Roman" w:hAnsi="Times New Roman" w:cs="Times New Roman"/>
        </w:rPr>
        <w:t>(i) Shtylla e parë fokusohet në përshtatjen me sfidat bashkëkohore dhe promovimin e mirëqenies. Kjo përfshin ofrimin e fleksibilitetit në oraret e punës (me orë të detyrueshme midis 09:30 – 15:30) si dhe rishikimin e dispozitave ligjore mbi pushimet vjetore, duke hequr kufizimet e Kodit të Punës për periudhat e pushimit.</w:t>
      </w:r>
    </w:p>
    <w:p w14:paraId="0A216FF0" w14:textId="77777777" w:rsidR="00EF7B8D" w:rsidRPr="001063EA" w:rsidRDefault="00EF7B8D" w:rsidP="000D5E07">
      <w:pPr>
        <w:pStyle w:val="FootnoteText"/>
        <w:jc w:val="both"/>
        <w:rPr>
          <w:rFonts w:ascii="Times New Roman" w:hAnsi="Times New Roman" w:cs="Times New Roman"/>
        </w:rPr>
      </w:pPr>
      <w:r w:rsidRPr="001063EA">
        <w:rPr>
          <w:rFonts w:ascii="Times New Roman" w:hAnsi="Times New Roman" w:cs="Times New Roman"/>
        </w:rPr>
        <w:t>(ii) Shtylla e dytë siguron akses në shërbime dhe aktivitete, duke ofruar trajtim preferencial për punonjësit në aktivitetet kulturore dhe akses në hapësirat sportive publike.</w:t>
      </w:r>
    </w:p>
    <w:p w14:paraId="3FCFED8E" w14:textId="39F844D8" w:rsidR="00EF7B8D" w:rsidRPr="001063EA" w:rsidRDefault="00EF7B8D" w:rsidP="000D5E07">
      <w:pPr>
        <w:pStyle w:val="FootnoteText"/>
        <w:jc w:val="both"/>
        <w:rPr>
          <w:rFonts w:ascii="Times New Roman" w:hAnsi="Times New Roman" w:cs="Times New Roman"/>
        </w:rPr>
      </w:pPr>
      <w:r w:rsidRPr="001063EA">
        <w:rPr>
          <w:rFonts w:ascii="Times New Roman" w:hAnsi="Times New Roman" w:cs="Times New Roman"/>
        </w:rPr>
        <w:t>(iii) Shtylla e tretë thekson forcimin e frymës së ekipit dhe konkurrencën e shëndetshme përmes praktikave vjetore të vlerësimit të integritetit dhe performancës profesionale në çdo ministri, organizimit të konkurseve për inovacion dhe zbatimit të një Programi të Zhvillimit të Lidershipit.</w:t>
      </w:r>
    </w:p>
    <w:p w14:paraId="1878FA62" w14:textId="26D9303D" w:rsidR="00EF7B8D" w:rsidRPr="001063EA" w:rsidRDefault="00EF7B8D" w:rsidP="000D5E07">
      <w:pPr>
        <w:pStyle w:val="FootnoteText"/>
        <w:jc w:val="both"/>
        <w:rPr>
          <w:rFonts w:ascii="Times New Roman" w:hAnsi="Times New Roman" w:cs="Times New Roman"/>
        </w:rPr>
      </w:pPr>
      <w:r w:rsidRPr="001063EA">
        <w:rPr>
          <w:rFonts w:ascii="Times New Roman" w:hAnsi="Times New Roman" w:cs="Times New Roman"/>
        </w:rPr>
        <w:t>(iv) Shtylla e katërt adreson motivimin financiar përmes një sistemi shpërblimesh për performancë të mirë, duke njohur dhe inkurajuar kontributet e veçanta.</w:t>
      </w:r>
    </w:p>
  </w:footnote>
  <w:footnote w:id="44">
    <w:p w14:paraId="623A033A" w14:textId="50A8F5B4"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Ndryshimet parashikojnë që punonjësit mund të zgjedhin të fillojnë ditën e punës më herët dhe ta përfundojnë më herët, ose të fillojnë më vonë dhe të përfundojnë më vonë, përderisa plotësojnë orët e punës të kërkuara (8.5 orë nga e hëna deri të enjten dhe 6 orë të premten). Po ashtu, është vendosur një orar i detyrueshëm nga ora 09:30 deri në 15:30 (dhe deri në 13:00 të premten) gjatë të cilit të gjithë punonjësit duhet të jenë të pranishëm në punë. Ndryshimet janë miratuar me VKM </w:t>
      </w:r>
      <w:r w:rsidR="00E317E8">
        <w:rPr>
          <w:rFonts w:ascii="Times New Roman" w:hAnsi="Times New Roman" w:cs="Times New Roman"/>
        </w:rPr>
        <w:t>n</w:t>
      </w:r>
      <w:r w:rsidRPr="001063EA">
        <w:rPr>
          <w:rFonts w:ascii="Times New Roman" w:hAnsi="Times New Roman" w:cs="Times New Roman"/>
        </w:rPr>
        <w:t>r. 530, datë 01.08.2024 “Për disa ndryshime dhe shtesa në vendimin nr. 568, datë 6.10.2021, të Këshillit të Ministrave, ‘Për miratimin e rregullave për kohëzgjatjen e punës dhe të pushimit, orët shtesë dhe kompensimin e tyre në institucionet e administratës shtetërore, institucionet e pavarura dhe njësitë e vetëqeverisjes vendore’”.</w:t>
      </w:r>
    </w:p>
  </w:footnote>
  <w:footnote w:id="45">
    <w:p w14:paraId="08B48AFB" w14:textId="412EAD2A"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Miratuar me ligjin </w:t>
      </w:r>
      <w:r w:rsidR="00E317E8">
        <w:rPr>
          <w:rFonts w:ascii="Times New Roman" w:hAnsi="Times New Roman" w:cs="Times New Roman"/>
        </w:rPr>
        <w:t>n</w:t>
      </w:r>
      <w:r w:rsidRPr="001063EA">
        <w:rPr>
          <w:rFonts w:ascii="Times New Roman" w:hAnsi="Times New Roman" w:cs="Times New Roman"/>
        </w:rPr>
        <w:t xml:space="preserve">r. 91/2024 “Për disa ndryshime në ligjin </w:t>
      </w:r>
      <w:r w:rsidR="00E317E8">
        <w:rPr>
          <w:rFonts w:ascii="Times New Roman" w:hAnsi="Times New Roman" w:cs="Times New Roman"/>
        </w:rPr>
        <w:t>n</w:t>
      </w:r>
      <w:r w:rsidRPr="001063EA">
        <w:rPr>
          <w:rFonts w:ascii="Times New Roman" w:hAnsi="Times New Roman" w:cs="Times New Roman"/>
        </w:rPr>
        <w:t>r. 7961, datë 12.7.1995, ‘Kodi i Punës i Republikës Së Shqipërisë’, i ndryshuar”.</w:t>
      </w:r>
    </w:p>
  </w:footnote>
  <w:footnote w:id="46">
    <w:p w14:paraId="14604FC5" w14:textId="5E5981A4"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OECD/SIGMA, Raport Monitorimi: Parimet e Administratës Publike – Shqipëria, 2024, www.sigmaweb.org</w:t>
      </w:r>
    </w:p>
  </w:footnote>
  <w:footnote w:id="47">
    <w:p w14:paraId="76859AEA" w14:textId="2E1FA61D"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Miratuar me VKM Nr. 586, datë 30.08.2019, “Për punësimin e përkohshëm të studentëve të ekselencës në institucionet e administratës shteterore”, i ndryshuar.</w:t>
      </w:r>
    </w:p>
  </w:footnote>
  <w:footnote w:id="48">
    <w:p w14:paraId="3BC6BE45" w14:textId="03709C78"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Programi përfshinte katër module themelore që fokusoheshin në zhvillimin e aftësive drejtuese dhe praktikave menaxheriale efektive: Moduli 1 – Parimet themelore të lidershipit; Moduli 2 – Teknikat e Menaxhimit Strategjik; Moduli 3 – Zhvillimi i kulturës së lidershipit; dhe Moduli 4 – Fuqizimi dhe mbështetja e ekipit.</w:t>
      </w:r>
    </w:p>
  </w:footnote>
  <w:footnote w:id="49">
    <w:p w14:paraId="2B7E48EA" w14:textId="356AAE8A"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Komisioni Evropian, Raporti për Shqipërinë 2024, tetor 2024, f. 27. </w:t>
      </w:r>
      <w:hyperlink r:id="rId9" w:history="1">
        <w:r w:rsidRPr="001063EA">
          <w:rPr>
            <w:rStyle w:val="Hyperlink"/>
            <w:rFonts w:ascii="Times New Roman" w:hAnsi="Times New Roman" w:cs="Times New Roman"/>
          </w:rPr>
          <w:t>https://neighbourhood-enlargement.ec.europa.eu/document/doënload/a8eec3f9-b2ec-4cb1-8748-9058854dbc68_en?filename=Albania%20Report%202024.pdf</w:t>
        </w:r>
      </w:hyperlink>
      <w:r w:rsidRPr="001063EA">
        <w:rPr>
          <w:rFonts w:ascii="Times New Roman" w:hAnsi="Times New Roman" w:cs="Times New Roman"/>
        </w:rPr>
        <w:t xml:space="preserve">  </w:t>
      </w:r>
    </w:p>
  </w:footnote>
  <w:footnote w:id="50">
    <w:p w14:paraId="5578CB5F" w14:textId="62C53EFB"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OECD/SIGMA, Raport Monitorimi: Parimet e Administratës Publike – Shqipëria, 2024, </w:t>
      </w:r>
      <w:hyperlink r:id="rId10" w:history="1">
        <w:r w:rsidRPr="001063EA">
          <w:rPr>
            <w:rStyle w:val="Hyperlink"/>
            <w:rFonts w:ascii="Times New Roman" w:hAnsi="Times New Roman" w:cs="Times New Roman"/>
          </w:rPr>
          <w:t>www.sigmaweb.org</w:t>
        </w:r>
      </w:hyperlink>
      <w:r w:rsidRPr="001063EA">
        <w:rPr>
          <w:rFonts w:ascii="Times New Roman" w:hAnsi="Times New Roman" w:cs="Times New Roman"/>
        </w:rPr>
        <w:t xml:space="preserve"> </w:t>
      </w:r>
    </w:p>
  </w:footnote>
  <w:footnote w:id="51">
    <w:p w14:paraId="5AB88BF7" w14:textId="263B4799"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Komisioni Evropian, Raporti për Shqipërinë, 2024, f. 27, </w:t>
      </w:r>
      <w:hyperlink r:id="rId11" w:history="1">
        <w:r w:rsidRPr="001063EA">
          <w:rPr>
            <w:rStyle w:val="Hyperlink"/>
            <w:rFonts w:ascii="Times New Roman" w:hAnsi="Times New Roman" w:cs="Times New Roman"/>
          </w:rPr>
          <w:t>https://neighbourhood-enlargement.ec.europa.eu/document/doënload/a8eec3f9-b2ec-4cb1-8748-9058854dbc68_en?filename=Albania%20Report%202024.pdf</w:t>
        </w:r>
      </w:hyperlink>
    </w:p>
  </w:footnote>
  <w:footnote w:id="52">
    <w:p w14:paraId="55511575" w14:textId="6A6E91B4"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OECD/SIGMA, Raport Monitorimi: Parimet e Administratës Publike – Shqipëria, 2024, www.sigmaweb.org</w:t>
      </w:r>
    </w:p>
  </w:footnote>
  <w:footnote w:id="53">
    <w:p w14:paraId="5A76CECD" w14:textId="7C521C8B"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United Nations, E-Government Development Index 2024, </w:t>
      </w:r>
      <w:hyperlink r:id="rId12" w:history="1">
        <w:r w:rsidRPr="001063EA">
          <w:rPr>
            <w:rStyle w:val="Hyperlink"/>
            <w:rFonts w:ascii="Times New Roman" w:hAnsi="Times New Roman" w:cs="Times New Roman"/>
          </w:rPr>
          <w:t>https://publicadministration.un.org/egovkb/en-us/Data/Country-Information/id/2-Albania/dataYear/2024</w:t>
        </w:r>
      </w:hyperlink>
      <w:r w:rsidRPr="001063EA">
        <w:rPr>
          <w:rFonts w:ascii="Times New Roman" w:hAnsi="Times New Roman" w:cs="Times New Roman"/>
        </w:rPr>
        <w:t xml:space="preserve"> </w:t>
      </w:r>
    </w:p>
  </w:footnote>
  <w:footnote w:id="54">
    <w:p w14:paraId="5C5BD7FF" w14:textId="478DDC94" w:rsidR="00EF7B8D" w:rsidRPr="001063EA" w:rsidRDefault="00EF7B8D" w:rsidP="000D5E07">
      <w:pPr>
        <w:pStyle w:val="FootnoteText"/>
        <w:jc w:val="both"/>
        <w:rPr>
          <w:rFonts w:ascii="Times New Roman" w:hAnsi="Times New Roman" w:cs="Times New Roman"/>
          <w:lang w:val="it-IT"/>
        </w:rPr>
      </w:pPr>
      <w:r w:rsidRPr="001063EA">
        <w:rPr>
          <w:rStyle w:val="FootnoteReference"/>
          <w:rFonts w:ascii="Times New Roman" w:hAnsi="Times New Roman" w:cs="Times New Roman"/>
        </w:rPr>
        <w:footnoteRef/>
      </w:r>
      <w:r w:rsidRPr="001063EA">
        <w:rPr>
          <w:rFonts w:ascii="Times New Roman" w:hAnsi="Times New Roman" w:cs="Times New Roman"/>
          <w:lang w:val="it-IT"/>
        </w:rPr>
        <w:t xml:space="preserve"> Komisioni Evropian, Raporti për Shqipërinë, 2024, f. 27, </w:t>
      </w:r>
      <w:hyperlink r:id="rId13" w:history="1">
        <w:r w:rsidRPr="001063EA">
          <w:rPr>
            <w:rStyle w:val="Hyperlink"/>
            <w:rFonts w:ascii="Times New Roman" w:hAnsi="Times New Roman" w:cs="Times New Roman"/>
            <w:lang w:val="it-IT"/>
          </w:rPr>
          <w:t>https://neighbourhood-enlargement.ec.europa.eu/document/doënload/a8eec3f9-b2ec-4cb1-8748-9058854dbc68_en?filename=Albania%20Report%202024.pdf</w:t>
        </w:r>
      </w:hyperlink>
      <w:r w:rsidRPr="001063EA">
        <w:rPr>
          <w:rFonts w:ascii="Times New Roman" w:hAnsi="Times New Roman" w:cs="Times New Roman"/>
          <w:lang w:val="it-IT"/>
        </w:rPr>
        <w:t xml:space="preserve"> </w:t>
      </w:r>
    </w:p>
  </w:footnote>
  <w:footnote w:id="55">
    <w:p w14:paraId="54A4A0F6" w14:textId="458AC8C6" w:rsidR="00EF7B8D" w:rsidRPr="001063EA" w:rsidRDefault="00EF7B8D">
      <w:pPr>
        <w:pStyle w:val="FootnoteText"/>
        <w:rPr>
          <w:rFonts w:ascii="Times New Roman" w:hAnsi="Times New Roman" w:cs="Times New Roman"/>
          <w:lang w:val="it-IT"/>
        </w:rPr>
      </w:pPr>
      <w:r w:rsidRPr="001063EA">
        <w:rPr>
          <w:rStyle w:val="FootnoteReference"/>
          <w:rFonts w:ascii="Times New Roman" w:hAnsi="Times New Roman" w:cs="Times New Roman"/>
        </w:rPr>
        <w:footnoteRef/>
      </w:r>
      <w:r w:rsidRPr="001063EA">
        <w:rPr>
          <w:rFonts w:ascii="Times New Roman" w:hAnsi="Times New Roman" w:cs="Times New Roman"/>
          <w:lang w:val="it-IT"/>
        </w:rPr>
        <w:t xml:space="preserve"> SIGMA 2024, f. 90, </w:t>
      </w:r>
      <w:hyperlink r:id="rId14" w:history="1">
        <w:r w:rsidRPr="001063EA">
          <w:rPr>
            <w:rStyle w:val="Hyperlink"/>
            <w:rFonts w:ascii="Times New Roman" w:hAnsi="Times New Roman" w:cs="Times New Roman"/>
            <w:lang w:val="it-IT"/>
          </w:rPr>
          <w:t>https://www.sigmaweb.org/publications/Public-administration-in-Albania-2024.pdf</w:t>
        </w:r>
      </w:hyperlink>
      <w:r w:rsidRPr="001063EA">
        <w:rPr>
          <w:rFonts w:ascii="Times New Roman" w:hAnsi="Times New Roman" w:cs="Times New Roman"/>
          <w:lang w:val="it-IT"/>
        </w:rPr>
        <w:t xml:space="preserve"> </w:t>
      </w:r>
    </w:p>
  </w:footnote>
  <w:footnote w:id="56">
    <w:p w14:paraId="3AD17806" w14:textId="685A8971" w:rsidR="00EF7B8D" w:rsidRPr="001063EA" w:rsidRDefault="00EF7B8D" w:rsidP="000D5E07">
      <w:pPr>
        <w:pStyle w:val="FootnoteText"/>
        <w:jc w:val="both"/>
        <w:rPr>
          <w:rFonts w:ascii="Times New Roman" w:hAnsi="Times New Roman" w:cs="Times New Roman"/>
          <w:lang w:val="it-IT"/>
        </w:rPr>
      </w:pPr>
      <w:r w:rsidRPr="001063EA">
        <w:rPr>
          <w:rStyle w:val="FootnoteReference"/>
          <w:rFonts w:ascii="Times New Roman" w:hAnsi="Times New Roman" w:cs="Times New Roman"/>
        </w:rPr>
        <w:footnoteRef/>
      </w:r>
      <w:r w:rsidRPr="001063EA">
        <w:rPr>
          <w:rFonts w:ascii="Times New Roman" w:hAnsi="Times New Roman" w:cs="Times New Roman"/>
          <w:lang w:val="it-IT"/>
        </w:rPr>
        <w:t xml:space="preserve"> Miratuar me VKM </w:t>
      </w:r>
      <w:r w:rsidR="006E7D29">
        <w:rPr>
          <w:rFonts w:ascii="Times New Roman" w:hAnsi="Times New Roman" w:cs="Times New Roman"/>
          <w:lang w:val="it-IT"/>
        </w:rPr>
        <w:t>n</w:t>
      </w:r>
      <w:r w:rsidRPr="001063EA">
        <w:rPr>
          <w:rFonts w:ascii="Times New Roman" w:hAnsi="Times New Roman" w:cs="Times New Roman"/>
          <w:lang w:val="it-IT"/>
        </w:rPr>
        <w:t>r. 43, datë 15.01.2020 “Për funksionimin e procesit të shkëmbimit të dokumenteve ndërmjet institucioneve, nëpërmjet Sistemit të Qarkullimit të Dokumenteve me Nënshkrim Elektronik”.</w:t>
      </w:r>
    </w:p>
  </w:footnote>
  <w:footnote w:id="57">
    <w:p w14:paraId="2056AFB0" w14:textId="3538FBE2" w:rsidR="00EF7B8D" w:rsidRPr="001063EA" w:rsidRDefault="00EF7B8D" w:rsidP="000D5E07">
      <w:pPr>
        <w:pStyle w:val="FootnoteText"/>
        <w:jc w:val="both"/>
        <w:rPr>
          <w:rFonts w:ascii="Times New Roman" w:hAnsi="Times New Roman" w:cs="Times New Roman"/>
          <w:lang w:val="it-IT"/>
        </w:rPr>
      </w:pPr>
      <w:r w:rsidRPr="001063EA">
        <w:rPr>
          <w:rStyle w:val="FootnoteReference"/>
          <w:rFonts w:ascii="Times New Roman" w:hAnsi="Times New Roman" w:cs="Times New Roman"/>
        </w:rPr>
        <w:footnoteRef/>
      </w:r>
      <w:r w:rsidRPr="001063EA">
        <w:rPr>
          <w:rFonts w:ascii="Times New Roman" w:hAnsi="Times New Roman" w:cs="Times New Roman"/>
          <w:lang w:val="it-IT"/>
        </w:rPr>
        <w:t xml:space="preserve"> Komisioni Evropian, Raporti për Shtetin e së Drejtës – Shqipëria, 2024, f. 18, </w:t>
      </w:r>
      <w:hyperlink r:id="rId15" w:history="1">
        <w:r w:rsidRPr="001063EA">
          <w:rPr>
            <w:rStyle w:val="Hyperlink"/>
            <w:rFonts w:ascii="Times New Roman" w:hAnsi="Times New Roman" w:cs="Times New Roman"/>
            <w:lang w:val="it-IT"/>
          </w:rPr>
          <w:t>https://commission.europa.eu/document/doënload/0154dce1-5026-45de-8b37-e3d56eff7925_en?filename=59_1_58088_coun_chap_albania_al.pdf</w:t>
        </w:r>
      </w:hyperlink>
      <w:r w:rsidRPr="001063EA">
        <w:rPr>
          <w:rFonts w:ascii="Times New Roman" w:hAnsi="Times New Roman" w:cs="Times New Roman"/>
          <w:lang w:val="it-IT"/>
        </w:rPr>
        <w:t xml:space="preserve"> </w:t>
      </w:r>
    </w:p>
  </w:footnote>
  <w:footnote w:id="58">
    <w:p w14:paraId="1875796C" w14:textId="40F2C6D9"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Ligji mund të aksesohet në linkun </w:t>
      </w:r>
      <w:hyperlink r:id="rId16" w:history="1">
        <w:r w:rsidRPr="001063EA">
          <w:rPr>
            <w:rStyle w:val="Hyperlink"/>
            <w:rFonts w:ascii="Times New Roman" w:hAnsi="Times New Roman" w:cs="Times New Roman"/>
          </w:rPr>
          <w:t>https://www.idp.al/wp-content/uploads/2024/02/Per-te-dhenat-e-hapura-dhe-riperdorimin-e-informacionit-te-sektorit-publik.pdf</w:t>
        </w:r>
      </w:hyperlink>
      <w:r w:rsidRPr="001063EA">
        <w:rPr>
          <w:rFonts w:ascii="Times New Roman" w:hAnsi="Times New Roman" w:cs="Times New Roman"/>
        </w:rPr>
        <w:t xml:space="preserve"> </w:t>
      </w:r>
    </w:p>
  </w:footnote>
  <w:footnote w:id="59">
    <w:p w14:paraId="7DBB3C69" w14:textId="0652A7C7" w:rsidR="00EF7B8D" w:rsidRPr="001063EA" w:rsidRDefault="00EF7B8D" w:rsidP="000D5E07">
      <w:pPr>
        <w:pStyle w:val="FootnoteText"/>
        <w:jc w:val="both"/>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Country Economy, Global Right to Informacion Rating, </w:t>
      </w:r>
      <w:hyperlink r:id="rId17" w:history="1">
        <w:r w:rsidRPr="001063EA">
          <w:rPr>
            <w:rStyle w:val="Hyperlink"/>
            <w:rFonts w:ascii="Times New Roman" w:hAnsi="Times New Roman" w:cs="Times New Roman"/>
          </w:rPr>
          <w:t>https://countryeconomy.com/government/global-right-information-rating/albania</w:t>
        </w:r>
      </w:hyperlink>
      <w:r w:rsidRPr="001063EA">
        <w:rPr>
          <w:rFonts w:ascii="Times New Roman" w:hAnsi="Times New Roman" w:cs="Times New Roman"/>
        </w:rPr>
        <w:t xml:space="preserve"> </w:t>
      </w:r>
    </w:p>
  </w:footnote>
  <w:footnote w:id="60">
    <w:p w14:paraId="2308D76F" w14:textId="11BD2772" w:rsidR="00EF7B8D" w:rsidRPr="001063EA" w:rsidRDefault="00EF7B8D" w:rsidP="000D5E07">
      <w:pPr>
        <w:pStyle w:val="FootnoteText"/>
        <w:jc w:val="both"/>
        <w:rPr>
          <w:rFonts w:ascii="Times New Roman" w:hAnsi="Times New Roman" w:cs="Times New Roman"/>
          <w:lang w:val="it-IT"/>
        </w:rPr>
      </w:pPr>
      <w:r w:rsidRPr="001063EA">
        <w:rPr>
          <w:rStyle w:val="FootnoteReference"/>
          <w:rFonts w:ascii="Times New Roman" w:hAnsi="Times New Roman" w:cs="Times New Roman"/>
        </w:rPr>
        <w:footnoteRef/>
      </w:r>
      <w:r w:rsidRPr="001063EA">
        <w:rPr>
          <w:rFonts w:ascii="Times New Roman" w:hAnsi="Times New Roman" w:cs="Times New Roman"/>
          <w:lang w:val="it-IT"/>
        </w:rPr>
        <w:t xml:space="preserve"> SIGMA 2024, f. 88, </w:t>
      </w:r>
      <w:hyperlink r:id="rId18" w:history="1">
        <w:r w:rsidRPr="001063EA">
          <w:rPr>
            <w:rStyle w:val="Hyperlink"/>
            <w:rFonts w:ascii="Times New Roman" w:hAnsi="Times New Roman" w:cs="Times New Roman"/>
            <w:lang w:val="it-IT"/>
          </w:rPr>
          <w:t>https://www.sigmaweb.org/publications/Public-administration-in-Albania-2024.pdf</w:t>
        </w:r>
      </w:hyperlink>
      <w:r w:rsidRPr="001063EA">
        <w:rPr>
          <w:rFonts w:ascii="Times New Roman" w:hAnsi="Times New Roman" w:cs="Times New Roman"/>
          <w:lang w:val="it-IT"/>
        </w:rPr>
        <w:t xml:space="preserve"> </w:t>
      </w:r>
    </w:p>
  </w:footnote>
  <w:footnote w:id="61">
    <w:p w14:paraId="6DD26B2E" w14:textId="10F315FB" w:rsidR="00EF7B8D" w:rsidRPr="001063EA" w:rsidRDefault="00EF7B8D" w:rsidP="000D5E07">
      <w:pPr>
        <w:pStyle w:val="FootnoteText"/>
        <w:jc w:val="both"/>
        <w:rPr>
          <w:rFonts w:ascii="Times New Roman" w:hAnsi="Times New Roman" w:cs="Times New Roman"/>
          <w:lang w:val="it-IT"/>
        </w:rPr>
      </w:pPr>
      <w:r w:rsidRPr="001063EA">
        <w:rPr>
          <w:rStyle w:val="FootnoteReference"/>
          <w:rFonts w:ascii="Times New Roman" w:hAnsi="Times New Roman" w:cs="Times New Roman"/>
        </w:rPr>
        <w:footnoteRef/>
      </w:r>
      <w:r w:rsidRPr="001063EA">
        <w:rPr>
          <w:rFonts w:ascii="Times New Roman" w:hAnsi="Times New Roman" w:cs="Times New Roman"/>
          <w:lang w:val="it-IT"/>
        </w:rPr>
        <w:t xml:space="preserve"> SIGMA 2024, f. 39, </w:t>
      </w:r>
      <w:hyperlink r:id="rId19" w:history="1">
        <w:r w:rsidRPr="001063EA">
          <w:rPr>
            <w:rStyle w:val="Hyperlink"/>
            <w:rFonts w:ascii="Times New Roman" w:hAnsi="Times New Roman" w:cs="Times New Roman"/>
            <w:lang w:val="it-IT"/>
          </w:rPr>
          <w:t>https://www.sigmaweb.org/publications/Public-administration-in-Albania-2024.pdf</w:t>
        </w:r>
      </w:hyperlink>
      <w:r w:rsidRPr="001063EA">
        <w:rPr>
          <w:rFonts w:ascii="Times New Roman" w:hAnsi="Times New Roman" w:cs="Times New Roman"/>
          <w:lang w:val="it-IT"/>
        </w:rPr>
        <w:t xml:space="preserve"> </w:t>
      </w:r>
    </w:p>
  </w:footnote>
  <w:footnote w:id="62">
    <w:p w14:paraId="22B9514B" w14:textId="77777777" w:rsidR="00EF7B8D" w:rsidRPr="001063EA" w:rsidRDefault="00EF7B8D" w:rsidP="00540288">
      <w:pPr>
        <w:pStyle w:val="FootnoteText"/>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w:t>
      </w:r>
      <w:hyperlink r:id="rId20" w:history="1">
        <w:r w:rsidRPr="001063EA">
          <w:rPr>
            <w:rStyle w:val="Hyperlink"/>
            <w:rFonts w:ascii="Times New Roman" w:hAnsi="Times New Roman" w:cs="Times New Roman"/>
          </w:rPr>
          <w:t>https://rm.coe.int/0900001680abeb87</w:t>
        </w:r>
      </w:hyperlink>
    </w:p>
  </w:footnote>
  <w:footnote w:id="63">
    <w:p w14:paraId="4371F479" w14:textId="1590A246" w:rsidR="00EF7B8D" w:rsidRPr="001063EA" w:rsidRDefault="00EF7B8D" w:rsidP="00EF0180">
      <w:pPr>
        <w:pStyle w:val="FootnoteText"/>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Agjencia e Prokurimit Publik, “Metodologji Udhëzuese për Zbatimin e Prokurimit Publik të Gjelbër në Shqipëri”, e aksesueshme në </w:t>
      </w:r>
      <w:hyperlink r:id="rId21" w:history="1">
        <w:r w:rsidRPr="001063EA">
          <w:rPr>
            <w:rStyle w:val="Hyperlink"/>
            <w:rFonts w:ascii="Times New Roman" w:hAnsi="Times New Roman" w:cs="Times New Roman"/>
          </w:rPr>
          <w:t>https://www.app.gov.al/GetData/DownloadDoc?documentId=92c25399-7384-45d8-8358-613148b7165c</w:t>
        </w:r>
      </w:hyperlink>
    </w:p>
  </w:footnote>
  <w:footnote w:id="64">
    <w:p w14:paraId="21602B6A" w14:textId="244784C9" w:rsidR="00EF7B8D" w:rsidRPr="001063EA" w:rsidRDefault="00EF7B8D" w:rsidP="00EF0180">
      <w:pPr>
        <w:pStyle w:val="FootnoteText"/>
        <w:rPr>
          <w:rFonts w:ascii="Times New Roman" w:hAnsi="Times New Roman" w:cs="Times New Roman"/>
        </w:rPr>
      </w:pPr>
      <w:r w:rsidRPr="001063EA">
        <w:rPr>
          <w:rStyle w:val="FootnoteReference"/>
          <w:rFonts w:ascii="Times New Roman" w:hAnsi="Times New Roman" w:cs="Times New Roman"/>
        </w:rPr>
        <w:footnoteRef/>
      </w:r>
      <w:r w:rsidRPr="001063EA">
        <w:rPr>
          <w:rFonts w:ascii="Times New Roman" w:hAnsi="Times New Roman" w:cs="Times New Roman"/>
        </w:rPr>
        <w:t xml:space="preserve"> Miratuar me VKM Nr. 304, datë 22.05.2024, dhe e aksesueshme në </w:t>
      </w:r>
      <w:hyperlink r:id="rId22" w:history="1">
        <w:r w:rsidRPr="001063EA">
          <w:rPr>
            <w:rStyle w:val="Hyperlink"/>
            <w:rFonts w:ascii="Times New Roman" w:hAnsi="Times New Roman" w:cs="Times New Roman"/>
          </w:rPr>
          <w:t>https://qbz.gov.al/eli/vendim/2024/05/22/304/71f1dc00-5677-409d-a3a2-869041ab60db</w:t>
        </w:r>
      </w:hyperlink>
      <w:r w:rsidRPr="001063EA">
        <w:rPr>
          <w:rFonts w:ascii="Times New Roman" w:hAnsi="Times New Roman" w:cs="Times New Roman"/>
        </w:rPr>
        <w:t xml:space="preserve">. </w:t>
      </w:r>
    </w:p>
  </w:footnote>
  <w:footnote w:id="65">
    <w:p w14:paraId="5FF2FE0B" w14:textId="77777777" w:rsidR="00951674" w:rsidRPr="00CC788E" w:rsidRDefault="00951674" w:rsidP="00951674">
      <w:pPr>
        <w:pStyle w:val="FootnoteText"/>
        <w:rPr>
          <w:rFonts w:ascii="Times New Roman" w:hAnsi="Times New Roman" w:cs="Times New Roman"/>
          <w:lang w:val="sq-AL"/>
        </w:rPr>
      </w:pPr>
      <w:r w:rsidRPr="00CC788E">
        <w:rPr>
          <w:rStyle w:val="FootnoteReference"/>
          <w:rFonts w:ascii="Times New Roman" w:hAnsi="Times New Roman" w:cs="Times New Roman"/>
        </w:rPr>
        <w:footnoteRef/>
      </w:r>
      <w:r w:rsidRPr="00CC788E">
        <w:rPr>
          <w:rFonts w:ascii="Times New Roman" w:hAnsi="Times New Roman" w:cs="Times New Roman"/>
        </w:rPr>
        <w:t xml:space="preserve"> </w:t>
      </w:r>
      <w:hyperlink r:id="rId23" w:anchor=":~:text=UASHINGTON%20DC%2C%2010%20mars%202025%20%E2%80%93%20Bordi%20i,kryesore%20p%C3%ABr%20qytetar%C3%ABt%2C%20ve%C3%A7an%C3%ABrisht%20p%C3%ABr%20grupet%20e%20c%C3%ABnueshme." w:history="1">
        <w:r w:rsidRPr="00CC788E">
          <w:rPr>
            <w:rStyle w:val="Hyperlink"/>
            <w:rFonts w:ascii="Times New Roman" w:hAnsi="Times New Roman" w:cs="Times New Roman"/>
          </w:rPr>
          <w:t>Banka Botërore miraton mbështetje shtesë për transformimin e shërbimeve publike në Shqipëri</w:t>
        </w:r>
      </w:hyperlink>
    </w:p>
  </w:footnote>
  <w:footnote w:id="66">
    <w:p w14:paraId="0808E648" w14:textId="77777777" w:rsidR="00951674" w:rsidRPr="00CC788E" w:rsidRDefault="00951674" w:rsidP="00951674">
      <w:pPr>
        <w:pStyle w:val="FootnoteText"/>
        <w:rPr>
          <w:lang w:val="sq-AL"/>
        </w:rPr>
      </w:pPr>
      <w:r w:rsidRPr="00CC788E">
        <w:rPr>
          <w:rStyle w:val="FootnoteReference"/>
          <w:rFonts w:ascii="Times New Roman" w:hAnsi="Times New Roman" w:cs="Times New Roman"/>
        </w:rPr>
        <w:footnoteRef/>
      </w:r>
      <w:r w:rsidRPr="00CC788E">
        <w:rPr>
          <w:rFonts w:ascii="Times New Roman" w:hAnsi="Times New Roman" w:cs="Times New Roman"/>
        </w:rPr>
        <w:t xml:space="preserve"> 50 milion euro nga buxheti i Bashkimit Europian dhe 29 milion euro nga buxheti i qeverisë shqiptare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D6A1"/>
      </v:shape>
    </w:pict>
  </w:numPicBullet>
  <w:abstractNum w:abstractNumId="0" w15:restartNumberingAfterBreak="0">
    <w:nsid w:val="003111BC"/>
    <w:multiLevelType w:val="multilevel"/>
    <w:tmpl w:val="5D7A9A9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836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E1636B"/>
    <w:multiLevelType w:val="hybridMultilevel"/>
    <w:tmpl w:val="95C8A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364457"/>
    <w:multiLevelType w:val="multilevel"/>
    <w:tmpl w:val="69F2F2C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E360B5"/>
    <w:multiLevelType w:val="hybridMultilevel"/>
    <w:tmpl w:val="7CD44F3A"/>
    <w:lvl w:ilvl="0" w:tplc="7E88953A">
      <w:numFmt w:val="bullet"/>
      <w:lvlText w:val="-"/>
      <w:lvlJc w:val="left"/>
      <w:pPr>
        <w:ind w:left="720" w:hanging="360"/>
      </w:pPr>
      <w:rPr>
        <w:rFonts w:ascii="Calibri" w:eastAsia="Times New Roman" w:hAnsi="Calibri" w:cs="Calibri"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5" w15:restartNumberingAfterBreak="0">
    <w:nsid w:val="1F89103A"/>
    <w:multiLevelType w:val="hybridMultilevel"/>
    <w:tmpl w:val="A9BC2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00192"/>
    <w:multiLevelType w:val="hybridMultilevel"/>
    <w:tmpl w:val="72BC066E"/>
    <w:lvl w:ilvl="0" w:tplc="0D5CEA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6281E"/>
    <w:multiLevelType w:val="hybridMultilevel"/>
    <w:tmpl w:val="DCFAEA08"/>
    <w:lvl w:ilvl="0" w:tplc="A926AFDA">
      <w:start w:val="13"/>
      <w:numFmt w:val="bullet"/>
      <w:lvlText w:val="-"/>
      <w:lvlJc w:val="left"/>
      <w:pPr>
        <w:ind w:left="1080" w:hanging="360"/>
      </w:pPr>
      <w:rPr>
        <w:rFonts w:ascii="Calibri Light" w:eastAsiaTheme="minorHAnsi" w:hAnsi="Calibri Light" w:cs="Calibri Light"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9D3975"/>
    <w:multiLevelType w:val="multilevel"/>
    <w:tmpl w:val="E36E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021036"/>
    <w:multiLevelType w:val="hybridMultilevel"/>
    <w:tmpl w:val="4A840540"/>
    <w:lvl w:ilvl="0" w:tplc="C44C3518">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35DB4"/>
    <w:multiLevelType w:val="multilevel"/>
    <w:tmpl w:val="3E7EE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A33DE6"/>
    <w:multiLevelType w:val="hybridMultilevel"/>
    <w:tmpl w:val="E86C1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2375C9"/>
    <w:multiLevelType w:val="hybridMultilevel"/>
    <w:tmpl w:val="B4A6C33C"/>
    <w:lvl w:ilvl="0" w:tplc="D6343FD8">
      <w:start w:val="1"/>
      <w:numFmt w:val="bullet"/>
      <w:lvlText w:val=""/>
      <w:lvlJc w:val="left"/>
      <w:pPr>
        <w:ind w:left="360" w:hanging="360"/>
      </w:pPr>
      <w:rPr>
        <w:rFonts w:ascii="Symbol" w:hAnsi="Symbol" w:hint="default"/>
        <w:color w:val="0070C0"/>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4291ACB"/>
    <w:multiLevelType w:val="multilevel"/>
    <w:tmpl w:val="4A642E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6D1167"/>
    <w:multiLevelType w:val="hybridMultilevel"/>
    <w:tmpl w:val="C53869F2"/>
    <w:lvl w:ilvl="0" w:tplc="C44C3518">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514CA"/>
    <w:multiLevelType w:val="hybridMultilevel"/>
    <w:tmpl w:val="E9F0597A"/>
    <w:lvl w:ilvl="0" w:tplc="2C7C12D6">
      <w:start w:val="1"/>
      <w:numFmt w:val="decimal"/>
      <w:lvlText w:val="%1."/>
      <w:lvlJc w:val="left"/>
      <w:pPr>
        <w:ind w:left="360" w:hanging="360"/>
      </w:pPr>
      <w:rPr>
        <w:rFonts w:ascii="Arial" w:hAnsi="Arial" w:hint="default"/>
      </w:rPr>
    </w:lvl>
    <w:lvl w:ilvl="1" w:tplc="2370D90C">
      <w:start w:val="1"/>
      <w:numFmt w:val="lowerLetter"/>
      <w:lvlText w:val="%2."/>
      <w:lvlJc w:val="left"/>
      <w:pPr>
        <w:ind w:left="1440" w:hanging="360"/>
      </w:pPr>
    </w:lvl>
    <w:lvl w:ilvl="2" w:tplc="5F98CDB0">
      <w:start w:val="1"/>
      <w:numFmt w:val="lowerRoman"/>
      <w:lvlText w:val="%3."/>
      <w:lvlJc w:val="right"/>
      <w:pPr>
        <w:ind w:left="2160" w:hanging="180"/>
      </w:pPr>
    </w:lvl>
    <w:lvl w:ilvl="3" w:tplc="7AC44020">
      <w:start w:val="1"/>
      <w:numFmt w:val="decimal"/>
      <w:lvlText w:val="%4."/>
      <w:lvlJc w:val="left"/>
      <w:pPr>
        <w:ind w:left="2880" w:hanging="360"/>
      </w:pPr>
    </w:lvl>
    <w:lvl w:ilvl="4" w:tplc="8DB28080">
      <w:start w:val="1"/>
      <w:numFmt w:val="lowerLetter"/>
      <w:lvlText w:val="%5."/>
      <w:lvlJc w:val="left"/>
      <w:pPr>
        <w:ind w:left="3600" w:hanging="360"/>
      </w:pPr>
    </w:lvl>
    <w:lvl w:ilvl="5" w:tplc="15F48F8E">
      <w:start w:val="1"/>
      <w:numFmt w:val="lowerRoman"/>
      <w:lvlText w:val="%6."/>
      <w:lvlJc w:val="right"/>
      <w:pPr>
        <w:ind w:left="4320" w:hanging="180"/>
      </w:pPr>
    </w:lvl>
    <w:lvl w:ilvl="6" w:tplc="CF06C79C">
      <w:start w:val="1"/>
      <w:numFmt w:val="decimal"/>
      <w:lvlText w:val="%7."/>
      <w:lvlJc w:val="left"/>
      <w:pPr>
        <w:ind w:left="5040" w:hanging="360"/>
      </w:pPr>
    </w:lvl>
    <w:lvl w:ilvl="7" w:tplc="25DCDC7E">
      <w:start w:val="1"/>
      <w:numFmt w:val="lowerLetter"/>
      <w:lvlText w:val="%8."/>
      <w:lvlJc w:val="left"/>
      <w:pPr>
        <w:ind w:left="5760" w:hanging="360"/>
      </w:pPr>
    </w:lvl>
    <w:lvl w:ilvl="8" w:tplc="680E3BDC">
      <w:start w:val="1"/>
      <w:numFmt w:val="lowerRoman"/>
      <w:lvlText w:val="%9."/>
      <w:lvlJc w:val="right"/>
      <w:pPr>
        <w:ind w:left="6480" w:hanging="180"/>
      </w:pPr>
    </w:lvl>
  </w:abstractNum>
  <w:abstractNum w:abstractNumId="16" w15:restartNumberingAfterBreak="0">
    <w:nsid w:val="4DA448FA"/>
    <w:multiLevelType w:val="hybridMultilevel"/>
    <w:tmpl w:val="9BE8A6B6"/>
    <w:lvl w:ilvl="0" w:tplc="10C493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4C4690"/>
    <w:multiLevelType w:val="multilevel"/>
    <w:tmpl w:val="6FF450B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1F49B9"/>
    <w:multiLevelType w:val="multilevel"/>
    <w:tmpl w:val="0B0405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5B6327B"/>
    <w:multiLevelType w:val="hybridMultilevel"/>
    <w:tmpl w:val="16CAA732"/>
    <w:lvl w:ilvl="0" w:tplc="AFDCF672">
      <w:numFmt w:val="bullet"/>
      <w:lvlText w:val="-"/>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9E78D6"/>
    <w:multiLevelType w:val="hybridMultilevel"/>
    <w:tmpl w:val="35D0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FF4AF8"/>
    <w:multiLevelType w:val="hybridMultilevel"/>
    <w:tmpl w:val="F0C2C48A"/>
    <w:lvl w:ilvl="0" w:tplc="CB3C606C">
      <w:start w:val="1"/>
      <w:numFmt w:val="bullet"/>
      <w:lvlText w:val=""/>
      <w:lvlJc w:val="left"/>
      <w:pPr>
        <w:ind w:left="360" w:hanging="360"/>
      </w:pPr>
      <w:rPr>
        <w:rFonts w:ascii="Symbol" w:hAnsi="Symbol" w:hint="default"/>
        <w:color w:val="000000" w:themeColor="text1"/>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E4F29FF"/>
    <w:multiLevelType w:val="hybridMultilevel"/>
    <w:tmpl w:val="D830529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43CBF"/>
    <w:multiLevelType w:val="multilevel"/>
    <w:tmpl w:val="3F1EE88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2311652"/>
    <w:multiLevelType w:val="hybridMultilevel"/>
    <w:tmpl w:val="3398C41A"/>
    <w:lvl w:ilvl="0" w:tplc="AF365866">
      <w:start w:val="1"/>
      <w:numFmt w:val="bullet"/>
      <w:lvlText w:val="-"/>
      <w:lvlJc w:val="left"/>
      <w:pPr>
        <w:ind w:left="720" w:hanging="360"/>
      </w:pPr>
      <w:rPr>
        <w:rFonts w:ascii="Times New Roman" w:eastAsia="Arial Unicode MS"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F40121"/>
    <w:multiLevelType w:val="hybridMultilevel"/>
    <w:tmpl w:val="EA320094"/>
    <w:lvl w:ilvl="0" w:tplc="30D0282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60438"/>
    <w:multiLevelType w:val="hybridMultilevel"/>
    <w:tmpl w:val="F7F8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471841"/>
    <w:multiLevelType w:val="hybridMultilevel"/>
    <w:tmpl w:val="563EE7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541581">
    <w:abstractNumId w:val="3"/>
  </w:num>
  <w:num w:numId="2" w16cid:durableId="832528620">
    <w:abstractNumId w:val="7"/>
  </w:num>
  <w:num w:numId="3" w16cid:durableId="192353355">
    <w:abstractNumId w:val="21"/>
  </w:num>
  <w:num w:numId="4" w16cid:durableId="1593969099">
    <w:abstractNumId w:val="12"/>
  </w:num>
  <w:num w:numId="5" w16cid:durableId="1714311599">
    <w:abstractNumId w:val="24"/>
  </w:num>
  <w:num w:numId="6" w16cid:durableId="748505394">
    <w:abstractNumId w:val="25"/>
  </w:num>
  <w:num w:numId="7" w16cid:durableId="1386832721">
    <w:abstractNumId w:val="2"/>
  </w:num>
  <w:num w:numId="8" w16cid:durableId="1134178162">
    <w:abstractNumId w:val="0"/>
  </w:num>
  <w:num w:numId="9" w16cid:durableId="1091047359">
    <w:abstractNumId w:val="6"/>
  </w:num>
  <w:num w:numId="10" w16cid:durableId="542909020">
    <w:abstractNumId w:val="8"/>
  </w:num>
  <w:num w:numId="11" w16cid:durableId="1546065578">
    <w:abstractNumId w:val="26"/>
  </w:num>
  <w:num w:numId="12" w16cid:durableId="1506049090">
    <w:abstractNumId w:val="11"/>
  </w:num>
  <w:num w:numId="13" w16cid:durableId="725757251">
    <w:abstractNumId w:val="5"/>
  </w:num>
  <w:num w:numId="14" w16cid:durableId="1418287161">
    <w:abstractNumId w:val="27"/>
  </w:num>
  <w:num w:numId="15" w16cid:durableId="1048650763">
    <w:abstractNumId w:val="16"/>
  </w:num>
  <w:num w:numId="16" w16cid:durableId="1122460083">
    <w:abstractNumId w:val="1"/>
  </w:num>
  <w:num w:numId="17" w16cid:durableId="857933692">
    <w:abstractNumId w:val="10"/>
  </w:num>
  <w:num w:numId="18" w16cid:durableId="958072025">
    <w:abstractNumId w:val="13"/>
  </w:num>
  <w:num w:numId="19" w16cid:durableId="1184830184">
    <w:abstractNumId w:val="17"/>
  </w:num>
  <w:num w:numId="20" w16cid:durableId="2106732728">
    <w:abstractNumId w:val="23"/>
  </w:num>
  <w:num w:numId="21" w16cid:durableId="415980805">
    <w:abstractNumId w:val="18"/>
  </w:num>
  <w:num w:numId="22" w16cid:durableId="346174881">
    <w:abstractNumId w:val="22"/>
  </w:num>
  <w:num w:numId="23" w16cid:durableId="1917207396">
    <w:abstractNumId w:val="15"/>
  </w:num>
  <w:num w:numId="24" w16cid:durableId="951127263">
    <w:abstractNumId w:val="20"/>
  </w:num>
  <w:num w:numId="25" w16cid:durableId="1878542880">
    <w:abstractNumId w:val="19"/>
  </w:num>
  <w:num w:numId="26" w16cid:durableId="2071149252">
    <w:abstractNumId w:val="14"/>
  </w:num>
  <w:num w:numId="27" w16cid:durableId="1276215221">
    <w:abstractNumId w:val="4"/>
  </w:num>
  <w:num w:numId="28" w16cid:durableId="176784424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381"/>
    <w:rsid w:val="00000234"/>
    <w:rsid w:val="00000594"/>
    <w:rsid w:val="00000ABB"/>
    <w:rsid w:val="000011BC"/>
    <w:rsid w:val="000013B6"/>
    <w:rsid w:val="000014D7"/>
    <w:rsid w:val="00001877"/>
    <w:rsid w:val="00001A83"/>
    <w:rsid w:val="00001E8C"/>
    <w:rsid w:val="000024B5"/>
    <w:rsid w:val="00002538"/>
    <w:rsid w:val="0000324A"/>
    <w:rsid w:val="00003663"/>
    <w:rsid w:val="000037B9"/>
    <w:rsid w:val="00003930"/>
    <w:rsid w:val="0000404A"/>
    <w:rsid w:val="000051FF"/>
    <w:rsid w:val="00005454"/>
    <w:rsid w:val="00005735"/>
    <w:rsid w:val="00005B42"/>
    <w:rsid w:val="00006231"/>
    <w:rsid w:val="000069E8"/>
    <w:rsid w:val="00006F28"/>
    <w:rsid w:val="00007062"/>
    <w:rsid w:val="00007373"/>
    <w:rsid w:val="00010173"/>
    <w:rsid w:val="0001095B"/>
    <w:rsid w:val="0001105B"/>
    <w:rsid w:val="00012522"/>
    <w:rsid w:val="000128EC"/>
    <w:rsid w:val="00012946"/>
    <w:rsid w:val="00012CBB"/>
    <w:rsid w:val="00012CEC"/>
    <w:rsid w:val="00012F53"/>
    <w:rsid w:val="0001325D"/>
    <w:rsid w:val="000147D5"/>
    <w:rsid w:val="00014D29"/>
    <w:rsid w:val="000151AE"/>
    <w:rsid w:val="000157D0"/>
    <w:rsid w:val="00015E92"/>
    <w:rsid w:val="00016106"/>
    <w:rsid w:val="000168C8"/>
    <w:rsid w:val="00017634"/>
    <w:rsid w:val="000176DA"/>
    <w:rsid w:val="00017706"/>
    <w:rsid w:val="00017EA3"/>
    <w:rsid w:val="00017FA1"/>
    <w:rsid w:val="000200AA"/>
    <w:rsid w:val="0002048D"/>
    <w:rsid w:val="00020C4E"/>
    <w:rsid w:val="00020CCF"/>
    <w:rsid w:val="00021F28"/>
    <w:rsid w:val="000227D4"/>
    <w:rsid w:val="00022D42"/>
    <w:rsid w:val="00023385"/>
    <w:rsid w:val="0002513C"/>
    <w:rsid w:val="00026937"/>
    <w:rsid w:val="00027706"/>
    <w:rsid w:val="00027FF3"/>
    <w:rsid w:val="0003046E"/>
    <w:rsid w:val="00030621"/>
    <w:rsid w:val="000309F4"/>
    <w:rsid w:val="00030FB5"/>
    <w:rsid w:val="0003103D"/>
    <w:rsid w:val="000317E9"/>
    <w:rsid w:val="00031C88"/>
    <w:rsid w:val="00031D64"/>
    <w:rsid w:val="000322B7"/>
    <w:rsid w:val="00032FD2"/>
    <w:rsid w:val="00033606"/>
    <w:rsid w:val="00034A43"/>
    <w:rsid w:val="00034D66"/>
    <w:rsid w:val="0003547E"/>
    <w:rsid w:val="000355CA"/>
    <w:rsid w:val="000355E2"/>
    <w:rsid w:val="000360BA"/>
    <w:rsid w:val="00036DD3"/>
    <w:rsid w:val="00036E85"/>
    <w:rsid w:val="00036F1A"/>
    <w:rsid w:val="00037646"/>
    <w:rsid w:val="00037D62"/>
    <w:rsid w:val="00040251"/>
    <w:rsid w:val="000407FF"/>
    <w:rsid w:val="00040B5F"/>
    <w:rsid w:val="00040B89"/>
    <w:rsid w:val="00040CE5"/>
    <w:rsid w:val="00040DAA"/>
    <w:rsid w:val="00040E2B"/>
    <w:rsid w:val="00041304"/>
    <w:rsid w:val="00041BCF"/>
    <w:rsid w:val="00043668"/>
    <w:rsid w:val="00043840"/>
    <w:rsid w:val="000438F7"/>
    <w:rsid w:val="00043F92"/>
    <w:rsid w:val="0004421E"/>
    <w:rsid w:val="00044248"/>
    <w:rsid w:val="000444ED"/>
    <w:rsid w:val="00044729"/>
    <w:rsid w:val="0004499E"/>
    <w:rsid w:val="00044ABD"/>
    <w:rsid w:val="000450EC"/>
    <w:rsid w:val="0004673B"/>
    <w:rsid w:val="00046C8C"/>
    <w:rsid w:val="00046F9E"/>
    <w:rsid w:val="00047238"/>
    <w:rsid w:val="000474FE"/>
    <w:rsid w:val="000475C2"/>
    <w:rsid w:val="000476CB"/>
    <w:rsid w:val="00047E4E"/>
    <w:rsid w:val="00050400"/>
    <w:rsid w:val="00050777"/>
    <w:rsid w:val="000516C4"/>
    <w:rsid w:val="00051863"/>
    <w:rsid w:val="00051A54"/>
    <w:rsid w:val="00051D81"/>
    <w:rsid w:val="00052643"/>
    <w:rsid w:val="00052E96"/>
    <w:rsid w:val="000532DB"/>
    <w:rsid w:val="000535EC"/>
    <w:rsid w:val="00054740"/>
    <w:rsid w:val="00054F46"/>
    <w:rsid w:val="00054F4A"/>
    <w:rsid w:val="000556C0"/>
    <w:rsid w:val="00055F24"/>
    <w:rsid w:val="00056176"/>
    <w:rsid w:val="0005667C"/>
    <w:rsid w:val="00056819"/>
    <w:rsid w:val="000571B8"/>
    <w:rsid w:val="00057234"/>
    <w:rsid w:val="000576A2"/>
    <w:rsid w:val="0006015D"/>
    <w:rsid w:val="000604D7"/>
    <w:rsid w:val="00060BF1"/>
    <w:rsid w:val="000610FB"/>
    <w:rsid w:val="00061D59"/>
    <w:rsid w:val="00061DF1"/>
    <w:rsid w:val="000627B3"/>
    <w:rsid w:val="00062C3D"/>
    <w:rsid w:val="000648BD"/>
    <w:rsid w:val="00064AC5"/>
    <w:rsid w:val="00064C83"/>
    <w:rsid w:val="00064DD7"/>
    <w:rsid w:val="0006529A"/>
    <w:rsid w:val="00065553"/>
    <w:rsid w:val="00065941"/>
    <w:rsid w:val="000662B0"/>
    <w:rsid w:val="00066398"/>
    <w:rsid w:val="000664F2"/>
    <w:rsid w:val="00066AC6"/>
    <w:rsid w:val="00066F0E"/>
    <w:rsid w:val="000671B1"/>
    <w:rsid w:val="00067375"/>
    <w:rsid w:val="00067FE5"/>
    <w:rsid w:val="0007033C"/>
    <w:rsid w:val="00070489"/>
    <w:rsid w:val="000708BE"/>
    <w:rsid w:val="000709F5"/>
    <w:rsid w:val="00070E76"/>
    <w:rsid w:val="000711BC"/>
    <w:rsid w:val="0007146E"/>
    <w:rsid w:val="000714ED"/>
    <w:rsid w:val="00071679"/>
    <w:rsid w:val="00071888"/>
    <w:rsid w:val="00071BCD"/>
    <w:rsid w:val="00071DFF"/>
    <w:rsid w:val="00071EFA"/>
    <w:rsid w:val="00072016"/>
    <w:rsid w:val="00072E54"/>
    <w:rsid w:val="00072EE3"/>
    <w:rsid w:val="00073230"/>
    <w:rsid w:val="00073F9C"/>
    <w:rsid w:val="000748A4"/>
    <w:rsid w:val="00075687"/>
    <w:rsid w:val="000756E5"/>
    <w:rsid w:val="00075A73"/>
    <w:rsid w:val="00075B80"/>
    <w:rsid w:val="00075C0F"/>
    <w:rsid w:val="0007604C"/>
    <w:rsid w:val="00076AE4"/>
    <w:rsid w:val="0007702F"/>
    <w:rsid w:val="000770A4"/>
    <w:rsid w:val="0007744D"/>
    <w:rsid w:val="000774B8"/>
    <w:rsid w:val="00077C3A"/>
    <w:rsid w:val="00077D03"/>
    <w:rsid w:val="00077EA4"/>
    <w:rsid w:val="00080607"/>
    <w:rsid w:val="0008066A"/>
    <w:rsid w:val="0008278A"/>
    <w:rsid w:val="00083358"/>
    <w:rsid w:val="00084268"/>
    <w:rsid w:val="000842AB"/>
    <w:rsid w:val="0008498A"/>
    <w:rsid w:val="000849D0"/>
    <w:rsid w:val="00084A7C"/>
    <w:rsid w:val="0008532D"/>
    <w:rsid w:val="000855F3"/>
    <w:rsid w:val="000859AE"/>
    <w:rsid w:val="00085F7E"/>
    <w:rsid w:val="00086EAB"/>
    <w:rsid w:val="00087063"/>
    <w:rsid w:val="00087805"/>
    <w:rsid w:val="00087C63"/>
    <w:rsid w:val="00087E80"/>
    <w:rsid w:val="00090303"/>
    <w:rsid w:val="00090731"/>
    <w:rsid w:val="00091232"/>
    <w:rsid w:val="0009214F"/>
    <w:rsid w:val="00092ED0"/>
    <w:rsid w:val="00093257"/>
    <w:rsid w:val="0009347E"/>
    <w:rsid w:val="00093502"/>
    <w:rsid w:val="00093F46"/>
    <w:rsid w:val="000944FB"/>
    <w:rsid w:val="00094EE7"/>
    <w:rsid w:val="0009500C"/>
    <w:rsid w:val="000961F7"/>
    <w:rsid w:val="000975CC"/>
    <w:rsid w:val="00097A2F"/>
    <w:rsid w:val="000A012C"/>
    <w:rsid w:val="000A07E5"/>
    <w:rsid w:val="000A0BAB"/>
    <w:rsid w:val="000A155B"/>
    <w:rsid w:val="000A1B6F"/>
    <w:rsid w:val="000A25AA"/>
    <w:rsid w:val="000A36B7"/>
    <w:rsid w:val="000A487B"/>
    <w:rsid w:val="000A4A26"/>
    <w:rsid w:val="000A4B55"/>
    <w:rsid w:val="000A4C04"/>
    <w:rsid w:val="000A4C3D"/>
    <w:rsid w:val="000A4E3A"/>
    <w:rsid w:val="000A60D8"/>
    <w:rsid w:val="000A7101"/>
    <w:rsid w:val="000B017B"/>
    <w:rsid w:val="000B15E8"/>
    <w:rsid w:val="000B1D4A"/>
    <w:rsid w:val="000B210E"/>
    <w:rsid w:val="000B2313"/>
    <w:rsid w:val="000B2912"/>
    <w:rsid w:val="000B2EC3"/>
    <w:rsid w:val="000B30C6"/>
    <w:rsid w:val="000B33D9"/>
    <w:rsid w:val="000B3C88"/>
    <w:rsid w:val="000B3C95"/>
    <w:rsid w:val="000B40B9"/>
    <w:rsid w:val="000B4D9F"/>
    <w:rsid w:val="000B63B5"/>
    <w:rsid w:val="000B652F"/>
    <w:rsid w:val="000B76ED"/>
    <w:rsid w:val="000B7755"/>
    <w:rsid w:val="000B78CD"/>
    <w:rsid w:val="000B79A1"/>
    <w:rsid w:val="000C00AD"/>
    <w:rsid w:val="000C0250"/>
    <w:rsid w:val="000C0AD4"/>
    <w:rsid w:val="000C0D57"/>
    <w:rsid w:val="000C107E"/>
    <w:rsid w:val="000C1B46"/>
    <w:rsid w:val="000C214C"/>
    <w:rsid w:val="000C2E72"/>
    <w:rsid w:val="000C4919"/>
    <w:rsid w:val="000C4F94"/>
    <w:rsid w:val="000C5714"/>
    <w:rsid w:val="000C5B9C"/>
    <w:rsid w:val="000C63DD"/>
    <w:rsid w:val="000C64DD"/>
    <w:rsid w:val="000C66A8"/>
    <w:rsid w:val="000C6A83"/>
    <w:rsid w:val="000C7203"/>
    <w:rsid w:val="000C7AE6"/>
    <w:rsid w:val="000D0032"/>
    <w:rsid w:val="000D00A1"/>
    <w:rsid w:val="000D13B5"/>
    <w:rsid w:val="000D1AD4"/>
    <w:rsid w:val="000D26E7"/>
    <w:rsid w:val="000D2744"/>
    <w:rsid w:val="000D286D"/>
    <w:rsid w:val="000D2ADC"/>
    <w:rsid w:val="000D3097"/>
    <w:rsid w:val="000D30AB"/>
    <w:rsid w:val="000D3175"/>
    <w:rsid w:val="000D3DB8"/>
    <w:rsid w:val="000D512A"/>
    <w:rsid w:val="000D584F"/>
    <w:rsid w:val="000D59FC"/>
    <w:rsid w:val="000D5E07"/>
    <w:rsid w:val="000D64B7"/>
    <w:rsid w:val="000D7E94"/>
    <w:rsid w:val="000E0632"/>
    <w:rsid w:val="000E0660"/>
    <w:rsid w:val="000E06CE"/>
    <w:rsid w:val="000E1836"/>
    <w:rsid w:val="000E19EC"/>
    <w:rsid w:val="000E1E36"/>
    <w:rsid w:val="000E224F"/>
    <w:rsid w:val="000E22D7"/>
    <w:rsid w:val="000E2906"/>
    <w:rsid w:val="000E2C60"/>
    <w:rsid w:val="000E3755"/>
    <w:rsid w:val="000E38A5"/>
    <w:rsid w:val="000E3B12"/>
    <w:rsid w:val="000E3B6A"/>
    <w:rsid w:val="000E4860"/>
    <w:rsid w:val="000E55EB"/>
    <w:rsid w:val="000E56E6"/>
    <w:rsid w:val="000E6540"/>
    <w:rsid w:val="000E6691"/>
    <w:rsid w:val="000E6E7C"/>
    <w:rsid w:val="000F015E"/>
    <w:rsid w:val="000F0248"/>
    <w:rsid w:val="000F04C2"/>
    <w:rsid w:val="000F0B99"/>
    <w:rsid w:val="000F0C6C"/>
    <w:rsid w:val="000F1B3A"/>
    <w:rsid w:val="000F229A"/>
    <w:rsid w:val="000F243F"/>
    <w:rsid w:val="000F2499"/>
    <w:rsid w:val="000F2FA3"/>
    <w:rsid w:val="000F388A"/>
    <w:rsid w:val="000F3E95"/>
    <w:rsid w:val="000F3EE5"/>
    <w:rsid w:val="000F45FE"/>
    <w:rsid w:val="000F48BD"/>
    <w:rsid w:val="000F4905"/>
    <w:rsid w:val="000F537F"/>
    <w:rsid w:val="000F53EE"/>
    <w:rsid w:val="000F579C"/>
    <w:rsid w:val="000F606D"/>
    <w:rsid w:val="000F67CD"/>
    <w:rsid w:val="000F6884"/>
    <w:rsid w:val="000F70B8"/>
    <w:rsid w:val="000F71CC"/>
    <w:rsid w:val="000F71F0"/>
    <w:rsid w:val="000F790E"/>
    <w:rsid w:val="000F7E87"/>
    <w:rsid w:val="000F7FD0"/>
    <w:rsid w:val="001019E6"/>
    <w:rsid w:val="00101FD1"/>
    <w:rsid w:val="00101FDB"/>
    <w:rsid w:val="0010271A"/>
    <w:rsid w:val="0010275A"/>
    <w:rsid w:val="001029B1"/>
    <w:rsid w:val="00102D71"/>
    <w:rsid w:val="001036B7"/>
    <w:rsid w:val="00103C1D"/>
    <w:rsid w:val="00103D36"/>
    <w:rsid w:val="0010442D"/>
    <w:rsid w:val="00104498"/>
    <w:rsid w:val="00104A76"/>
    <w:rsid w:val="001053CD"/>
    <w:rsid w:val="00105423"/>
    <w:rsid w:val="001054A3"/>
    <w:rsid w:val="00106398"/>
    <w:rsid w:val="001063EA"/>
    <w:rsid w:val="00106485"/>
    <w:rsid w:val="00106FF8"/>
    <w:rsid w:val="0010739B"/>
    <w:rsid w:val="00110434"/>
    <w:rsid w:val="001106E2"/>
    <w:rsid w:val="001109C5"/>
    <w:rsid w:val="001109DA"/>
    <w:rsid w:val="00111456"/>
    <w:rsid w:val="00111643"/>
    <w:rsid w:val="00111661"/>
    <w:rsid w:val="0011193F"/>
    <w:rsid w:val="00112011"/>
    <w:rsid w:val="0011222A"/>
    <w:rsid w:val="00112390"/>
    <w:rsid w:val="00112664"/>
    <w:rsid w:val="00112814"/>
    <w:rsid w:val="00113116"/>
    <w:rsid w:val="001131E8"/>
    <w:rsid w:val="00113C2F"/>
    <w:rsid w:val="001142AA"/>
    <w:rsid w:val="00114794"/>
    <w:rsid w:val="00114BDC"/>
    <w:rsid w:val="00115832"/>
    <w:rsid w:val="0011613A"/>
    <w:rsid w:val="001161DE"/>
    <w:rsid w:val="0011641C"/>
    <w:rsid w:val="0011678C"/>
    <w:rsid w:val="00116CBE"/>
    <w:rsid w:val="0011702B"/>
    <w:rsid w:val="0011718A"/>
    <w:rsid w:val="0011742A"/>
    <w:rsid w:val="00117A19"/>
    <w:rsid w:val="00117CC4"/>
    <w:rsid w:val="00121E2B"/>
    <w:rsid w:val="00122415"/>
    <w:rsid w:val="001251A9"/>
    <w:rsid w:val="001253BE"/>
    <w:rsid w:val="001254BC"/>
    <w:rsid w:val="00125698"/>
    <w:rsid w:val="0012690A"/>
    <w:rsid w:val="00126CD7"/>
    <w:rsid w:val="0013139A"/>
    <w:rsid w:val="00131553"/>
    <w:rsid w:val="00131B34"/>
    <w:rsid w:val="00131B95"/>
    <w:rsid w:val="0013268D"/>
    <w:rsid w:val="0013298B"/>
    <w:rsid w:val="00132E80"/>
    <w:rsid w:val="00133CCB"/>
    <w:rsid w:val="001342E2"/>
    <w:rsid w:val="00134B1F"/>
    <w:rsid w:val="00134C75"/>
    <w:rsid w:val="00134CD4"/>
    <w:rsid w:val="001351C7"/>
    <w:rsid w:val="001355C0"/>
    <w:rsid w:val="00135F9D"/>
    <w:rsid w:val="001360E9"/>
    <w:rsid w:val="0013666D"/>
    <w:rsid w:val="001369C5"/>
    <w:rsid w:val="00136C2F"/>
    <w:rsid w:val="00136D0A"/>
    <w:rsid w:val="001376AA"/>
    <w:rsid w:val="001379F6"/>
    <w:rsid w:val="00137C6F"/>
    <w:rsid w:val="001411EA"/>
    <w:rsid w:val="00141760"/>
    <w:rsid w:val="00141C83"/>
    <w:rsid w:val="00141D44"/>
    <w:rsid w:val="001420A5"/>
    <w:rsid w:val="00142E5D"/>
    <w:rsid w:val="00142EA9"/>
    <w:rsid w:val="0014381E"/>
    <w:rsid w:val="00143FCD"/>
    <w:rsid w:val="001441D2"/>
    <w:rsid w:val="00144275"/>
    <w:rsid w:val="001442A3"/>
    <w:rsid w:val="0014458A"/>
    <w:rsid w:val="001451DB"/>
    <w:rsid w:val="001473E9"/>
    <w:rsid w:val="00147E2C"/>
    <w:rsid w:val="00150250"/>
    <w:rsid w:val="0015076E"/>
    <w:rsid w:val="00151B7B"/>
    <w:rsid w:val="00151CA9"/>
    <w:rsid w:val="001521D1"/>
    <w:rsid w:val="0015227E"/>
    <w:rsid w:val="001530E5"/>
    <w:rsid w:val="00153606"/>
    <w:rsid w:val="001540A9"/>
    <w:rsid w:val="00154659"/>
    <w:rsid w:val="001547B1"/>
    <w:rsid w:val="00154C69"/>
    <w:rsid w:val="00155033"/>
    <w:rsid w:val="001551DF"/>
    <w:rsid w:val="0015556E"/>
    <w:rsid w:val="00155647"/>
    <w:rsid w:val="001558F1"/>
    <w:rsid w:val="001561A6"/>
    <w:rsid w:val="00156605"/>
    <w:rsid w:val="00156FCA"/>
    <w:rsid w:val="001570C4"/>
    <w:rsid w:val="00157315"/>
    <w:rsid w:val="001603CE"/>
    <w:rsid w:val="0016105C"/>
    <w:rsid w:val="0016191E"/>
    <w:rsid w:val="0016197D"/>
    <w:rsid w:val="00162214"/>
    <w:rsid w:val="00162254"/>
    <w:rsid w:val="0016235A"/>
    <w:rsid w:val="0016242B"/>
    <w:rsid w:val="00162D36"/>
    <w:rsid w:val="001632D5"/>
    <w:rsid w:val="00163B82"/>
    <w:rsid w:val="00163DDF"/>
    <w:rsid w:val="0016450E"/>
    <w:rsid w:val="00164AFE"/>
    <w:rsid w:val="0016560E"/>
    <w:rsid w:val="00165620"/>
    <w:rsid w:val="00165AD2"/>
    <w:rsid w:val="00165DF1"/>
    <w:rsid w:val="00166162"/>
    <w:rsid w:val="00166188"/>
    <w:rsid w:val="00166205"/>
    <w:rsid w:val="00166865"/>
    <w:rsid w:val="00166E31"/>
    <w:rsid w:val="00167343"/>
    <w:rsid w:val="001678D3"/>
    <w:rsid w:val="00167B86"/>
    <w:rsid w:val="00167C29"/>
    <w:rsid w:val="00167C42"/>
    <w:rsid w:val="00167CAA"/>
    <w:rsid w:val="00170052"/>
    <w:rsid w:val="001705B8"/>
    <w:rsid w:val="001705DC"/>
    <w:rsid w:val="001707E0"/>
    <w:rsid w:val="001717FF"/>
    <w:rsid w:val="00171F2E"/>
    <w:rsid w:val="00172290"/>
    <w:rsid w:val="001729F1"/>
    <w:rsid w:val="0017398E"/>
    <w:rsid w:val="00173D9A"/>
    <w:rsid w:val="0017418C"/>
    <w:rsid w:val="001748BD"/>
    <w:rsid w:val="00174A18"/>
    <w:rsid w:val="00174F8C"/>
    <w:rsid w:val="001751FD"/>
    <w:rsid w:val="001754ED"/>
    <w:rsid w:val="00175855"/>
    <w:rsid w:val="00175EE3"/>
    <w:rsid w:val="00176028"/>
    <w:rsid w:val="001760AB"/>
    <w:rsid w:val="00176FDD"/>
    <w:rsid w:val="00180476"/>
    <w:rsid w:val="001827BF"/>
    <w:rsid w:val="00182875"/>
    <w:rsid w:val="00183354"/>
    <w:rsid w:val="0018397E"/>
    <w:rsid w:val="00183BF0"/>
    <w:rsid w:val="00183C8B"/>
    <w:rsid w:val="00183DA1"/>
    <w:rsid w:val="001848CF"/>
    <w:rsid w:val="00184A3F"/>
    <w:rsid w:val="00184DC5"/>
    <w:rsid w:val="0018778C"/>
    <w:rsid w:val="001879DB"/>
    <w:rsid w:val="001901CE"/>
    <w:rsid w:val="0019050E"/>
    <w:rsid w:val="0019070C"/>
    <w:rsid w:val="00190B7A"/>
    <w:rsid w:val="001910AA"/>
    <w:rsid w:val="001914E6"/>
    <w:rsid w:val="00192230"/>
    <w:rsid w:val="00192A44"/>
    <w:rsid w:val="00192AB2"/>
    <w:rsid w:val="001930A0"/>
    <w:rsid w:val="0019356F"/>
    <w:rsid w:val="00193D90"/>
    <w:rsid w:val="00193FD4"/>
    <w:rsid w:val="001950F4"/>
    <w:rsid w:val="00195BD9"/>
    <w:rsid w:val="00197309"/>
    <w:rsid w:val="001973C0"/>
    <w:rsid w:val="00197710"/>
    <w:rsid w:val="001979B7"/>
    <w:rsid w:val="00197DFD"/>
    <w:rsid w:val="001A0E0A"/>
    <w:rsid w:val="001A10C0"/>
    <w:rsid w:val="001A16CC"/>
    <w:rsid w:val="001A1BE9"/>
    <w:rsid w:val="001A1F8B"/>
    <w:rsid w:val="001A23D0"/>
    <w:rsid w:val="001A2F01"/>
    <w:rsid w:val="001A2F72"/>
    <w:rsid w:val="001A33B7"/>
    <w:rsid w:val="001A3479"/>
    <w:rsid w:val="001A361B"/>
    <w:rsid w:val="001A37BD"/>
    <w:rsid w:val="001A3B3F"/>
    <w:rsid w:val="001A4379"/>
    <w:rsid w:val="001A44DA"/>
    <w:rsid w:val="001A4B6E"/>
    <w:rsid w:val="001A5045"/>
    <w:rsid w:val="001A54F4"/>
    <w:rsid w:val="001A5501"/>
    <w:rsid w:val="001A5757"/>
    <w:rsid w:val="001A5B19"/>
    <w:rsid w:val="001A5CFA"/>
    <w:rsid w:val="001A6696"/>
    <w:rsid w:val="001A6837"/>
    <w:rsid w:val="001A691A"/>
    <w:rsid w:val="001A6B4B"/>
    <w:rsid w:val="001A7841"/>
    <w:rsid w:val="001A79B0"/>
    <w:rsid w:val="001A7CC1"/>
    <w:rsid w:val="001B0794"/>
    <w:rsid w:val="001B0C23"/>
    <w:rsid w:val="001B0DFF"/>
    <w:rsid w:val="001B1570"/>
    <w:rsid w:val="001B18B0"/>
    <w:rsid w:val="001B191E"/>
    <w:rsid w:val="001B1FCE"/>
    <w:rsid w:val="001B23DB"/>
    <w:rsid w:val="001B28CC"/>
    <w:rsid w:val="001B2E8C"/>
    <w:rsid w:val="001B2F91"/>
    <w:rsid w:val="001B3ED3"/>
    <w:rsid w:val="001B469E"/>
    <w:rsid w:val="001B475E"/>
    <w:rsid w:val="001B49F5"/>
    <w:rsid w:val="001B523C"/>
    <w:rsid w:val="001B59D5"/>
    <w:rsid w:val="001B5CA0"/>
    <w:rsid w:val="001B5DC9"/>
    <w:rsid w:val="001B60E4"/>
    <w:rsid w:val="001B66D9"/>
    <w:rsid w:val="001B740E"/>
    <w:rsid w:val="001B7629"/>
    <w:rsid w:val="001B7A7E"/>
    <w:rsid w:val="001C0569"/>
    <w:rsid w:val="001C0A17"/>
    <w:rsid w:val="001C176C"/>
    <w:rsid w:val="001C1CC3"/>
    <w:rsid w:val="001C1ECC"/>
    <w:rsid w:val="001C27BA"/>
    <w:rsid w:val="001C28B1"/>
    <w:rsid w:val="001C2D6A"/>
    <w:rsid w:val="001C356F"/>
    <w:rsid w:val="001C39F3"/>
    <w:rsid w:val="001C3F60"/>
    <w:rsid w:val="001C5250"/>
    <w:rsid w:val="001C52DF"/>
    <w:rsid w:val="001C53B6"/>
    <w:rsid w:val="001C56AC"/>
    <w:rsid w:val="001C56BB"/>
    <w:rsid w:val="001C6295"/>
    <w:rsid w:val="001C6F3A"/>
    <w:rsid w:val="001C73C4"/>
    <w:rsid w:val="001C764B"/>
    <w:rsid w:val="001D0C4D"/>
    <w:rsid w:val="001D0CF2"/>
    <w:rsid w:val="001D0FB9"/>
    <w:rsid w:val="001D1DB0"/>
    <w:rsid w:val="001D202E"/>
    <w:rsid w:val="001D20A7"/>
    <w:rsid w:val="001D27DE"/>
    <w:rsid w:val="001D288B"/>
    <w:rsid w:val="001D2ADD"/>
    <w:rsid w:val="001D33AD"/>
    <w:rsid w:val="001D442A"/>
    <w:rsid w:val="001D50E9"/>
    <w:rsid w:val="001D54BE"/>
    <w:rsid w:val="001D6488"/>
    <w:rsid w:val="001D66CC"/>
    <w:rsid w:val="001D67E6"/>
    <w:rsid w:val="001D6CCA"/>
    <w:rsid w:val="001D6DAB"/>
    <w:rsid w:val="001D6ECC"/>
    <w:rsid w:val="001D7836"/>
    <w:rsid w:val="001D7F85"/>
    <w:rsid w:val="001E0141"/>
    <w:rsid w:val="001E029B"/>
    <w:rsid w:val="001E02B8"/>
    <w:rsid w:val="001E0376"/>
    <w:rsid w:val="001E090B"/>
    <w:rsid w:val="001E12F1"/>
    <w:rsid w:val="001E150B"/>
    <w:rsid w:val="001E1BF7"/>
    <w:rsid w:val="001E1E02"/>
    <w:rsid w:val="001E1FFD"/>
    <w:rsid w:val="001E254B"/>
    <w:rsid w:val="001E4080"/>
    <w:rsid w:val="001E41E5"/>
    <w:rsid w:val="001E46E6"/>
    <w:rsid w:val="001E4DA3"/>
    <w:rsid w:val="001E5107"/>
    <w:rsid w:val="001E56F1"/>
    <w:rsid w:val="001E6237"/>
    <w:rsid w:val="001E7414"/>
    <w:rsid w:val="001E76B9"/>
    <w:rsid w:val="001E76D1"/>
    <w:rsid w:val="001E7EC1"/>
    <w:rsid w:val="001F03A4"/>
    <w:rsid w:val="001F07AB"/>
    <w:rsid w:val="001F08F2"/>
    <w:rsid w:val="001F0BA8"/>
    <w:rsid w:val="001F1D26"/>
    <w:rsid w:val="001F2BBC"/>
    <w:rsid w:val="001F2D47"/>
    <w:rsid w:val="001F3C6F"/>
    <w:rsid w:val="001F47B7"/>
    <w:rsid w:val="001F4BFD"/>
    <w:rsid w:val="001F4CA8"/>
    <w:rsid w:val="001F4E02"/>
    <w:rsid w:val="001F4F0A"/>
    <w:rsid w:val="001F5017"/>
    <w:rsid w:val="001F53F5"/>
    <w:rsid w:val="001F58F4"/>
    <w:rsid w:val="001F5C18"/>
    <w:rsid w:val="001F6AAA"/>
    <w:rsid w:val="001F7138"/>
    <w:rsid w:val="001F71F5"/>
    <w:rsid w:val="001F7CE0"/>
    <w:rsid w:val="0020014C"/>
    <w:rsid w:val="00200A0A"/>
    <w:rsid w:val="002017C9"/>
    <w:rsid w:val="00201EA8"/>
    <w:rsid w:val="00202869"/>
    <w:rsid w:val="00202C6A"/>
    <w:rsid w:val="00203B90"/>
    <w:rsid w:val="00203C11"/>
    <w:rsid w:val="00203E61"/>
    <w:rsid w:val="0020402A"/>
    <w:rsid w:val="0020428C"/>
    <w:rsid w:val="002046F9"/>
    <w:rsid w:val="00204DDB"/>
    <w:rsid w:val="00205147"/>
    <w:rsid w:val="002053BA"/>
    <w:rsid w:val="00205B47"/>
    <w:rsid w:val="00205D93"/>
    <w:rsid w:val="00205DF0"/>
    <w:rsid w:val="00206646"/>
    <w:rsid w:val="00206D67"/>
    <w:rsid w:val="00207619"/>
    <w:rsid w:val="002077C9"/>
    <w:rsid w:val="0020795A"/>
    <w:rsid w:val="00207CB3"/>
    <w:rsid w:val="00207F72"/>
    <w:rsid w:val="00210F03"/>
    <w:rsid w:val="0021141E"/>
    <w:rsid w:val="0021176F"/>
    <w:rsid w:val="002117BC"/>
    <w:rsid w:val="00211945"/>
    <w:rsid w:val="0021223B"/>
    <w:rsid w:val="002124BA"/>
    <w:rsid w:val="002124EE"/>
    <w:rsid w:val="002129BD"/>
    <w:rsid w:val="00212B1E"/>
    <w:rsid w:val="00212ED7"/>
    <w:rsid w:val="0021367A"/>
    <w:rsid w:val="00213E37"/>
    <w:rsid w:val="00214BDC"/>
    <w:rsid w:val="00216017"/>
    <w:rsid w:val="002163BC"/>
    <w:rsid w:val="002165B8"/>
    <w:rsid w:val="00216DB4"/>
    <w:rsid w:val="00216FE5"/>
    <w:rsid w:val="00217E34"/>
    <w:rsid w:val="00217FCA"/>
    <w:rsid w:val="002201FB"/>
    <w:rsid w:val="00220423"/>
    <w:rsid w:val="002209CC"/>
    <w:rsid w:val="00220A43"/>
    <w:rsid w:val="00220B49"/>
    <w:rsid w:val="00220B82"/>
    <w:rsid w:val="00220F92"/>
    <w:rsid w:val="002214FF"/>
    <w:rsid w:val="002218EE"/>
    <w:rsid w:val="00221CA6"/>
    <w:rsid w:val="00221EE2"/>
    <w:rsid w:val="00222020"/>
    <w:rsid w:val="00222025"/>
    <w:rsid w:val="002222B2"/>
    <w:rsid w:val="002226A9"/>
    <w:rsid w:val="00222C2A"/>
    <w:rsid w:val="00222DE2"/>
    <w:rsid w:val="00223C5E"/>
    <w:rsid w:val="00224442"/>
    <w:rsid w:val="00224747"/>
    <w:rsid w:val="00225603"/>
    <w:rsid w:val="00226433"/>
    <w:rsid w:val="002264A9"/>
    <w:rsid w:val="00226585"/>
    <w:rsid w:val="00226701"/>
    <w:rsid w:val="00226783"/>
    <w:rsid w:val="002268F6"/>
    <w:rsid w:val="00226E74"/>
    <w:rsid w:val="00227583"/>
    <w:rsid w:val="00227FBB"/>
    <w:rsid w:val="002303B3"/>
    <w:rsid w:val="00230E80"/>
    <w:rsid w:val="00230F42"/>
    <w:rsid w:val="002311F8"/>
    <w:rsid w:val="002312FC"/>
    <w:rsid w:val="00231B6E"/>
    <w:rsid w:val="00231BE8"/>
    <w:rsid w:val="002321C3"/>
    <w:rsid w:val="002321E9"/>
    <w:rsid w:val="0023252E"/>
    <w:rsid w:val="0023266C"/>
    <w:rsid w:val="00232C6F"/>
    <w:rsid w:val="0023346E"/>
    <w:rsid w:val="00233EC8"/>
    <w:rsid w:val="002345A7"/>
    <w:rsid w:val="0023489D"/>
    <w:rsid w:val="00234ACA"/>
    <w:rsid w:val="0023577D"/>
    <w:rsid w:val="002357E9"/>
    <w:rsid w:val="00236104"/>
    <w:rsid w:val="00236454"/>
    <w:rsid w:val="0023672C"/>
    <w:rsid w:val="00236AA9"/>
    <w:rsid w:val="00236F77"/>
    <w:rsid w:val="00237DA0"/>
    <w:rsid w:val="00240289"/>
    <w:rsid w:val="0024087E"/>
    <w:rsid w:val="0024095C"/>
    <w:rsid w:val="00240CC2"/>
    <w:rsid w:val="00240DFC"/>
    <w:rsid w:val="00240F1D"/>
    <w:rsid w:val="0024156C"/>
    <w:rsid w:val="002429A3"/>
    <w:rsid w:val="00242A76"/>
    <w:rsid w:val="00242AF1"/>
    <w:rsid w:val="00242AF6"/>
    <w:rsid w:val="00243050"/>
    <w:rsid w:val="00243473"/>
    <w:rsid w:val="00245BE3"/>
    <w:rsid w:val="002464AA"/>
    <w:rsid w:val="002467BC"/>
    <w:rsid w:val="00246853"/>
    <w:rsid w:val="00246A1A"/>
    <w:rsid w:val="00246B0F"/>
    <w:rsid w:val="00247036"/>
    <w:rsid w:val="0024798E"/>
    <w:rsid w:val="00250608"/>
    <w:rsid w:val="002510B7"/>
    <w:rsid w:val="0025119B"/>
    <w:rsid w:val="00251938"/>
    <w:rsid w:val="00251FB7"/>
    <w:rsid w:val="00252E09"/>
    <w:rsid w:val="0025372B"/>
    <w:rsid w:val="00253865"/>
    <w:rsid w:val="00254816"/>
    <w:rsid w:val="00255496"/>
    <w:rsid w:val="00255614"/>
    <w:rsid w:val="00255EFF"/>
    <w:rsid w:val="00255F7A"/>
    <w:rsid w:val="00256466"/>
    <w:rsid w:val="00256B1D"/>
    <w:rsid w:val="00256EA6"/>
    <w:rsid w:val="0025770C"/>
    <w:rsid w:val="00260386"/>
    <w:rsid w:val="002606C7"/>
    <w:rsid w:val="00261076"/>
    <w:rsid w:val="002610EA"/>
    <w:rsid w:val="00261554"/>
    <w:rsid w:val="002625DD"/>
    <w:rsid w:val="00262E3B"/>
    <w:rsid w:val="00263166"/>
    <w:rsid w:val="00263B0E"/>
    <w:rsid w:val="0026414F"/>
    <w:rsid w:val="00264237"/>
    <w:rsid w:val="0026454D"/>
    <w:rsid w:val="00265014"/>
    <w:rsid w:val="0026532D"/>
    <w:rsid w:val="00265965"/>
    <w:rsid w:val="00265AB3"/>
    <w:rsid w:val="0026647E"/>
    <w:rsid w:val="0026659D"/>
    <w:rsid w:val="00267449"/>
    <w:rsid w:val="00267C47"/>
    <w:rsid w:val="00270460"/>
    <w:rsid w:val="00270A87"/>
    <w:rsid w:val="00270C0B"/>
    <w:rsid w:val="00270E1D"/>
    <w:rsid w:val="00270F5C"/>
    <w:rsid w:val="00271352"/>
    <w:rsid w:val="00271601"/>
    <w:rsid w:val="0027199E"/>
    <w:rsid w:val="00271C18"/>
    <w:rsid w:val="002725B3"/>
    <w:rsid w:val="00272A9F"/>
    <w:rsid w:val="00272B21"/>
    <w:rsid w:val="00274CFA"/>
    <w:rsid w:val="0027532C"/>
    <w:rsid w:val="00276D45"/>
    <w:rsid w:val="00277367"/>
    <w:rsid w:val="002773BD"/>
    <w:rsid w:val="00277F9D"/>
    <w:rsid w:val="00280031"/>
    <w:rsid w:val="00280201"/>
    <w:rsid w:val="002807AE"/>
    <w:rsid w:val="00281864"/>
    <w:rsid w:val="00281B11"/>
    <w:rsid w:val="00281D06"/>
    <w:rsid w:val="00281EF9"/>
    <w:rsid w:val="00282101"/>
    <w:rsid w:val="0028287A"/>
    <w:rsid w:val="00282FFE"/>
    <w:rsid w:val="0028346D"/>
    <w:rsid w:val="0028416C"/>
    <w:rsid w:val="00284832"/>
    <w:rsid w:val="00285568"/>
    <w:rsid w:val="002856C6"/>
    <w:rsid w:val="00285A60"/>
    <w:rsid w:val="00285C31"/>
    <w:rsid w:val="00285DCE"/>
    <w:rsid w:val="00286418"/>
    <w:rsid w:val="00286861"/>
    <w:rsid w:val="00286C31"/>
    <w:rsid w:val="00286C81"/>
    <w:rsid w:val="00286CA7"/>
    <w:rsid w:val="002871BF"/>
    <w:rsid w:val="0028780C"/>
    <w:rsid w:val="00287851"/>
    <w:rsid w:val="00287CA2"/>
    <w:rsid w:val="00287CEB"/>
    <w:rsid w:val="00287E10"/>
    <w:rsid w:val="00287FBC"/>
    <w:rsid w:val="0029023C"/>
    <w:rsid w:val="002903CA"/>
    <w:rsid w:val="002909A3"/>
    <w:rsid w:val="00291306"/>
    <w:rsid w:val="002914B8"/>
    <w:rsid w:val="00292E5B"/>
    <w:rsid w:val="00292FFC"/>
    <w:rsid w:val="00293163"/>
    <w:rsid w:val="00293340"/>
    <w:rsid w:val="002936AE"/>
    <w:rsid w:val="002936C3"/>
    <w:rsid w:val="002938B3"/>
    <w:rsid w:val="00293A0A"/>
    <w:rsid w:val="00293A56"/>
    <w:rsid w:val="002942F4"/>
    <w:rsid w:val="00294AF4"/>
    <w:rsid w:val="00294D55"/>
    <w:rsid w:val="00294D7E"/>
    <w:rsid w:val="00294F02"/>
    <w:rsid w:val="0029502A"/>
    <w:rsid w:val="0029517A"/>
    <w:rsid w:val="00295236"/>
    <w:rsid w:val="002963B4"/>
    <w:rsid w:val="00296FF3"/>
    <w:rsid w:val="00297541"/>
    <w:rsid w:val="00297F4C"/>
    <w:rsid w:val="002A038A"/>
    <w:rsid w:val="002A038F"/>
    <w:rsid w:val="002A04DB"/>
    <w:rsid w:val="002A04F3"/>
    <w:rsid w:val="002A0E70"/>
    <w:rsid w:val="002A175F"/>
    <w:rsid w:val="002A1849"/>
    <w:rsid w:val="002A196F"/>
    <w:rsid w:val="002A2DAC"/>
    <w:rsid w:val="002A324C"/>
    <w:rsid w:val="002A3FB8"/>
    <w:rsid w:val="002A4885"/>
    <w:rsid w:val="002A4EF0"/>
    <w:rsid w:val="002A5528"/>
    <w:rsid w:val="002A594A"/>
    <w:rsid w:val="002A5BE8"/>
    <w:rsid w:val="002A5E2B"/>
    <w:rsid w:val="002A6558"/>
    <w:rsid w:val="002A72C8"/>
    <w:rsid w:val="002A75D6"/>
    <w:rsid w:val="002A77F4"/>
    <w:rsid w:val="002A7C51"/>
    <w:rsid w:val="002B0163"/>
    <w:rsid w:val="002B0392"/>
    <w:rsid w:val="002B05FB"/>
    <w:rsid w:val="002B06B0"/>
    <w:rsid w:val="002B089B"/>
    <w:rsid w:val="002B16DD"/>
    <w:rsid w:val="002B1AC2"/>
    <w:rsid w:val="002B2705"/>
    <w:rsid w:val="002B2907"/>
    <w:rsid w:val="002B2E02"/>
    <w:rsid w:val="002B351D"/>
    <w:rsid w:val="002B3B36"/>
    <w:rsid w:val="002B3C6C"/>
    <w:rsid w:val="002B3D8A"/>
    <w:rsid w:val="002B4C95"/>
    <w:rsid w:val="002B4DE1"/>
    <w:rsid w:val="002B51EC"/>
    <w:rsid w:val="002B51F0"/>
    <w:rsid w:val="002B6E27"/>
    <w:rsid w:val="002B7F17"/>
    <w:rsid w:val="002C0165"/>
    <w:rsid w:val="002C022C"/>
    <w:rsid w:val="002C0424"/>
    <w:rsid w:val="002C05AD"/>
    <w:rsid w:val="002C2053"/>
    <w:rsid w:val="002C2F54"/>
    <w:rsid w:val="002C31DE"/>
    <w:rsid w:val="002C3803"/>
    <w:rsid w:val="002C4098"/>
    <w:rsid w:val="002C46E9"/>
    <w:rsid w:val="002C5BAB"/>
    <w:rsid w:val="002C66AA"/>
    <w:rsid w:val="002C6C4A"/>
    <w:rsid w:val="002C7049"/>
    <w:rsid w:val="002C78DB"/>
    <w:rsid w:val="002C7BE5"/>
    <w:rsid w:val="002D01AC"/>
    <w:rsid w:val="002D03D1"/>
    <w:rsid w:val="002D0912"/>
    <w:rsid w:val="002D0C1A"/>
    <w:rsid w:val="002D2014"/>
    <w:rsid w:val="002D2478"/>
    <w:rsid w:val="002D26A7"/>
    <w:rsid w:val="002D26AF"/>
    <w:rsid w:val="002D2D3D"/>
    <w:rsid w:val="002D2F12"/>
    <w:rsid w:val="002D3746"/>
    <w:rsid w:val="002D3816"/>
    <w:rsid w:val="002D3856"/>
    <w:rsid w:val="002D3CEF"/>
    <w:rsid w:val="002D3DA6"/>
    <w:rsid w:val="002D4209"/>
    <w:rsid w:val="002D4529"/>
    <w:rsid w:val="002D5CC5"/>
    <w:rsid w:val="002D647C"/>
    <w:rsid w:val="002D723B"/>
    <w:rsid w:val="002E0ED7"/>
    <w:rsid w:val="002E11FF"/>
    <w:rsid w:val="002E13B0"/>
    <w:rsid w:val="002E1B0F"/>
    <w:rsid w:val="002E1B22"/>
    <w:rsid w:val="002E2339"/>
    <w:rsid w:val="002E269D"/>
    <w:rsid w:val="002E27EB"/>
    <w:rsid w:val="002E2C36"/>
    <w:rsid w:val="002E35FB"/>
    <w:rsid w:val="002E3B7B"/>
    <w:rsid w:val="002E3BD3"/>
    <w:rsid w:val="002E3D0C"/>
    <w:rsid w:val="002E3E94"/>
    <w:rsid w:val="002E475F"/>
    <w:rsid w:val="002E5A83"/>
    <w:rsid w:val="002E5BE0"/>
    <w:rsid w:val="002E5FD8"/>
    <w:rsid w:val="002E64FC"/>
    <w:rsid w:val="002E68AB"/>
    <w:rsid w:val="002F00C1"/>
    <w:rsid w:val="002F022B"/>
    <w:rsid w:val="002F05A5"/>
    <w:rsid w:val="002F05CB"/>
    <w:rsid w:val="002F132C"/>
    <w:rsid w:val="002F1489"/>
    <w:rsid w:val="002F1562"/>
    <w:rsid w:val="002F15D8"/>
    <w:rsid w:val="002F1BE3"/>
    <w:rsid w:val="002F23C1"/>
    <w:rsid w:val="002F3DE0"/>
    <w:rsid w:val="002F4867"/>
    <w:rsid w:val="002F4C2F"/>
    <w:rsid w:val="002F5182"/>
    <w:rsid w:val="002F5702"/>
    <w:rsid w:val="002F6595"/>
    <w:rsid w:val="002F6BB7"/>
    <w:rsid w:val="002F6C65"/>
    <w:rsid w:val="002F79C5"/>
    <w:rsid w:val="002F7C04"/>
    <w:rsid w:val="003001E7"/>
    <w:rsid w:val="00300220"/>
    <w:rsid w:val="00300270"/>
    <w:rsid w:val="0030062F"/>
    <w:rsid w:val="00300F6C"/>
    <w:rsid w:val="0030163E"/>
    <w:rsid w:val="003017CC"/>
    <w:rsid w:val="00301BFC"/>
    <w:rsid w:val="00302057"/>
    <w:rsid w:val="00302B2A"/>
    <w:rsid w:val="00302B61"/>
    <w:rsid w:val="0030301B"/>
    <w:rsid w:val="00303941"/>
    <w:rsid w:val="00305A51"/>
    <w:rsid w:val="00305B56"/>
    <w:rsid w:val="00306301"/>
    <w:rsid w:val="003063D4"/>
    <w:rsid w:val="00306770"/>
    <w:rsid w:val="00306CD8"/>
    <w:rsid w:val="00307C40"/>
    <w:rsid w:val="00310532"/>
    <w:rsid w:val="0031076A"/>
    <w:rsid w:val="003108B5"/>
    <w:rsid w:val="00310941"/>
    <w:rsid w:val="00310AC4"/>
    <w:rsid w:val="00310EA8"/>
    <w:rsid w:val="00311090"/>
    <w:rsid w:val="00311DB6"/>
    <w:rsid w:val="00311DD8"/>
    <w:rsid w:val="003121DF"/>
    <w:rsid w:val="00312906"/>
    <w:rsid w:val="003130C0"/>
    <w:rsid w:val="00313C0C"/>
    <w:rsid w:val="003142DF"/>
    <w:rsid w:val="00314AA7"/>
    <w:rsid w:val="0031561B"/>
    <w:rsid w:val="00315F5A"/>
    <w:rsid w:val="003171A0"/>
    <w:rsid w:val="00317587"/>
    <w:rsid w:val="00317D07"/>
    <w:rsid w:val="00317D74"/>
    <w:rsid w:val="00317F26"/>
    <w:rsid w:val="0032069F"/>
    <w:rsid w:val="0032075F"/>
    <w:rsid w:val="00320887"/>
    <w:rsid w:val="00320AEE"/>
    <w:rsid w:val="00320D78"/>
    <w:rsid w:val="0032181C"/>
    <w:rsid w:val="00321D77"/>
    <w:rsid w:val="00321FF6"/>
    <w:rsid w:val="00322044"/>
    <w:rsid w:val="0032255E"/>
    <w:rsid w:val="00322A71"/>
    <w:rsid w:val="00323CA6"/>
    <w:rsid w:val="00323DA0"/>
    <w:rsid w:val="00324378"/>
    <w:rsid w:val="00325222"/>
    <w:rsid w:val="0032529F"/>
    <w:rsid w:val="00325B09"/>
    <w:rsid w:val="00325EA9"/>
    <w:rsid w:val="00326121"/>
    <w:rsid w:val="003262B3"/>
    <w:rsid w:val="0032737E"/>
    <w:rsid w:val="00330300"/>
    <w:rsid w:val="0033047E"/>
    <w:rsid w:val="00330D12"/>
    <w:rsid w:val="00330F34"/>
    <w:rsid w:val="003317B5"/>
    <w:rsid w:val="0033192D"/>
    <w:rsid w:val="00332711"/>
    <w:rsid w:val="0033308B"/>
    <w:rsid w:val="003332A8"/>
    <w:rsid w:val="00333365"/>
    <w:rsid w:val="0033384C"/>
    <w:rsid w:val="003339D3"/>
    <w:rsid w:val="003339E5"/>
    <w:rsid w:val="003340B6"/>
    <w:rsid w:val="003342ED"/>
    <w:rsid w:val="00334A19"/>
    <w:rsid w:val="00334C40"/>
    <w:rsid w:val="00334C86"/>
    <w:rsid w:val="00335361"/>
    <w:rsid w:val="003359F7"/>
    <w:rsid w:val="00335E0C"/>
    <w:rsid w:val="00336C16"/>
    <w:rsid w:val="00336F08"/>
    <w:rsid w:val="00337189"/>
    <w:rsid w:val="0033746F"/>
    <w:rsid w:val="0033788D"/>
    <w:rsid w:val="003405DD"/>
    <w:rsid w:val="00342080"/>
    <w:rsid w:val="00342163"/>
    <w:rsid w:val="0034304B"/>
    <w:rsid w:val="00343110"/>
    <w:rsid w:val="003437DF"/>
    <w:rsid w:val="0034418A"/>
    <w:rsid w:val="00344277"/>
    <w:rsid w:val="00344C07"/>
    <w:rsid w:val="003458A9"/>
    <w:rsid w:val="00345A91"/>
    <w:rsid w:val="003461CD"/>
    <w:rsid w:val="00346513"/>
    <w:rsid w:val="003465FC"/>
    <w:rsid w:val="00346E13"/>
    <w:rsid w:val="00347028"/>
    <w:rsid w:val="00347BEB"/>
    <w:rsid w:val="00350343"/>
    <w:rsid w:val="0035040C"/>
    <w:rsid w:val="00350DAD"/>
    <w:rsid w:val="0035104F"/>
    <w:rsid w:val="003514FC"/>
    <w:rsid w:val="00352119"/>
    <w:rsid w:val="003526D3"/>
    <w:rsid w:val="00352B71"/>
    <w:rsid w:val="003531C6"/>
    <w:rsid w:val="00353292"/>
    <w:rsid w:val="00353D06"/>
    <w:rsid w:val="0035415A"/>
    <w:rsid w:val="003546F4"/>
    <w:rsid w:val="003547E5"/>
    <w:rsid w:val="003548F1"/>
    <w:rsid w:val="00355790"/>
    <w:rsid w:val="00355B11"/>
    <w:rsid w:val="00356246"/>
    <w:rsid w:val="00356680"/>
    <w:rsid w:val="00356723"/>
    <w:rsid w:val="00356E24"/>
    <w:rsid w:val="0035760C"/>
    <w:rsid w:val="00360216"/>
    <w:rsid w:val="003602DE"/>
    <w:rsid w:val="003606AF"/>
    <w:rsid w:val="003607A9"/>
    <w:rsid w:val="00361B6D"/>
    <w:rsid w:val="0036254F"/>
    <w:rsid w:val="00362620"/>
    <w:rsid w:val="003626B8"/>
    <w:rsid w:val="00362CC3"/>
    <w:rsid w:val="003631A3"/>
    <w:rsid w:val="0036398B"/>
    <w:rsid w:val="00363B6A"/>
    <w:rsid w:val="00364584"/>
    <w:rsid w:val="00364C11"/>
    <w:rsid w:val="00364C73"/>
    <w:rsid w:val="00365212"/>
    <w:rsid w:val="003659D9"/>
    <w:rsid w:val="00365AE6"/>
    <w:rsid w:val="00366DCA"/>
    <w:rsid w:val="00366DDC"/>
    <w:rsid w:val="003703EA"/>
    <w:rsid w:val="00371416"/>
    <w:rsid w:val="00372053"/>
    <w:rsid w:val="00372331"/>
    <w:rsid w:val="00372A28"/>
    <w:rsid w:val="00372D3E"/>
    <w:rsid w:val="00373B6B"/>
    <w:rsid w:val="00374828"/>
    <w:rsid w:val="003748C9"/>
    <w:rsid w:val="00374BF4"/>
    <w:rsid w:val="00374FB2"/>
    <w:rsid w:val="00375351"/>
    <w:rsid w:val="0037558E"/>
    <w:rsid w:val="00375AD7"/>
    <w:rsid w:val="00376E83"/>
    <w:rsid w:val="00376EFB"/>
    <w:rsid w:val="00377072"/>
    <w:rsid w:val="003770DA"/>
    <w:rsid w:val="0037781E"/>
    <w:rsid w:val="00377892"/>
    <w:rsid w:val="00377FF7"/>
    <w:rsid w:val="003805DC"/>
    <w:rsid w:val="00380D2D"/>
    <w:rsid w:val="00380D42"/>
    <w:rsid w:val="0038118E"/>
    <w:rsid w:val="00381A48"/>
    <w:rsid w:val="00381FE3"/>
    <w:rsid w:val="00383147"/>
    <w:rsid w:val="00383D04"/>
    <w:rsid w:val="0038451F"/>
    <w:rsid w:val="003845FD"/>
    <w:rsid w:val="00384866"/>
    <w:rsid w:val="003848B8"/>
    <w:rsid w:val="00385FCC"/>
    <w:rsid w:val="00386065"/>
    <w:rsid w:val="003867E2"/>
    <w:rsid w:val="00386E48"/>
    <w:rsid w:val="0038702A"/>
    <w:rsid w:val="003875AC"/>
    <w:rsid w:val="003907A7"/>
    <w:rsid w:val="00391AA9"/>
    <w:rsid w:val="00391B0D"/>
    <w:rsid w:val="00391B7F"/>
    <w:rsid w:val="00391E0A"/>
    <w:rsid w:val="003929F7"/>
    <w:rsid w:val="00392BA8"/>
    <w:rsid w:val="003939CE"/>
    <w:rsid w:val="00394AD5"/>
    <w:rsid w:val="00394D62"/>
    <w:rsid w:val="003958D2"/>
    <w:rsid w:val="003958E9"/>
    <w:rsid w:val="00395E6C"/>
    <w:rsid w:val="00396368"/>
    <w:rsid w:val="00396E04"/>
    <w:rsid w:val="00397BB8"/>
    <w:rsid w:val="003A0BD6"/>
    <w:rsid w:val="003A0D12"/>
    <w:rsid w:val="003A0DFF"/>
    <w:rsid w:val="003A14BD"/>
    <w:rsid w:val="003A172E"/>
    <w:rsid w:val="003A1D7C"/>
    <w:rsid w:val="003A1EAC"/>
    <w:rsid w:val="003A2EEF"/>
    <w:rsid w:val="003A327F"/>
    <w:rsid w:val="003A3394"/>
    <w:rsid w:val="003A395D"/>
    <w:rsid w:val="003A46EA"/>
    <w:rsid w:val="003A47BB"/>
    <w:rsid w:val="003A4C72"/>
    <w:rsid w:val="003A4C78"/>
    <w:rsid w:val="003A4D06"/>
    <w:rsid w:val="003A57E0"/>
    <w:rsid w:val="003A5A7D"/>
    <w:rsid w:val="003A5D60"/>
    <w:rsid w:val="003A65F0"/>
    <w:rsid w:val="003A66F8"/>
    <w:rsid w:val="003A6722"/>
    <w:rsid w:val="003A6936"/>
    <w:rsid w:val="003A6999"/>
    <w:rsid w:val="003A6DF5"/>
    <w:rsid w:val="003A7754"/>
    <w:rsid w:val="003B00F7"/>
    <w:rsid w:val="003B0334"/>
    <w:rsid w:val="003B0A5B"/>
    <w:rsid w:val="003B0B32"/>
    <w:rsid w:val="003B0FE3"/>
    <w:rsid w:val="003B10E1"/>
    <w:rsid w:val="003B1664"/>
    <w:rsid w:val="003B183D"/>
    <w:rsid w:val="003B2151"/>
    <w:rsid w:val="003B24F5"/>
    <w:rsid w:val="003B25A7"/>
    <w:rsid w:val="003B2A86"/>
    <w:rsid w:val="003B2C6E"/>
    <w:rsid w:val="003B31F8"/>
    <w:rsid w:val="003B3528"/>
    <w:rsid w:val="003B38BF"/>
    <w:rsid w:val="003B3947"/>
    <w:rsid w:val="003B3B56"/>
    <w:rsid w:val="003B3F05"/>
    <w:rsid w:val="003B4173"/>
    <w:rsid w:val="003B4F7C"/>
    <w:rsid w:val="003B5BA6"/>
    <w:rsid w:val="003B5D54"/>
    <w:rsid w:val="003B5E9E"/>
    <w:rsid w:val="003B672B"/>
    <w:rsid w:val="003B7186"/>
    <w:rsid w:val="003B7767"/>
    <w:rsid w:val="003C0267"/>
    <w:rsid w:val="003C04A3"/>
    <w:rsid w:val="003C0782"/>
    <w:rsid w:val="003C0920"/>
    <w:rsid w:val="003C15F4"/>
    <w:rsid w:val="003C2A9C"/>
    <w:rsid w:val="003C2BAD"/>
    <w:rsid w:val="003C2EA7"/>
    <w:rsid w:val="003C3079"/>
    <w:rsid w:val="003C3263"/>
    <w:rsid w:val="003C37CC"/>
    <w:rsid w:val="003C387F"/>
    <w:rsid w:val="003C474E"/>
    <w:rsid w:val="003C4856"/>
    <w:rsid w:val="003C522C"/>
    <w:rsid w:val="003C5AA5"/>
    <w:rsid w:val="003C6458"/>
    <w:rsid w:val="003C6B86"/>
    <w:rsid w:val="003D0685"/>
    <w:rsid w:val="003D243B"/>
    <w:rsid w:val="003D263E"/>
    <w:rsid w:val="003D281C"/>
    <w:rsid w:val="003D3DB5"/>
    <w:rsid w:val="003D3DCD"/>
    <w:rsid w:val="003D488A"/>
    <w:rsid w:val="003D52AA"/>
    <w:rsid w:val="003D561F"/>
    <w:rsid w:val="003D5BC2"/>
    <w:rsid w:val="003D6826"/>
    <w:rsid w:val="003D70D4"/>
    <w:rsid w:val="003D7EF2"/>
    <w:rsid w:val="003E0B41"/>
    <w:rsid w:val="003E1082"/>
    <w:rsid w:val="003E1B0B"/>
    <w:rsid w:val="003E2567"/>
    <w:rsid w:val="003E26C5"/>
    <w:rsid w:val="003E27B5"/>
    <w:rsid w:val="003E29F4"/>
    <w:rsid w:val="003E2A20"/>
    <w:rsid w:val="003E2C96"/>
    <w:rsid w:val="003E2D30"/>
    <w:rsid w:val="003E2DE5"/>
    <w:rsid w:val="003E2E08"/>
    <w:rsid w:val="003E325E"/>
    <w:rsid w:val="003E3764"/>
    <w:rsid w:val="003E4C0C"/>
    <w:rsid w:val="003E5CA5"/>
    <w:rsid w:val="003E6197"/>
    <w:rsid w:val="003E6820"/>
    <w:rsid w:val="003E7232"/>
    <w:rsid w:val="003F0806"/>
    <w:rsid w:val="003F0F12"/>
    <w:rsid w:val="003F10AF"/>
    <w:rsid w:val="003F1521"/>
    <w:rsid w:val="003F2199"/>
    <w:rsid w:val="003F2F5E"/>
    <w:rsid w:val="003F2FAB"/>
    <w:rsid w:val="003F3189"/>
    <w:rsid w:val="003F3493"/>
    <w:rsid w:val="003F380D"/>
    <w:rsid w:val="003F3DE2"/>
    <w:rsid w:val="003F45FA"/>
    <w:rsid w:val="003F4B7E"/>
    <w:rsid w:val="003F4BEA"/>
    <w:rsid w:val="003F531C"/>
    <w:rsid w:val="003F563D"/>
    <w:rsid w:val="003F5A4D"/>
    <w:rsid w:val="003F6338"/>
    <w:rsid w:val="003F6EE0"/>
    <w:rsid w:val="003F76B5"/>
    <w:rsid w:val="003F79A6"/>
    <w:rsid w:val="004000FD"/>
    <w:rsid w:val="00400125"/>
    <w:rsid w:val="0040068E"/>
    <w:rsid w:val="00400B07"/>
    <w:rsid w:val="00400ED8"/>
    <w:rsid w:val="004017B9"/>
    <w:rsid w:val="004020DE"/>
    <w:rsid w:val="0040220A"/>
    <w:rsid w:val="0040226D"/>
    <w:rsid w:val="0040239E"/>
    <w:rsid w:val="00402B6E"/>
    <w:rsid w:val="00402BCA"/>
    <w:rsid w:val="00402E32"/>
    <w:rsid w:val="00402E97"/>
    <w:rsid w:val="00403001"/>
    <w:rsid w:val="0040341F"/>
    <w:rsid w:val="00403740"/>
    <w:rsid w:val="00403A0D"/>
    <w:rsid w:val="00404280"/>
    <w:rsid w:val="00404527"/>
    <w:rsid w:val="0040460E"/>
    <w:rsid w:val="00404DFF"/>
    <w:rsid w:val="00405AC2"/>
    <w:rsid w:val="00405EC2"/>
    <w:rsid w:val="004064AF"/>
    <w:rsid w:val="00406925"/>
    <w:rsid w:val="00406A4F"/>
    <w:rsid w:val="00407B71"/>
    <w:rsid w:val="00407E87"/>
    <w:rsid w:val="00407FB1"/>
    <w:rsid w:val="0041003E"/>
    <w:rsid w:val="004100E7"/>
    <w:rsid w:val="0041058D"/>
    <w:rsid w:val="00410890"/>
    <w:rsid w:val="00410F6F"/>
    <w:rsid w:val="0041124A"/>
    <w:rsid w:val="004112D1"/>
    <w:rsid w:val="00411372"/>
    <w:rsid w:val="00411ECF"/>
    <w:rsid w:val="004123CE"/>
    <w:rsid w:val="00412757"/>
    <w:rsid w:val="00412C8F"/>
    <w:rsid w:val="00412E77"/>
    <w:rsid w:val="00413116"/>
    <w:rsid w:val="00413232"/>
    <w:rsid w:val="004135CD"/>
    <w:rsid w:val="004136D3"/>
    <w:rsid w:val="00413762"/>
    <w:rsid w:val="004139EE"/>
    <w:rsid w:val="00414113"/>
    <w:rsid w:val="0041412A"/>
    <w:rsid w:val="00414224"/>
    <w:rsid w:val="004142E0"/>
    <w:rsid w:val="00414343"/>
    <w:rsid w:val="0041470A"/>
    <w:rsid w:val="00414B7D"/>
    <w:rsid w:val="0041509C"/>
    <w:rsid w:val="004152C8"/>
    <w:rsid w:val="004158C6"/>
    <w:rsid w:val="00415B73"/>
    <w:rsid w:val="00415F8E"/>
    <w:rsid w:val="00416149"/>
    <w:rsid w:val="004162C4"/>
    <w:rsid w:val="00416664"/>
    <w:rsid w:val="004168D4"/>
    <w:rsid w:val="00416A31"/>
    <w:rsid w:val="00417025"/>
    <w:rsid w:val="00417156"/>
    <w:rsid w:val="00417657"/>
    <w:rsid w:val="00420490"/>
    <w:rsid w:val="004205C7"/>
    <w:rsid w:val="00420BCE"/>
    <w:rsid w:val="0042123B"/>
    <w:rsid w:val="0042133B"/>
    <w:rsid w:val="004217F9"/>
    <w:rsid w:val="00421888"/>
    <w:rsid w:val="0042189C"/>
    <w:rsid w:val="00421FD7"/>
    <w:rsid w:val="00422AF4"/>
    <w:rsid w:val="00422B38"/>
    <w:rsid w:val="00423D2A"/>
    <w:rsid w:val="00424D0B"/>
    <w:rsid w:val="00424D9C"/>
    <w:rsid w:val="0042501E"/>
    <w:rsid w:val="00425183"/>
    <w:rsid w:val="004264F3"/>
    <w:rsid w:val="00426A15"/>
    <w:rsid w:val="00426B05"/>
    <w:rsid w:val="00427319"/>
    <w:rsid w:val="00427DCA"/>
    <w:rsid w:val="00430231"/>
    <w:rsid w:val="004311EE"/>
    <w:rsid w:val="0043146F"/>
    <w:rsid w:val="004316F0"/>
    <w:rsid w:val="00431887"/>
    <w:rsid w:val="00431BBD"/>
    <w:rsid w:val="00431D5D"/>
    <w:rsid w:val="00431F10"/>
    <w:rsid w:val="004321A4"/>
    <w:rsid w:val="00432419"/>
    <w:rsid w:val="004328E4"/>
    <w:rsid w:val="00433294"/>
    <w:rsid w:val="0043348B"/>
    <w:rsid w:val="0043348D"/>
    <w:rsid w:val="004334D9"/>
    <w:rsid w:val="004343EA"/>
    <w:rsid w:val="00434B92"/>
    <w:rsid w:val="00434C2D"/>
    <w:rsid w:val="00434FB1"/>
    <w:rsid w:val="00435867"/>
    <w:rsid w:val="00435CA4"/>
    <w:rsid w:val="00435F6A"/>
    <w:rsid w:val="00436251"/>
    <w:rsid w:val="00436F66"/>
    <w:rsid w:val="0043724F"/>
    <w:rsid w:val="00437339"/>
    <w:rsid w:val="004374C7"/>
    <w:rsid w:val="004375CA"/>
    <w:rsid w:val="004403E2"/>
    <w:rsid w:val="004409F4"/>
    <w:rsid w:val="00440C79"/>
    <w:rsid w:val="004410DC"/>
    <w:rsid w:val="00441CDF"/>
    <w:rsid w:val="0044202E"/>
    <w:rsid w:val="00442773"/>
    <w:rsid w:val="00442B11"/>
    <w:rsid w:val="00442BFC"/>
    <w:rsid w:val="00442E1D"/>
    <w:rsid w:val="0044335A"/>
    <w:rsid w:val="00443491"/>
    <w:rsid w:val="004434A1"/>
    <w:rsid w:val="004438D4"/>
    <w:rsid w:val="00443A35"/>
    <w:rsid w:val="00443A88"/>
    <w:rsid w:val="00443AD1"/>
    <w:rsid w:val="00443CD0"/>
    <w:rsid w:val="0044403A"/>
    <w:rsid w:val="004440D2"/>
    <w:rsid w:val="004447BD"/>
    <w:rsid w:val="004448B8"/>
    <w:rsid w:val="00444D1B"/>
    <w:rsid w:val="0044545A"/>
    <w:rsid w:val="00445BE1"/>
    <w:rsid w:val="0044662F"/>
    <w:rsid w:val="004469E5"/>
    <w:rsid w:val="00446C9B"/>
    <w:rsid w:val="00447A35"/>
    <w:rsid w:val="00447F02"/>
    <w:rsid w:val="00450075"/>
    <w:rsid w:val="00450291"/>
    <w:rsid w:val="004505E1"/>
    <w:rsid w:val="00450F3E"/>
    <w:rsid w:val="004514DC"/>
    <w:rsid w:val="0045173E"/>
    <w:rsid w:val="00452938"/>
    <w:rsid w:val="00453BE1"/>
    <w:rsid w:val="00453C65"/>
    <w:rsid w:val="00454411"/>
    <w:rsid w:val="00454649"/>
    <w:rsid w:val="00454748"/>
    <w:rsid w:val="004548A8"/>
    <w:rsid w:val="004549E1"/>
    <w:rsid w:val="00455192"/>
    <w:rsid w:val="004554B2"/>
    <w:rsid w:val="00455D53"/>
    <w:rsid w:val="00456282"/>
    <w:rsid w:val="004564DE"/>
    <w:rsid w:val="004565B3"/>
    <w:rsid w:val="00456728"/>
    <w:rsid w:val="00457407"/>
    <w:rsid w:val="004574FC"/>
    <w:rsid w:val="004577C7"/>
    <w:rsid w:val="00457AED"/>
    <w:rsid w:val="00457ECC"/>
    <w:rsid w:val="00460338"/>
    <w:rsid w:val="00460446"/>
    <w:rsid w:val="00460627"/>
    <w:rsid w:val="004616AB"/>
    <w:rsid w:val="004619EC"/>
    <w:rsid w:val="00461B02"/>
    <w:rsid w:val="00462A70"/>
    <w:rsid w:val="0046399B"/>
    <w:rsid w:val="00464870"/>
    <w:rsid w:val="0046496D"/>
    <w:rsid w:val="00466AD3"/>
    <w:rsid w:val="00467697"/>
    <w:rsid w:val="00467949"/>
    <w:rsid w:val="00467ED9"/>
    <w:rsid w:val="0047045B"/>
    <w:rsid w:val="004707EF"/>
    <w:rsid w:val="00470F30"/>
    <w:rsid w:val="004712CC"/>
    <w:rsid w:val="0047167C"/>
    <w:rsid w:val="00471C5C"/>
    <w:rsid w:val="00472184"/>
    <w:rsid w:val="004721B1"/>
    <w:rsid w:val="00472D16"/>
    <w:rsid w:val="004734AC"/>
    <w:rsid w:val="00473C2D"/>
    <w:rsid w:val="00474264"/>
    <w:rsid w:val="00474ED7"/>
    <w:rsid w:val="004750CF"/>
    <w:rsid w:val="0047513F"/>
    <w:rsid w:val="00475270"/>
    <w:rsid w:val="00475424"/>
    <w:rsid w:val="0047635C"/>
    <w:rsid w:val="0047660C"/>
    <w:rsid w:val="004768B2"/>
    <w:rsid w:val="00476D1E"/>
    <w:rsid w:val="00477C60"/>
    <w:rsid w:val="00477E15"/>
    <w:rsid w:val="00480242"/>
    <w:rsid w:val="00481781"/>
    <w:rsid w:val="00481801"/>
    <w:rsid w:val="00481C66"/>
    <w:rsid w:val="00481E06"/>
    <w:rsid w:val="004822C9"/>
    <w:rsid w:val="00482512"/>
    <w:rsid w:val="00482534"/>
    <w:rsid w:val="004826C5"/>
    <w:rsid w:val="004827EC"/>
    <w:rsid w:val="004828EC"/>
    <w:rsid w:val="004831DC"/>
    <w:rsid w:val="00484081"/>
    <w:rsid w:val="00485EF0"/>
    <w:rsid w:val="00486E80"/>
    <w:rsid w:val="0048712D"/>
    <w:rsid w:val="004874E1"/>
    <w:rsid w:val="00487699"/>
    <w:rsid w:val="004903A8"/>
    <w:rsid w:val="004925C6"/>
    <w:rsid w:val="00492DB7"/>
    <w:rsid w:val="0049350C"/>
    <w:rsid w:val="00493D44"/>
    <w:rsid w:val="00493F2C"/>
    <w:rsid w:val="00494308"/>
    <w:rsid w:val="004944AD"/>
    <w:rsid w:val="00494A72"/>
    <w:rsid w:val="00494E31"/>
    <w:rsid w:val="00495B11"/>
    <w:rsid w:val="0049690D"/>
    <w:rsid w:val="004975EA"/>
    <w:rsid w:val="00497AB5"/>
    <w:rsid w:val="00497DF8"/>
    <w:rsid w:val="004A037F"/>
    <w:rsid w:val="004A0D6B"/>
    <w:rsid w:val="004A1095"/>
    <w:rsid w:val="004A1730"/>
    <w:rsid w:val="004A1ADD"/>
    <w:rsid w:val="004A1B8B"/>
    <w:rsid w:val="004A1E54"/>
    <w:rsid w:val="004A272F"/>
    <w:rsid w:val="004A2B67"/>
    <w:rsid w:val="004A2DB4"/>
    <w:rsid w:val="004A2F9D"/>
    <w:rsid w:val="004A349D"/>
    <w:rsid w:val="004A428B"/>
    <w:rsid w:val="004A459C"/>
    <w:rsid w:val="004A4A99"/>
    <w:rsid w:val="004A527A"/>
    <w:rsid w:val="004A53D0"/>
    <w:rsid w:val="004A5D17"/>
    <w:rsid w:val="004A5F67"/>
    <w:rsid w:val="004A6E92"/>
    <w:rsid w:val="004A7F32"/>
    <w:rsid w:val="004B0185"/>
    <w:rsid w:val="004B04E6"/>
    <w:rsid w:val="004B15DF"/>
    <w:rsid w:val="004B1FFF"/>
    <w:rsid w:val="004B2070"/>
    <w:rsid w:val="004B3334"/>
    <w:rsid w:val="004B3443"/>
    <w:rsid w:val="004B364C"/>
    <w:rsid w:val="004B40E9"/>
    <w:rsid w:val="004B4450"/>
    <w:rsid w:val="004B4D53"/>
    <w:rsid w:val="004B4E87"/>
    <w:rsid w:val="004B55D6"/>
    <w:rsid w:val="004B5696"/>
    <w:rsid w:val="004B5F9F"/>
    <w:rsid w:val="004B6563"/>
    <w:rsid w:val="004B6906"/>
    <w:rsid w:val="004B6BA3"/>
    <w:rsid w:val="004B7153"/>
    <w:rsid w:val="004B7748"/>
    <w:rsid w:val="004B7A32"/>
    <w:rsid w:val="004C031A"/>
    <w:rsid w:val="004C0483"/>
    <w:rsid w:val="004C0703"/>
    <w:rsid w:val="004C1245"/>
    <w:rsid w:val="004C180D"/>
    <w:rsid w:val="004C1BBF"/>
    <w:rsid w:val="004C20C4"/>
    <w:rsid w:val="004C2640"/>
    <w:rsid w:val="004C2687"/>
    <w:rsid w:val="004C2A5B"/>
    <w:rsid w:val="004C34D4"/>
    <w:rsid w:val="004C4437"/>
    <w:rsid w:val="004C4E5D"/>
    <w:rsid w:val="004C565B"/>
    <w:rsid w:val="004C568D"/>
    <w:rsid w:val="004C57E6"/>
    <w:rsid w:val="004C589E"/>
    <w:rsid w:val="004C613C"/>
    <w:rsid w:val="004C6188"/>
    <w:rsid w:val="004C64D7"/>
    <w:rsid w:val="004C6762"/>
    <w:rsid w:val="004C6A8F"/>
    <w:rsid w:val="004C6C34"/>
    <w:rsid w:val="004C6E22"/>
    <w:rsid w:val="004C7364"/>
    <w:rsid w:val="004C7690"/>
    <w:rsid w:val="004C7E73"/>
    <w:rsid w:val="004D0390"/>
    <w:rsid w:val="004D0B02"/>
    <w:rsid w:val="004D0B54"/>
    <w:rsid w:val="004D0DE0"/>
    <w:rsid w:val="004D135D"/>
    <w:rsid w:val="004D17DE"/>
    <w:rsid w:val="004D1AC7"/>
    <w:rsid w:val="004D1F0B"/>
    <w:rsid w:val="004D1FC2"/>
    <w:rsid w:val="004D2299"/>
    <w:rsid w:val="004D240D"/>
    <w:rsid w:val="004D2B7C"/>
    <w:rsid w:val="004D3535"/>
    <w:rsid w:val="004D4689"/>
    <w:rsid w:val="004D4971"/>
    <w:rsid w:val="004D533C"/>
    <w:rsid w:val="004D548C"/>
    <w:rsid w:val="004D618C"/>
    <w:rsid w:val="004D642A"/>
    <w:rsid w:val="004D6D9A"/>
    <w:rsid w:val="004D75CF"/>
    <w:rsid w:val="004D7A72"/>
    <w:rsid w:val="004D7ABC"/>
    <w:rsid w:val="004E0035"/>
    <w:rsid w:val="004E00D4"/>
    <w:rsid w:val="004E04A9"/>
    <w:rsid w:val="004E1455"/>
    <w:rsid w:val="004E2A8D"/>
    <w:rsid w:val="004E3326"/>
    <w:rsid w:val="004E4993"/>
    <w:rsid w:val="004E4A34"/>
    <w:rsid w:val="004E50D4"/>
    <w:rsid w:val="004E5F7F"/>
    <w:rsid w:val="004E668F"/>
    <w:rsid w:val="004E702F"/>
    <w:rsid w:val="004E7F1E"/>
    <w:rsid w:val="004F03D8"/>
    <w:rsid w:val="004F0E3F"/>
    <w:rsid w:val="004F1381"/>
    <w:rsid w:val="004F1B3B"/>
    <w:rsid w:val="004F1FE0"/>
    <w:rsid w:val="004F2353"/>
    <w:rsid w:val="004F2415"/>
    <w:rsid w:val="004F2543"/>
    <w:rsid w:val="004F277B"/>
    <w:rsid w:val="004F2CD3"/>
    <w:rsid w:val="004F3BFF"/>
    <w:rsid w:val="004F3D84"/>
    <w:rsid w:val="004F43A1"/>
    <w:rsid w:val="004F476B"/>
    <w:rsid w:val="004F5392"/>
    <w:rsid w:val="004F5BC9"/>
    <w:rsid w:val="004F62BD"/>
    <w:rsid w:val="004F687F"/>
    <w:rsid w:val="004F7072"/>
    <w:rsid w:val="004F716C"/>
    <w:rsid w:val="004F74B0"/>
    <w:rsid w:val="004F776F"/>
    <w:rsid w:val="004F7782"/>
    <w:rsid w:val="004F7B9C"/>
    <w:rsid w:val="005001B7"/>
    <w:rsid w:val="00500301"/>
    <w:rsid w:val="005005E4"/>
    <w:rsid w:val="005007FC"/>
    <w:rsid w:val="00500A17"/>
    <w:rsid w:val="00500EC9"/>
    <w:rsid w:val="005013F4"/>
    <w:rsid w:val="0050184E"/>
    <w:rsid w:val="00502534"/>
    <w:rsid w:val="00502F6A"/>
    <w:rsid w:val="0050332E"/>
    <w:rsid w:val="0050352C"/>
    <w:rsid w:val="005035D6"/>
    <w:rsid w:val="0050385C"/>
    <w:rsid w:val="00503FA9"/>
    <w:rsid w:val="0050414E"/>
    <w:rsid w:val="00504412"/>
    <w:rsid w:val="0050474B"/>
    <w:rsid w:val="00504E9A"/>
    <w:rsid w:val="00505013"/>
    <w:rsid w:val="00505038"/>
    <w:rsid w:val="0050541E"/>
    <w:rsid w:val="0050581D"/>
    <w:rsid w:val="00505B42"/>
    <w:rsid w:val="00506DBB"/>
    <w:rsid w:val="00507239"/>
    <w:rsid w:val="005073D8"/>
    <w:rsid w:val="00510481"/>
    <w:rsid w:val="00510BAF"/>
    <w:rsid w:val="00510FDB"/>
    <w:rsid w:val="00511FD9"/>
    <w:rsid w:val="005121D9"/>
    <w:rsid w:val="00512806"/>
    <w:rsid w:val="0051297C"/>
    <w:rsid w:val="00512B4B"/>
    <w:rsid w:val="005136E4"/>
    <w:rsid w:val="005140E5"/>
    <w:rsid w:val="00515F75"/>
    <w:rsid w:val="005162EA"/>
    <w:rsid w:val="0051635A"/>
    <w:rsid w:val="00516557"/>
    <w:rsid w:val="00516E8A"/>
    <w:rsid w:val="0051773F"/>
    <w:rsid w:val="005207B1"/>
    <w:rsid w:val="00520959"/>
    <w:rsid w:val="00520960"/>
    <w:rsid w:val="00520D22"/>
    <w:rsid w:val="005212DC"/>
    <w:rsid w:val="0052201D"/>
    <w:rsid w:val="00522CD6"/>
    <w:rsid w:val="00522DD3"/>
    <w:rsid w:val="005237D1"/>
    <w:rsid w:val="00523D87"/>
    <w:rsid w:val="0052518E"/>
    <w:rsid w:val="005251C6"/>
    <w:rsid w:val="00525514"/>
    <w:rsid w:val="00525C91"/>
    <w:rsid w:val="0052640A"/>
    <w:rsid w:val="00526C2D"/>
    <w:rsid w:val="00526CD0"/>
    <w:rsid w:val="00527825"/>
    <w:rsid w:val="00527BD6"/>
    <w:rsid w:val="00527F46"/>
    <w:rsid w:val="0053064B"/>
    <w:rsid w:val="005306DA"/>
    <w:rsid w:val="00530D2E"/>
    <w:rsid w:val="00531042"/>
    <w:rsid w:val="00532323"/>
    <w:rsid w:val="0053253E"/>
    <w:rsid w:val="00532B07"/>
    <w:rsid w:val="0053362D"/>
    <w:rsid w:val="00533803"/>
    <w:rsid w:val="0053406F"/>
    <w:rsid w:val="00534BDF"/>
    <w:rsid w:val="0053517F"/>
    <w:rsid w:val="00536B22"/>
    <w:rsid w:val="005374A3"/>
    <w:rsid w:val="00537685"/>
    <w:rsid w:val="00537E69"/>
    <w:rsid w:val="00540288"/>
    <w:rsid w:val="005403C8"/>
    <w:rsid w:val="00540526"/>
    <w:rsid w:val="00540E34"/>
    <w:rsid w:val="00540E60"/>
    <w:rsid w:val="00540FE1"/>
    <w:rsid w:val="00541E65"/>
    <w:rsid w:val="005420EE"/>
    <w:rsid w:val="005422A5"/>
    <w:rsid w:val="00542A51"/>
    <w:rsid w:val="00542F8C"/>
    <w:rsid w:val="005436F5"/>
    <w:rsid w:val="00544BDA"/>
    <w:rsid w:val="00544E02"/>
    <w:rsid w:val="005459BF"/>
    <w:rsid w:val="00545DBA"/>
    <w:rsid w:val="00546FA0"/>
    <w:rsid w:val="00546FEB"/>
    <w:rsid w:val="00547626"/>
    <w:rsid w:val="00547DF4"/>
    <w:rsid w:val="005500FE"/>
    <w:rsid w:val="0055028F"/>
    <w:rsid w:val="0055039D"/>
    <w:rsid w:val="00550690"/>
    <w:rsid w:val="00550A93"/>
    <w:rsid w:val="00550D4D"/>
    <w:rsid w:val="00551F6F"/>
    <w:rsid w:val="0055364D"/>
    <w:rsid w:val="00553655"/>
    <w:rsid w:val="00553B51"/>
    <w:rsid w:val="00553F5A"/>
    <w:rsid w:val="00554927"/>
    <w:rsid w:val="00554ABB"/>
    <w:rsid w:val="00555079"/>
    <w:rsid w:val="0055525E"/>
    <w:rsid w:val="00555598"/>
    <w:rsid w:val="00555AD2"/>
    <w:rsid w:val="00555B93"/>
    <w:rsid w:val="0055697E"/>
    <w:rsid w:val="00556E8B"/>
    <w:rsid w:val="005575D6"/>
    <w:rsid w:val="00557986"/>
    <w:rsid w:val="0056026A"/>
    <w:rsid w:val="00560494"/>
    <w:rsid w:val="005604DA"/>
    <w:rsid w:val="00560AA8"/>
    <w:rsid w:val="00561FCB"/>
    <w:rsid w:val="005623C8"/>
    <w:rsid w:val="00563320"/>
    <w:rsid w:val="005649B3"/>
    <w:rsid w:val="00564E67"/>
    <w:rsid w:val="0056533B"/>
    <w:rsid w:val="005653FD"/>
    <w:rsid w:val="005654C4"/>
    <w:rsid w:val="00565B05"/>
    <w:rsid w:val="00565B63"/>
    <w:rsid w:val="005661D4"/>
    <w:rsid w:val="005664CA"/>
    <w:rsid w:val="00566BD6"/>
    <w:rsid w:val="00566CFF"/>
    <w:rsid w:val="00567132"/>
    <w:rsid w:val="005674F5"/>
    <w:rsid w:val="00567EFD"/>
    <w:rsid w:val="0057086E"/>
    <w:rsid w:val="00570D13"/>
    <w:rsid w:val="00570D81"/>
    <w:rsid w:val="00570E47"/>
    <w:rsid w:val="005718CA"/>
    <w:rsid w:val="00571929"/>
    <w:rsid w:val="00572331"/>
    <w:rsid w:val="00572AA3"/>
    <w:rsid w:val="00572F32"/>
    <w:rsid w:val="00572FAB"/>
    <w:rsid w:val="00573188"/>
    <w:rsid w:val="00573E3B"/>
    <w:rsid w:val="00573E9D"/>
    <w:rsid w:val="0057445A"/>
    <w:rsid w:val="00574700"/>
    <w:rsid w:val="00575185"/>
    <w:rsid w:val="005755D8"/>
    <w:rsid w:val="00576078"/>
    <w:rsid w:val="005760BF"/>
    <w:rsid w:val="0057669C"/>
    <w:rsid w:val="00576826"/>
    <w:rsid w:val="00576FF3"/>
    <w:rsid w:val="0057733B"/>
    <w:rsid w:val="0057746F"/>
    <w:rsid w:val="00577CF8"/>
    <w:rsid w:val="00577D69"/>
    <w:rsid w:val="005803AE"/>
    <w:rsid w:val="00580DA1"/>
    <w:rsid w:val="00581033"/>
    <w:rsid w:val="005811A0"/>
    <w:rsid w:val="00581C56"/>
    <w:rsid w:val="00581C78"/>
    <w:rsid w:val="005826CF"/>
    <w:rsid w:val="00582FCB"/>
    <w:rsid w:val="0058417B"/>
    <w:rsid w:val="005847E4"/>
    <w:rsid w:val="00584820"/>
    <w:rsid w:val="00584874"/>
    <w:rsid w:val="00584BB2"/>
    <w:rsid w:val="00584CAB"/>
    <w:rsid w:val="00585055"/>
    <w:rsid w:val="005855B5"/>
    <w:rsid w:val="005861E1"/>
    <w:rsid w:val="005862A3"/>
    <w:rsid w:val="0058707F"/>
    <w:rsid w:val="005906F4"/>
    <w:rsid w:val="00591231"/>
    <w:rsid w:val="00591849"/>
    <w:rsid w:val="00591A91"/>
    <w:rsid w:val="0059228C"/>
    <w:rsid w:val="005927EE"/>
    <w:rsid w:val="00592C85"/>
    <w:rsid w:val="00593298"/>
    <w:rsid w:val="00593704"/>
    <w:rsid w:val="0059478D"/>
    <w:rsid w:val="00594938"/>
    <w:rsid w:val="0059529B"/>
    <w:rsid w:val="005959BC"/>
    <w:rsid w:val="00595C4E"/>
    <w:rsid w:val="00596AF3"/>
    <w:rsid w:val="0059741B"/>
    <w:rsid w:val="005975D0"/>
    <w:rsid w:val="00597826"/>
    <w:rsid w:val="00597D09"/>
    <w:rsid w:val="005A0BAF"/>
    <w:rsid w:val="005A103D"/>
    <w:rsid w:val="005A10BC"/>
    <w:rsid w:val="005A1201"/>
    <w:rsid w:val="005A12B2"/>
    <w:rsid w:val="005A24E8"/>
    <w:rsid w:val="005A2920"/>
    <w:rsid w:val="005A2CF3"/>
    <w:rsid w:val="005A3174"/>
    <w:rsid w:val="005A3240"/>
    <w:rsid w:val="005A33BB"/>
    <w:rsid w:val="005A37B4"/>
    <w:rsid w:val="005A496B"/>
    <w:rsid w:val="005A49B7"/>
    <w:rsid w:val="005A4CC5"/>
    <w:rsid w:val="005A4DCF"/>
    <w:rsid w:val="005A5079"/>
    <w:rsid w:val="005A50B4"/>
    <w:rsid w:val="005A518C"/>
    <w:rsid w:val="005A5BCF"/>
    <w:rsid w:val="005A5C66"/>
    <w:rsid w:val="005A5E9A"/>
    <w:rsid w:val="005A602B"/>
    <w:rsid w:val="005A6D02"/>
    <w:rsid w:val="005A77A5"/>
    <w:rsid w:val="005A784E"/>
    <w:rsid w:val="005A78B2"/>
    <w:rsid w:val="005B05EE"/>
    <w:rsid w:val="005B08AA"/>
    <w:rsid w:val="005B14B5"/>
    <w:rsid w:val="005B1D00"/>
    <w:rsid w:val="005B1E5C"/>
    <w:rsid w:val="005B2030"/>
    <w:rsid w:val="005B2354"/>
    <w:rsid w:val="005B2415"/>
    <w:rsid w:val="005B2467"/>
    <w:rsid w:val="005B349B"/>
    <w:rsid w:val="005B3EA3"/>
    <w:rsid w:val="005B4535"/>
    <w:rsid w:val="005B47C5"/>
    <w:rsid w:val="005B5027"/>
    <w:rsid w:val="005B51AA"/>
    <w:rsid w:val="005B5C4F"/>
    <w:rsid w:val="005B64CD"/>
    <w:rsid w:val="005B692D"/>
    <w:rsid w:val="005B6CFC"/>
    <w:rsid w:val="005B6D5C"/>
    <w:rsid w:val="005B6E36"/>
    <w:rsid w:val="005B7A52"/>
    <w:rsid w:val="005B7A70"/>
    <w:rsid w:val="005C0445"/>
    <w:rsid w:val="005C05D1"/>
    <w:rsid w:val="005C0C24"/>
    <w:rsid w:val="005C13C4"/>
    <w:rsid w:val="005C15FF"/>
    <w:rsid w:val="005C1FC2"/>
    <w:rsid w:val="005C2AD2"/>
    <w:rsid w:val="005C2BAE"/>
    <w:rsid w:val="005C3212"/>
    <w:rsid w:val="005C323B"/>
    <w:rsid w:val="005C41FD"/>
    <w:rsid w:val="005C4BF9"/>
    <w:rsid w:val="005C4D41"/>
    <w:rsid w:val="005C5049"/>
    <w:rsid w:val="005C67B8"/>
    <w:rsid w:val="005C6D40"/>
    <w:rsid w:val="005C7649"/>
    <w:rsid w:val="005C7A73"/>
    <w:rsid w:val="005C7DE2"/>
    <w:rsid w:val="005D0122"/>
    <w:rsid w:val="005D0954"/>
    <w:rsid w:val="005D0A72"/>
    <w:rsid w:val="005D0B35"/>
    <w:rsid w:val="005D0B9E"/>
    <w:rsid w:val="005D1CD4"/>
    <w:rsid w:val="005D1FA9"/>
    <w:rsid w:val="005D22E2"/>
    <w:rsid w:val="005D2307"/>
    <w:rsid w:val="005D2AA7"/>
    <w:rsid w:val="005D2CF1"/>
    <w:rsid w:val="005D2E60"/>
    <w:rsid w:val="005D2FAA"/>
    <w:rsid w:val="005D3D52"/>
    <w:rsid w:val="005D48B5"/>
    <w:rsid w:val="005D4B21"/>
    <w:rsid w:val="005D5D24"/>
    <w:rsid w:val="005D6671"/>
    <w:rsid w:val="005D68A7"/>
    <w:rsid w:val="005D6FFE"/>
    <w:rsid w:val="005D7206"/>
    <w:rsid w:val="005D7308"/>
    <w:rsid w:val="005E011A"/>
    <w:rsid w:val="005E0279"/>
    <w:rsid w:val="005E02A1"/>
    <w:rsid w:val="005E1E35"/>
    <w:rsid w:val="005E2162"/>
    <w:rsid w:val="005E225C"/>
    <w:rsid w:val="005E2429"/>
    <w:rsid w:val="005E24E2"/>
    <w:rsid w:val="005E2C69"/>
    <w:rsid w:val="005E2C93"/>
    <w:rsid w:val="005E34EA"/>
    <w:rsid w:val="005E387C"/>
    <w:rsid w:val="005E46BE"/>
    <w:rsid w:val="005E4CCB"/>
    <w:rsid w:val="005E4FCF"/>
    <w:rsid w:val="005E5430"/>
    <w:rsid w:val="005E5E2B"/>
    <w:rsid w:val="005E688E"/>
    <w:rsid w:val="005E69EF"/>
    <w:rsid w:val="005E700B"/>
    <w:rsid w:val="005E71B7"/>
    <w:rsid w:val="005E734B"/>
    <w:rsid w:val="005E77A0"/>
    <w:rsid w:val="005E79F6"/>
    <w:rsid w:val="005F0379"/>
    <w:rsid w:val="005F040F"/>
    <w:rsid w:val="005F0EFA"/>
    <w:rsid w:val="005F10ED"/>
    <w:rsid w:val="005F162B"/>
    <w:rsid w:val="005F19C5"/>
    <w:rsid w:val="005F1CD4"/>
    <w:rsid w:val="005F2466"/>
    <w:rsid w:val="005F24EF"/>
    <w:rsid w:val="005F3112"/>
    <w:rsid w:val="005F33FE"/>
    <w:rsid w:val="005F37BE"/>
    <w:rsid w:val="005F3C9F"/>
    <w:rsid w:val="005F3E15"/>
    <w:rsid w:val="005F4498"/>
    <w:rsid w:val="005F6764"/>
    <w:rsid w:val="005F7283"/>
    <w:rsid w:val="005F72B9"/>
    <w:rsid w:val="005F7331"/>
    <w:rsid w:val="005F75C0"/>
    <w:rsid w:val="005F78E6"/>
    <w:rsid w:val="005F7AC5"/>
    <w:rsid w:val="005F7B25"/>
    <w:rsid w:val="00600397"/>
    <w:rsid w:val="00600859"/>
    <w:rsid w:val="006008AC"/>
    <w:rsid w:val="00600E17"/>
    <w:rsid w:val="00600EC7"/>
    <w:rsid w:val="00601049"/>
    <w:rsid w:val="006012DF"/>
    <w:rsid w:val="00601AB5"/>
    <w:rsid w:val="006026BE"/>
    <w:rsid w:val="00602A4B"/>
    <w:rsid w:val="006034CD"/>
    <w:rsid w:val="00603BD6"/>
    <w:rsid w:val="00604BC8"/>
    <w:rsid w:val="00605860"/>
    <w:rsid w:val="00605BB6"/>
    <w:rsid w:val="00607130"/>
    <w:rsid w:val="00607349"/>
    <w:rsid w:val="00607533"/>
    <w:rsid w:val="00607B4C"/>
    <w:rsid w:val="0061077D"/>
    <w:rsid w:val="00610C53"/>
    <w:rsid w:val="00612039"/>
    <w:rsid w:val="00612665"/>
    <w:rsid w:val="0061285C"/>
    <w:rsid w:val="0061341F"/>
    <w:rsid w:val="006136CB"/>
    <w:rsid w:val="00613EE7"/>
    <w:rsid w:val="0061404D"/>
    <w:rsid w:val="00614309"/>
    <w:rsid w:val="00614474"/>
    <w:rsid w:val="00614DEA"/>
    <w:rsid w:val="00615050"/>
    <w:rsid w:val="006150DD"/>
    <w:rsid w:val="0061526C"/>
    <w:rsid w:val="00615629"/>
    <w:rsid w:val="00615837"/>
    <w:rsid w:val="00615A2A"/>
    <w:rsid w:val="00616080"/>
    <w:rsid w:val="0061608B"/>
    <w:rsid w:val="006163DD"/>
    <w:rsid w:val="0062050A"/>
    <w:rsid w:val="00620846"/>
    <w:rsid w:val="00620D08"/>
    <w:rsid w:val="00621735"/>
    <w:rsid w:val="00621EDB"/>
    <w:rsid w:val="0062219D"/>
    <w:rsid w:val="006221F8"/>
    <w:rsid w:val="0062234B"/>
    <w:rsid w:val="006228C8"/>
    <w:rsid w:val="00623D4A"/>
    <w:rsid w:val="006241F7"/>
    <w:rsid w:val="0062434B"/>
    <w:rsid w:val="006244EB"/>
    <w:rsid w:val="00624682"/>
    <w:rsid w:val="00624C9A"/>
    <w:rsid w:val="00625775"/>
    <w:rsid w:val="00626196"/>
    <w:rsid w:val="00626B52"/>
    <w:rsid w:val="00626E21"/>
    <w:rsid w:val="00627055"/>
    <w:rsid w:val="00627D6F"/>
    <w:rsid w:val="00627DE7"/>
    <w:rsid w:val="00630539"/>
    <w:rsid w:val="00630865"/>
    <w:rsid w:val="00630F87"/>
    <w:rsid w:val="00631C2C"/>
    <w:rsid w:val="00631E8F"/>
    <w:rsid w:val="00632453"/>
    <w:rsid w:val="00632796"/>
    <w:rsid w:val="00632873"/>
    <w:rsid w:val="0063306C"/>
    <w:rsid w:val="00633331"/>
    <w:rsid w:val="00633618"/>
    <w:rsid w:val="00634042"/>
    <w:rsid w:val="0063417E"/>
    <w:rsid w:val="00634244"/>
    <w:rsid w:val="0063445E"/>
    <w:rsid w:val="006345BF"/>
    <w:rsid w:val="006351A0"/>
    <w:rsid w:val="0063538C"/>
    <w:rsid w:val="0063574B"/>
    <w:rsid w:val="00635DD4"/>
    <w:rsid w:val="0063610E"/>
    <w:rsid w:val="006367E1"/>
    <w:rsid w:val="00636AC5"/>
    <w:rsid w:val="00636BBA"/>
    <w:rsid w:val="00636D6E"/>
    <w:rsid w:val="00636E6D"/>
    <w:rsid w:val="00636F91"/>
    <w:rsid w:val="00637504"/>
    <w:rsid w:val="00640E64"/>
    <w:rsid w:val="00641640"/>
    <w:rsid w:val="00642F2E"/>
    <w:rsid w:val="00642FB5"/>
    <w:rsid w:val="006431B6"/>
    <w:rsid w:val="0064352B"/>
    <w:rsid w:val="00643BAC"/>
    <w:rsid w:val="00644024"/>
    <w:rsid w:val="006441E3"/>
    <w:rsid w:val="00644DA6"/>
    <w:rsid w:val="00644F2D"/>
    <w:rsid w:val="00645335"/>
    <w:rsid w:val="00645489"/>
    <w:rsid w:val="00645A4B"/>
    <w:rsid w:val="00645DFC"/>
    <w:rsid w:val="00646E09"/>
    <w:rsid w:val="00647E59"/>
    <w:rsid w:val="00650094"/>
    <w:rsid w:val="00650197"/>
    <w:rsid w:val="006502C5"/>
    <w:rsid w:val="00650B97"/>
    <w:rsid w:val="006512B8"/>
    <w:rsid w:val="00651534"/>
    <w:rsid w:val="00651FD8"/>
    <w:rsid w:val="006523D6"/>
    <w:rsid w:val="00652960"/>
    <w:rsid w:val="00652ED3"/>
    <w:rsid w:val="00653240"/>
    <w:rsid w:val="006534D4"/>
    <w:rsid w:val="00653570"/>
    <w:rsid w:val="0065361C"/>
    <w:rsid w:val="00653765"/>
    <w:rsid w:val="006538B6"/>
    <w:rsid w:val="006538C6"/>
    <w:rsid w:val="00653C91"/>
    <w:rsid w:val="006549AC"/>
    <w:rsid w:val="00654B74"/>
    <w:rsid w:val="00654F06"/>
    <w:rsid w:val="00655043"/>
    <w:rsid w:val="006557B3"/>
    <w:rsid w:val="00655A9E"/>
    <w:rsid w:val="00655E30"/>
    <w:rsid w:val="00656F3C"/>
    <w:rsid w:val="006570D3"/>
    <w:rsid w:val="006603E6"/>
    <w:rsid w:val="00660C80"/>
    <w:rsid w:val="0066119F"/>
    <w:rsid w:val="00661629"/>
    <w:rsid w:val="00661884"/>
    <w:rsid w:val="00661B8B"/>
    <w:rsid w:val="00661CF2"/>
    <w:rsid w:val="00661EA3"/>
    <w:rsid w:val="00662027"/>
    <w:rsid w:val="006622F0"/>
    <w:rsid w:val="006630D6"/>
    <w:rsid w:val="006634F8"/>
    <w:rsid w:val="0066353F"/>
    <w:rsid w:val="00663A2C"/>
    <w:rsid w:val="00663B1D"/>
    <w:rsid w:val="00663BB8"/>
    <w:rsid w:val="00664486"/>
    <w:rsid w:val="00664A86"/>
    <w:rsid w:val="00664CED"/>
    <w:rsid w:val="00664D3C"/>
    <w:rsid w:val="0066512D"/>
    <w:rsid w:val="00665326"/>
    <w:rsid w:val="0066598E"/>
    <w:rsid w:val="0066599E"/>
    <w:rsid w:val="00665DA2"/>
    <w:rsid w:val="006662A3"/>
    <w:rsid w:val="006662F2"/>
    <w:rsid w:val="0066634E"/>
    <w:rsid w:val="0066662A"/>
    <w:rsid w:val="00666897"/>
    <w:rsid w:val="00666A60"/>
    <w:rsid w:val="0066771B"/>
    <w:rsid w:val="00667BB0"/>
    <w:rsid w:val="00667CC0"/>
    <w:rsid w:val="0067068B"/>
    <w:rsid w:val="0067073C"/>
    <w:rsid w:val="00670815"/>
    <w:rsid w:val="00671303"/>
    <w:rsid w:val="00671657"/>
    <w:rsid w:val="006719C6"/>
    <w:rsid w:val="00671CD0"/>
    <w:rsid w:val="00672011"/>
    <w:rsid w:val="00672CE6"/>
    <w:rsid w:val="00673445"/>
    <w:rsid w:val="0067364A"/>
    <w:rsid w:val="00674D5B"/>
    <w:rsid w:val="006752B9"/>
    <w:rsid w:val="00675350"/>
    <w:rsid w:val="0067546A"/>
    <w:rsid w:val="0067617A"/>
    <w:rsid w:val="00676A72"/>
    <w:rsid w:val="00676B25"/>
    <w:rsid w:val="00676D67"/>
    <w:rsid w:val="006801C2"/>
    <w:rsid w:val="006802E2"/>
    <w:rsid w:val="006806C1"/>
    <w:rsid w:val="00680BFB"/>
    <w:rsid w:val="00680CA3"/>
    <w:rsid w:val="00680FDC"/>
    <w:rsid w:val="00681080"/>
    <w:rsid w:val="00681D18"/>
    <w:rsid w:val="0068243C"/>
    <w:rsid w:val="0068332F"/>
    <w:rsid w:val="0068379E"/>
    <w:rsid w:val="00683BF4"/>
    <w:rsid w:val="00683D52"/>
    <w:rsid w:val="00684445"/>
    <w:rsid w:val="00684461"/>
    <w:rsid w:val="00684C14"/>
    <w:rsid w:val="00685659"/>
    <w:rsid w:val="00685928"/>
    <w:rsid w:val="0068597B"/>
    <w:rsid w:val="00686685"/>
    <w:rsid w:val="00686771"/>
    <w:rsid w:val="00687545"/>
    <w:rsid w:val="00690515"/>
    <w:rsid w:val="00690A54"/>
    <w:rsid w:val="00690C94"/>
    <w:rsid w:val="006910C2"/>
    <w:rsid w:val="006911A4"/>
    <w:rsid w:val="006911FA"/>
    <w:rsid w:val="006921EF"/>
    <w:rsid w:val="00692BF8"/>
    <w:rsid w:val="00692C89"/>
    <w:rsid w:val="00693686"/>
    <w:rsid w:val="00693EC6"/>
    <w:rsid w:val="00694132"/>
    <w:rsid w:val="006947EA"/>
    <w:rsid w:val="00695138"/>
    <w:rsid w:val="006952B4"/>
    <w:rsid w:val="0069566D"/>
    <w:rsid w:val="00695B75"/>
    <w:rsid w:val="00695F5D"/>
    <w:rsid w:val="00696342"/>
    <w:rsid w:val="00696B83"/>
    <w:rsid w:val="00696ECB"/>
    <w:rsid w:val="00696F2A"/>
    <w:rsid w:val="00697331"/>
    <w:rsid w:val="0069766D"/>
    <w:rsid w:val="006A005E"/>
    <w:rsid w:val="006A0501"/>
    <w:rsid w:val="006A127F"/>
    <w:rsid w:val="006A1EC5"/>
    <w:rsid w:val="006A2667"/>
    <w:rsid w:val="006A388C"/>
    <w:rsid w:val="006A3A24"/>
    <w:rsid w:val="006A3DBC"/>
    <w:rsid w:val="006A4BBB"/>
    <w:rsid w:val="006A4E0F"/>
    <w:rsid w:val="006A4F97"/>
    <w:rsid w:val="006A500B"/>
    <w:rsid w:val="006A5034"/>
    <w:rsid w:val="006A560D"/>
    <w:rsid w:val="006A58CA"/>
    <w:rsid w:val="006A58E7"/>
    <w:rsid w:val="006A5C0E"/>
    <w:rsid w:val="006A5D2B"/>
    <w:rsid w:val="006A6039"/>
    <w:rsid w:val="006A7F76"/>
    <w:rsid w:val="006A7FC9"/>
    <w:rsid w:val="006B031F"/>
    <w:rsid w:val="006B0592"/>
    <w:rsid w:val="006B11E6"/>
    <w:rsid w:val="006B12A8"/>
    <w:rsid w:val="006B218B"/>
    <w:rsid w:val="006B257A"/>
    <w:rsid w:val="006B2686"/>
    <w:rsid w:val="006B28D3"/>
    <w:rsid w:val="006B2BDC"/>
    <w:rsid w:val="006B2C19"/>
    <w:rsid w:val="006B3179"/>
    <w:rsid w:val="006B3AE5"/>
    <w:rsid w:val="006B4316"/>
    <w:rsid w:val="006B4CA9"/>
    <w:rsid w:val="006B5917"/>
    <w:rsid w:val="006B6729"/>
    <w:rsid w:val="006B6AF9"/>
    <w:rsid w:val="006B7075"/>
    <w:rsid w:val="006B7458"/>
    <w:rsid w:val="006B793C"/>
    <w:rsid w:val="006B7CAD"/>
    <w:rsid w:val="006C0454"/>
    <w:rsid w:val="006C1771"/>
    <w:rsid w:val="006C1896"/>
    <w:rsid w:val="006C1A30"/>
    <w:rsid w:val="006C1D39"/>
    <w:rsid w:val="006C1FDB"/>
    <w:rsid w:val="006C25C5"/>
    <w:rsid w:val="006C2655"/>
    <w:rsid w:val="006C28D3"/>
    <w:rsid w:val="006C2B1F"/>
    <w:rsid w:val="006C48EE"/>
    <w:rsid w:val="006C4997"/>
    <w:rsid w:val="006C4EC2"/>
    <w:rsid w:val="006C4EE7"/>
    <w:rsid w:val="006C527F"/>
    <w:rsid w:val="006C5769"/>
    <w:rsid w:val="006C59C9"/>
    <w:rsid w:val="006C5BA6"/>
    <w:rsid w:val="006C5BD9"/>
    <w:rsid w:val="006C613D"/>
    <w:rsid w:val="006C694E"/>
    <w:rsid w:val="006C6BA0"/>
    <w:rsid w:val="006C6CEC"/>
    <w:rsid w:val="006C726C"/>
    <w:rsid w:val="006C7C7D"/>
    <w:rsid w:val="006D0892"/>
    <w:rsid w:val="006D0C58"/>
    <w:rsid w:val="006D1206"/>
    <w:rsid w:val="006D1358"/>
    <w:rsid w:val="006D14E2"/>
    <w:rsid w:val="006D2D84"/>
    <w:rsid w:val="006D2F27"/>
    <w:rsid w:val="006D3103"/>
    <w:rsid w:val="006D38D5"/>
    <w:rsid w:val="006D395F"/>
    <w:rsid w:val="006D3DAD"/>
    <w:rsid w:val="006D437E"/>
    <w:rsid w:val="006D556F"/>
    <w:rsid w:val="006D5C91"/>
    <w:rsid w:val="006D6206"/>
    <w:rsid w:val="006D6B3F"/>
    <w:rsid w:val="006D711F"/>
    <w:rsid w:val="006D7762"/>
    <w:rsid w:val="006D77C9"/>
    <w:rsid w:val="006D7BFE"/>
    <w:rsid w:val="006D7DF0"/>
    <w:rsid w:val="006D7FD6"/>
    <w:rsid w:val="006E0138"/>
    <w:rsid w:val="006E021E"/>
    <w:rsid w:val="006E0678"/>
    <w:rsid w:val="006E0767"/>
    <w:rsid w:val="006E1023"/>
    <w:rsid w:val="006E1EBB"/>
    <w:rsid w:val="006E22FB"/>
    <w:rsid w:val="006E2806"/>
    <w:rsid w:val="006E3268"/>
    <w:rsid w:val="006E3557"/>
    <w:rsid w:val="006E3866"/>
    <w:rsid w:val="006E38C9"/>
    <w:rsid w:val="006E3A27"/>
    <w:rsid w:val="006E41DE"/>
    <w:rsid w:val="006E4B8B"/>
    <w:rsid w:val="006E4DFD"/>
    <w:rsid w:val="006E4E90"/>
    <w:rsid w:val="006E51D4"/>
    <w:rsid w:val="006E5257"/>
    <w:rsid w:val="006E548D"/>
    <w:rsid w:val="006E5639"/>
    <w:rsid w:val="006E5931"/>
    <w:rsid w:val="006E6235"/>
    <w:rsid w:val="006E68E0"/>
    <w:rsid w:val="006E6AD2"/>
    <w:rsid w:val="006E7353"/>
    <w:rsid w:val="006E7D29"/>
    <w:rsid w:val="006F0927"/>
    <w:rsid w:val="006F10D8"/>
    <w:rsid w:val="006F152A"/>
    <w:rsid w:val="006F1659"/>
    <w:rsid w:val="006F1708"/>
    <w:rsid w:val="006F29F0"/>
    <w:rsid w:val="006F3414"/>
    <w:rsid w:val="006F373A"/>
    <w:rsid w:val="006F3D87"/>
    <w:rsid w:val="006F3E5C"/>
    <w:rsid w:val="006F42CE"/>
    <w:rsid w:val="006F5704"/>
    <w:rsid w:val="006F57F3"/>
    <w:rsid w:val="006F6014"/>
    <w:rsid w:val="006F6F72"/>
    <w:rsid w:val="006F798E"/>
    <w:rsid w:val="006F7BA7"/>
    <w:rsid w:val="006F7CEE"/>
    <w:rsid w:val="006F7E57"/>
    <w:rsid w:val="006F7E80"/>
    <w:rsid w:val="007004FF"/>
    <w:rsid w:val="00700580"/>
    <w:rsid w:val="007008F2"/>
    <w:rsid w:val="00701023"/>
    <w:rsid w:val="0070250D"/>
    <w:rsid w:val="00702EBC"/>
    <w:rsid w:val="00703212"/>
    <w:rsid w:val="007035F2"/>
    <w:rsid w:val="0070379C"/>
    <w:rsid w:val="00703877"/>
    <w:rsid w:val="007048B7"/>
    <w:rsid w:val="00704AB4"/>
    <w:rsid w:val="00705091"/>
    <w:rsid w:val="0070556A"/>
    <w:rsid w:val="00705927"/>
    <w:rsid w:val="00705D83"/>
    <w:rsid w:val="007067C5"/>
    <w:rsid w:val="00706871"/>
    <w:rsid w:val="00706D8B"/>
    <w:rsid w:val="00707495"/>
    <w:rsid w:val="00707CAD"/>
    <w:rsid w:val="00710301"/>
    <w:rsid w:val="00710C98"/>
    <w:rsid w:val="007117AA"/>
    <w:rsid w:val="00711E31"/>
    <w:rsid w:val="00712762"/>
    <w:rsid w:val="00712DBF"/>
    <w:rsid w:val="0071318E"/>
    <w:rsid w:val="00713C31"/>
    <w:rsid w:val="0071436A"/>
    <w:rsid w:val="00714B52"/>
    <w:rsid w:val="007150B1"/>
    <w:rsid w:val="007157FB"/>
    <w:rsid w:val="00716E78"/>
    <w:rsid w:val="00717070"/>
    <w:rsid w:val="00717540"/>
    <w:rsid w:val="00720366"/>
    <w:rsid w:val="00720441"/>
    <w:rsid w:val="007205EC"/>
    <w:rsid w:val="00720990"/>
    <w:rsid w:val="00720B50"/>
    <w:rsid w:val="00720C6E"/>
    <w:rsid w:val="00720E95"/>
    <w:rsid w:val="007212A9"/>
    <w:rsid w:val="007216BC"/>
    <w:rsid w:val="00721D7C"/>
    <w:rsid w:val="0072215B"/>
    <w:rsid w:val="00722527"/>
    <w:rsid w:val="00722A98"/>
    <w:rsid w:val="0072315D"/>
    <w:rsid w:val="007236B9"/>
    <w:rsid w:val="0072399E"/>
    <w:rsid w:val="00723A8B"/>
    <w:rsid w:val="00723AF1"/>
    <w:rsid w:val="00723C51"/>
    <w:rsid w:val="00723F76"/>
    <w:rsid w:val="00724E50"/>
    <w:rsid w:val="00724FAF"/>
    <w:rsid w:val="007277CE"/>
    <w:rsid w:val="00727CD7"/>
    <w:rsid w:val="007300C9"/>
    <w:rsid w:val="00730DA8"/>
    <w:rsid w:val="0073148D"/>
    <w:rsid w:val="00731499"/>
    <w:rsid w:val="0073153E"/>
    <w:rsid w:val="007316F8"/>
    <w:rsid w:val="00731D8E"/>
    <w:rsid w:val="007330B9"/>
    <w:rsid w:val="007335C0"/>
    <w:rsid w:val="0073361E"/>
    <w:rsid w:val="00733AE4"/>
    <w:rsid w:val="00733E9C"/>
    <w:rsid w:val="0073402E"/>
    <w:rsid w:val="00734772"/>
    <w:rsid w:val="00734C6C"/>
    <w:rsid w:val="00734EB7"/>
    <w:rsid w:val="00735EFA"/>
    <w:rsid w:val="0073605B"/>
    <w:rsid w:val="00736AFB"/>
    <w:rsid w:val="00737917"/>
    <w:rsid w:val="007379DB"/>
    <w:rsid w:val="0074080C"/>
    <w:rsid w:val="00741693"/>
    <w:rsid w:val="00741725"/>
    <w:rsid w:val="00741AA5"/>
    <w:rsid w:val="00741BB2"/>
    <w:rsid w:val="00741DF7"/>
    <w:rsid w:val="00741F2E"/>
    <w:rsid w:val="00741F7C"/>
    <w:rsid w:val="00742F04"/>
    <w:rsid w:val="00743123"/>
    <w:rsid w:val="007431E8"/>
    <w:rsid w:val="007437A2"/>
    <w:rsid w:val="007443D1"/>
    <w:rsid w:val="0074457C"/>
    <w:rsid w:val="0074495E"/>
    <w:rsid w:val="00744EC4"/>
    <w:rsid w:val="00745191"/>
    <w:rsid w:val="007456CD"/>
    <w:rsid w:val="007458A6"/>
    <w:rsid w:val="00745B80"/>
    <w:rsid w:val="00745F40"/>
    <w:rsid w:val="00746751"/>
    <w:rsid w:val="00746787"/>
    <w:rsid w:val="0074689D"/>
    <w:rsid w:val="00747552"/>
    <w:rsid w:val="00747BC2"/>
    <w:rsid w:val="00747D03"/>
    <w:rsid w:val="00747F83"/>
    <w:rsid w:val="0075019D"/>
    <w:rsid w:val="0075106C"/>
    <w:rsid w:val="0075118E"/>
    <w:rsid w:val="007511E5"/>
    <w:rsid w:val="007518C5"/>
    <w:rsid w:val="00751E31"/>
    <w:rsid w:val="0075223A"/>
    <w:rsid w:val="00752422"/>
    <w:rsid w:val="00752713"/>
    <w:rsid w:val="0075413C"/>
    <w:rsid w:val="0075461E"/>
    <w:rsid w:val="007549D0"/>
    <w:rsid w:val="00754D47"/>
    <w:rsid w:val="00755FA5"/>
    <w:rsid w:val="007560DE"/>
    <w:rsid w:val="00756DCF"/>
    <w:rsid w:val="00757027"/>
    <w:rsid w:val="00757354"/>
    <w:rsid w:val="0075778E"/>
    <w:rsid w:val="007579C7"/>
    <w:rsid w:val="00757A31"/>
    <w:rsid w:val="00757BC0"/>
    <w:rsid w:val="00760E9E"/>
    <w:rsid w:val="0076105C"/>
    <w:rsid w:val="007610F7"/>
    <w:rsid w:val="007610FE"/>
    <w:rsid w:val="00761659"/>
    <w:rsid w:val="00761805"/>
    <w:rsid w:val="00761A07"/>
    <w:rsid w:val="00762422"/>
    <w:rsid w:val="00762654"/>
    <w:rsid w:val="00762C82"/>
    <w:rsid w:val="00762E7A"/>
    <w:rsid w:val="00762FE9"/>
    <w:rsid w:val="007637FC"/>
    <w:rsid w:val="0076396B"/>
    <w:rsid w:val="007641BB"/>
    <w:rsid w:val="00764259"/>
    <w:rsid w:val="00764D46"/>
    <w:rsid w:val="007650BD"/>
    <w:rsid w:val="00765C56"/>
    <w:rsid w:val="007666EC"/>
    <w:rsid w:val="0076684B"/>
    <w:rsid w:val="00766D45"/>
    <w:rsid w:val="007677B4"/>
    <w:rsid w:val="00767C57"/>
    <w:rsid w:val="00767D72"/>
    <w:rsid w:val="00767F3E"/>
    <w:rsid w:val="007700CC"/>
    <w:rsid w:val="00770164"/>
    <w:rsid w:val="0077052E"/>
    <w:rsid w:val="00770FFC"/>
    <w:rsid w:val="00771873"/>
    <w:rsid w:val="00771A34"/>
    <w:rsid w:val="007722B2"/>
    <w:rsid w:val="007725A2"/>
    <w:rsid w:val="0077288D"/>
    <w:rsid w:val="007728CB"/>
    <w:rsid w:val="00772B2D"/>
    <w:rsid w:val="00772D6C"/>
    <w:rsid w:val="00772EB9"/>
    <w:rsid w:val="007731CD"/>
    <w:rsid w:val="007736EE"/>
    <w:rsid w:val="00773945"/>
    <w:rsid w:val="0077397B"/>
    <w:rsid w:val="00774061"/>
    <w:rsid w:val="0077416D"/>
    <w:rsid w:val="00774FC5"/>
    <w:rsid w:val="007753D4"/>
    <w:rsid w:val="007769DC"/>
    <w:rsid w:val="00777721"/>
    <w:rsid w:val="00777B84"/>
    <w:rsid w:val="00777B87"/>
    <w:rsid w:val="00777BAE"/>
    <w:rsid w:val="0078027A"/>
    <w:rsid w:val="0078055C"/>
    <w:rsid w:val="007805AC"/>
    <w:rsid w:val="007806D4"/>
    <w:rsid w:val="00780A3E"/>
    <w:rsid w:val="0078270A"/>
    <w:rsid w:val="007828B7"/>
    <w:rsid w:val="00783489"/>
    <w:rsid w:val="007840E4"/>
    <w:rsid w:val="007840EA"/>
    <w:rsid w:val="0078419D"/>
    <w:rsid w:val="00784492"/>
    <w:rsid w:val="00784805"/>
    <w:rsid w:val="007852C4"/>
    <w:rsid w:val="00785834"/>
    <w:rsid w:val="00785930"/>
    <w:rsid w:val="00785DAD"/>
    <w:rsid w:val="00785F70"/>
    <w:rsid w:val="007861A6"/>
    <w:rsid w:val="0078675E"/>
    <w:rsid w:val="00786881"/>
    <w:rsid w:val="00786EB3"/>
    <w:rsid w:val="00787117"/>
    <w:rsid w:val="00787769"/>
    <w:rsid w:val="007903BD"/>
    <w:rsid w:val="00790931"/>
    <w:rsid w:val="00792895"/>
    <w:rsid w:val="0079297B"/>
    <w:rsid w:val="00792A9F"/>
    <w:rsid w:val="00792D3D"/>
    <w:rsid w:val="00793347"/>
    <w:rsid w:val="0079368B"/>
    <w:rsid w:val="0079379F"/>
    <w:rsid w:val="007937C6"/>
    <w:rsid w:val="00795208"/>
    <w:rsid w:val="007963F3"/>
    <w:rsid w:val="00796820"/>
    <w:rsid w:val="007968E4"/>
    <w:rsid w:val="00796A30"/>
    <w:rsid w:val="0079713B"/>
    <w:rsid w:val="007972E8"/>
    <w:rsid w:val="007974DE"/>
    <w:rsid w:val="007A0659"/>
    <w:rsid w:val="007A0668"/>
    <w:rsid w:val="007A0EF1"/>
    <w:rsid w:val="007A0F81"/>
    <w:rsid w:val="007A12AC"/>
    <w:rsid w:val="007A148F"/>
    <w:rsid w:val="007A1E26"/>
    <w:rsid w:val="007A2190"/>
    <w:rsid w:val="007A263E"/>
    <w:rsid w:val="007A29D2"/>
    <w:rsid w:val="007A2B51"/>
    <w:rsid w:val="007A3B0C"/>
    <w:rsid w:val="007A4A11"/>
    <w:rsid w:val="007A628E"/>
    <w:rsid w:val="007A636B"/>
    <w:rsid w:val="007A6DA2"/>
    <w:rsid w:val="007A76BC"/>
    <w:rsid w:val="007A776F"/>
    <w:rsid w:val="007B005F"/>
    <w:rsid w:val="007B0483"/>
    <w:rsid w:val="007B1B5E"/>
    <w:rsid w:val="007B1DF1"/>
    <w:rsid w:val="007B20D3"/>
    <w:rsid w:val="007B27A0"/>
    <w:rsid w:val="007B2E2D"/>
    <w:rsid w:val="007B3A37"/>
    <w:rsid w:val="007B3E0F"/>
    <w:rsid w:val="007B4943"/>
    <w:rsid w:val="007B4DE9"/>
    <w:rsid w:val="007B5120"/>
    <w:rsid w:val="007B599B"/>
    <w:rsid w:val="007B5B75"/>
    <w:rsid w:val="007B5F7A"/>
    <w:rsid w:val="007B6404"/>
    <w:rsid w:val="007B683C"/>
    <w:rsid w:val="007B6FCA"/>
    <w:rsid w:val="007B7030"/>
    <w:rsid w:val="007B73C4"/>
    <w:rsid w:val="007C053F"/>
    <w:rsid w:val="007C0C22"/>
    <w:rsid w:val="007C0C27"/>
    <w:rsid w:val="007C0E65"/>
    <w:rsid w:val="007C12F0"/>
    <w:rsid w:val="007C198E"/>
    <w:rsid w:val="007C1ABD"/>
    <w:rsid w:val="007C1BE9"/>
    <w:rsid w:val="007C206F"/>
    <w:rsid w:val="007C2A29"/>
    <w:rsid w:val="007C3611"/>
    <w:rsid w:val="007C3815"/>
    <w:rsid w:val="007C3E9A"/>
    <w:rsid w:val="007C3FC0"/>
    <w:rsid w:val="007C5321"/>
    <w:rsid w:val="007C5699"/>
    <w:rsid w:val="007C60F3"/>
    <w:rsid w:val="007C72F3"/>
    <w:rsid w:val="007C736B"/>
    <w:rsid w:val="007C7940"/>
    <w:rsid w:val="007C7CCD"/>
    <w:rsid w:val="007C7E8B"/>
    <w:rsid w:val="007D040D"/>
    <w:rsid w:val="007D04BA"/>
    <w:rsid w:val="007D0802"/>
    <w:rsid w:val="007D0A24"/>
    <w:rsid w:val="007D0EE8"/>
    <w:rsid w:val="007D15BD"/>
    <w:rsid w:val="007D1BF4"/>
    <w:rsid w:val="007D2305"/>
    <w:rsid w:val="007D2457"/>
    <w:rsid w:val="007D360D"/>
    <w:rsid w:val="007D3742"/>
    <w:rsid w:val="007D49C4"/>
    <w:rsid w:val="007D4B4B"/>
    <w:rsid w:val="007D4B8B"/>
    <w:rsid w:val="007D5422"/>
    <w:rsid w:val="007D5DFC"/>
    <w:rsid w:val="007D6831"/>
    <w:rsid w:val="007D6BC9"/>
    <w:rsid w:val="007D6FFB"/>
    <w:rsid w:val="007D7AE3"/>
    <w:rsid w:val="007E0064"/>
    <w:rsid w:val="007E0664"/>
    <w:rsid w:val="007E098C"/>
    <w:rsid w:val="007E1303"/>
    <w:rsid w:val="007E1343"/>
    <w:rsid w:val="007E215D"/>
    <w:rsid w:val="007E2199"/>
    <w:rsid w:val="007E2272"/>
    <w:rsid w:val="007E22D8"/>
    <w:rsid w:val="007E25E8"/>
    <w:rsid w:val="007E2C5A"/>
    <w:rsid w:val="007E2EED"/>
    <w:rsid w:val="007E3919"/>
    <w:rsid w:val="007E433D"/>
    <w:rsid w:val="007E4505"/>
    <w:rsid w:val="007E5090"/>
    <w:rsid w:val="007E63A5"/>
    <w:rsid w:val="007E6C04"/>
    <w:rsid w:val="007E7521"/>
    <w:rsid w:val="007E7947"/>
    <w:rsid w:val="007E79B7"/>
    <w:rsid w:val="007E7D74"/>
    <w:rsid w:val="007F00AF"/>
    <w:rsid w:val="007F00FB"/>
    <w:rsid w:val="007F01B2"/>
    <w:rsid w:val="007F0B16"/>
    <w:rsid w:val="007F0E44"/>
    <w:rsid w:val="007F1584"/>
    <w:rsid w:val="007F1624"/>
    <w:rsid w:val="007F1791"/>
    <w:rsid w:val="007F2360"/>
    <w:rsid w:val="007F30C1"/>
    <w:rsid w:val="007F3108"/>
    <w:rsid w:val="007F3318"/>
    <w:rsid w:val="007F3BE7"/>
    <w:rsid w:val="007F3EF6"/>
    <w:rsid w:val="007F474E"/>
    <w:rsid w:val="007F4888"/>
    <w:rsid w:val="007F4C36"/>
    <w:rsid w:val="007F5858"/>
    <w:rsid w:val="007F5D32"/>
    <w:rsid w:val="007F61D3"/>
    <w:rsid w:val="007F61EB"/>
    <w:rsid w:val="007F6607"/>
    <w:rsid w:val="007F68FA"/>
    <w:rsid w:val="007F6C92"/>
    <w:rsid w:val="007F6E94"/>
    <w:rsid w:val="007F7B5A"/>
    <w:rsid w:val="007F7BE6"/>
    <w:rsid w:val="007F7DEC"/>
    <w:rsid w:val="0080098A"/>
    <w:rsid w:val="00800D98"/>
    <w:rsid w:val="00801972"/>
    <w:rsid w:val="00801AD9"/>
    <w:rsid w:val="00802019"/>
    <w:rsid w:val="008023F4"/>
    <w:rsid w:val="008027B5"/>
    <w:rsid w:val="00802A44"/>
    <w:rsid w:val="00802DD2"/>
    <w:rsid w:val="00803B98"/>
    <w:rsid w:val="00804AEE"/>
    <w:rsid w:val="0080503C"/>
    <w:rsid w:val="0080505F"/>
    <w:rsid w:val="008052EF"/>
    <w:rsid w:val="00805516"/>
    <w:rsid w:val="00805812"/>
    <w:rsid w:val="00805E18"/>
    <w:rsid w:val="00805F34"/>
    <w:rsid w:val="008063DC"/>
    <w:rsid w:val="00806BD9"/>
    <w:rsid w:val="00807000"/>
    <w:rsid w:val="00807312"/>
    <w:rsid w:val="00807546"/>
    <w:rsid w:val="00807A32"/>
    <w:rsid w:val="00807AB6"/>
    <w:rsid w:val="00807C36"/>
    <w:rsid w:val="00807DBE"/>
    <w:rsid w:val="0081028C"/>
    <w:rsid w:val="00810509"/>
    <w:rsid w:val="0081059B"/>
    <w:rsid w:val="00810D12"/>
    <w:rsid w:val="00810E0B"/>
    <w:rsid w:val="0081144E"/>
    <w:rsid w:val="00811A89"/>
    <w:rsid w:val="00811F50"/>
    <w:rsid w:val="008123C9"/>
    <w:rsid w:val="00812551"/>
    <w:rsid w:val="00812963"/>
    <w:rsid w:val="008129C3"/>
    <w:rsid w:val="00812BDE"/>
    <w:rsid w:val="00812C82"/>
    <w:rsid w:val="00812F11"/>
    <w:rsid w:val="0081340E"/>
    <w:rsid w:val="00813B38"/>
    <w:rsid w:val="008141B2"/>
    <w:rsid w:val="008141D5"/>
    <w:rsid w:val="0081447A"/>
    <w:rsid w:val="0081499B"/>
    <w:rsid w:val="00814B3C"/>
    <w:rsid w:val="00814D9D"/>
    <w:rsid w:val="00815805"/>
    <w:rsid w:val="00815C0F"/>
    <w:rsid w:val="00815C32"/>
    <w:rsid w:val="00815FD1"/>
    <w:rsid w:val="00816385"/>
    <w:rsid w:val="0081674D"/>
    <w:rsid w:val="00817131"/>
    <w:rsid w:val="00820733"/>
    <w:rsid w:val="0082127D"/>
    <w:rsid w:val="00821972"/>
    <w:rsid w:val="00821F55"/>
    <w:rsid w:val="00822D60"/>
    <w:rsid w:val="00823098"/>
    <w:rsid w:val="008236DD"/>
    <w:rsid w:val="008249D1"/>
    <w:rsid w:val="00825AD6"/>
    <w:rsid w:val="00825E66"/>
    <w:rsid w:val="00825EC9"/>
    <w:rsid w:val="00826244"/>
    <w:rsid w:val="00826434"/>
    <w:rsid w:val="0082662D"/>
    <w:rsid w:val="008268F2"/>
    <w:rsid w:val="00827DB8"/>
    <w:rsid w:val="00827E44"/>
    <w:rsid w:val="00827F23"/>
    <w:rsid w:val="0083049B"/>
    <w:rsid w:val="00830A68"/>
    <w:rsid w:val="00830AC9"/>
    <w:rsid w:val="00830DB3"/>
    <w:rsid w:val="0083146B"/>
    <w:rsid w:val="00831FDD"/>
    <w:rsid w:val="0083202D"/>
    <w:rsid w:val="008322D3"/>
    <w:rsid w:val="00832672"/>
    <w:rsid w:val="00832C42"/>
    <w:rsid w:val="008333FA"/>
    <w:rsid w:val="008335B1"/>
    <w:rsid w:val="00833B4A"/>
    <w:rsid w:val="00833BEC"/>
    <w:rsid w:val="00834125"/>
    <w:rsid w:val="00834433"/>
    <w:rsid w:val="00834BF8"/>
    <w:rsid w:val="00834CA7"/>
    <w:rsid w:val="00834F21"/>
    <w:rsid w:val="00835011"/>
    <w:rsid w:val="00835E6E"/>
    <w:rsid w:val="0083680F"/>
    <w:rsid w:val="00836E16"/>
    <w:rsid w:val="0083717A"/>
    <w:rsid w:val="008372E4"/>
    <w:rsid w:val="00837655"/>
    <w:rsid w:val="008376D0"/>
    <w:rsid w:val="00837F40"/>
    <w:rsid w:val="008403C9"/>
    <w:rsid w:val="008412CA"/>
    <w:rsid w:val="0084166C"/>
    <w:rsid w:val="00841905"/>
    <w:rsid w:val="00841F8B"/>
    <w:rsid w:val="00842C8B"/>
    <w:rsid w:val="00842E8F"/>
    <w:rsid w:val="008430E8"/>
    <w:rsid w:val="00843C12"/>
    <w:rsid w:val="00843CE7"/>
    <w:rsid w:val="008440E8"/>
    <w:rsid w:val="00844250"/>
    <w:rsid w:val="008451CE"/>
    <w:rsid w:val="0084525E"/>
    <w:rsid w:val="008457E6"/>
    <w:rsid w:val="00845BA2"/>
    <w:rsid w:val="00845D80"/>
    <w:rsid w:val="00845E48"/>
    <w:rsid w:val="00846476"/>
    <w:rsid w:val="00846B0B"/>
    <w:rsid w:val="00846FDA"/>
    <w:rsid w:val="00847626"/>
    <w:rsid w:val="00847687"/>
    <w:rsid w:val="00847A41"/>
    <w:rsid w:val="00847AEB"/>
    <w:rsid w:val="00847BDF"/>
    <w:rsid w:val="00847F8D"/>
    <w:rsid w:val="00847F9A"/>
    <w:rsid w:val="00850020"/>
    <w:rsid w:val="008501C8"/>
    <w:rsid w:val="00850AD3"/>
    <w:rsid w:val="00850B4D"/>
    <w:rsid w:val="008512B6"/>
    <w:rsid w:val="008519E0"/>
    <w:rsid w:val="0085205A"/>
    <w:rsid w:val="008520A1"/>
    <w:rsid w:val="008527A1"/>
    <w:rsid w:val="00852BAD"/>
    <w:rsid w:val="00852E62"/>
    <w:rsid w:val="008537B6"/>
    <w:rsid w:val="0085395B"/>
    <w:rsid w:val="00853BBE"/>
    <w:rsid w:val="008543C0"/>
    <w:rsid w:val="00854482"/>
    <w:rsid w:val="00854523"/>
    <w:rsid w:val="0085481E"/>
    <w:rsid w:val="008549B8"/>
    <w:rsid w:val="00855663"/>
    <w:rsid w:val="008557E4"/>
    <w:rsid w:val="00855CFC"/>
    <w:rsid w:val="00856262"/>
    <w:rsid w:val="0085659F"/>
    <w:rsid w:val="008569EF"/>
    <w:rsid w:val="00856F26"/>
    <w:rsid w:val="0085737A"/>
    <w:rsid w:val="00857E90"/>
    <w:rsid w:val="00860051"/>
    <w:rsid w:val="00860082"/>
    <w:rsid w:val="008600FF"/>
    <w:rsid w:val="00860127"/>
    <w:rsid w:val="008603D9"/>
    <w:rsid w:val="00860CC2"/>
    <w:rsid w:val="00861A46"/>
    <w:rsid w:val="00861AAC"/>
    <w:rsid w:val="00861BCF"/>
    <w:rsid w:val="0086224B"/>
    <w:rsid w:val="0086237F"/>
    <w:rsid w:val="00862B35"/>
    <w:rsid w:val="00862C02"/>
    <w:rsid w:val="008634DF"/>
    <w:rsid w:val="00863906"/>
    <w:rsid w:val="00863B47"/>
    <w:rsid w:val="0086473E"/>
    <w:rsid w:val="00864960"/>
    <w:rsid w:val="00864D3E"/>
    <w:rsid w:val="008661DA"/>
    <w:rsid w:val="00866C7D"/>
    <w:rsid w:val="0086748E"/>
    <w:rsid w:val="00867D24"/>
    <w:rsid w:val="00867F5C"/>
    <w:rsid w:val="0087012F"/>
    <w:rsid w:val="008704A7"/>
    <w:rsid w:val="00870DCD"/>
    <w:rsid w:val="008715F0"/>
    <w:rsid w:val="00872AE5"/>
    <w:rsid w:val="00873848"/>
    <w:rsid w:val="00874ACB"/>
    <w:rsid w:val="00875976"/>
    <w:rsid w:val="0087598E"/>
    <w:rsid w:val="00876471"/>
    <w:rsid w:val="008767D2"/>
    <w:rsid w:val="008771CD"/>
    <w:rsid w:val="0087755D"/>
    <w:rsid w:val="00877AF6"/>
    <w:rsid w:val="00877F8A"/>
    <w:rsid w:val="008807DE"/>
    <w:rsid w:val="00880BD2"/>
    <w:rsid w:val="00880EC8"/>
    <w:rsid w:val="00881216"/>
    <w:rsid w:val="0088141E"/>
    <w:rsid w:val="008818BC"/>
    <w:rsid w:val="00881A13"/>
    <w:rsid w:val="00881D7F"/>
    <w:rsid w:val="0088263B"/>
    <w:rsid w:val="008828DD"/>
    <w:rsid w:val="00883C80"/>
    <w:rsid w:val="008840DB"/>
    <w:rsid w:val="00884E44"/>
    <w:rsid w:val="00885788"/>
    <w:rsid w:val="008859BC"/>
    <w:rsid w:val="008861A0"/>
    <w:rsid w:val="00886636"/>
    <w:rsid w:val="00887206"/>
    <w:rsid w:val="00890077"/>
    <w:rsid w:val="00890873"/>
    <w:rsid w:val="0089097E"/>
    <w:rsid w:val="0089104C"/>
    <w:rsid w:val="008911EA"/>
    <w:rsid w:val="008915E2"/>
    <w:rsid w:val="008916F8"/>
    <w:rsid w:val="00891798"/>
    <w:rsid w:val="0089182F"/>
    <w:rsid w:val="00891F8C"/>
    <w:rsid w:val="00892162"/>
    <w:rsid w:val="00892FAF"/>
    <w:rsid w:val="00893850"/>
    <w:rsid w:val="00893D2F"/>
    <w:rsid w:val="00893D8D"/>
    <w:rsid w:val="008947AA"/>
    <w:rsid w:val="00894839"/>
    <w:rsid w:val="008948B7"/>
    <w:rsid w:val="0089579E"/>
    <w:rsid w:val="008957C5"/>
    <w:rsid w:val="0089612E"/>
    <w:rsid w:val="008965CE"/>
    <w:rsid w:val="00896DCF"/>
    <w:rsid w:val="0089750E"/>
    <w:rsid w:val="00897739"/>
    <w:rsid w:val="008977F1"/>
    <w:rsid w:val="00897D7B"/>
    <w:rsid w:val="008A0516"/>
    <w:rsid w:val="008A1119"/>
    <w:rsid w:val="008A192F"/>
    <w:rsid w:val="008A223F"/>
    <w:rsid w:val="008A2574"/>
    <w:rsid w:val="008A2F17"/>
    <w:rsid w:val="008A39A5"/>
    <w:rsid w:val="008A3CEC"/>
    <w:rsid w:val="008A4834"/>
    <w:rsid w:val="008A48AF"/>
    <w:rsid w:val="008A4C62"/>
    <w:rsid w:val="008A5102"/>
    <w:rsid w:val="008A6A92"/>
    <w:rsid w:val="008A6F2C"/>
    <w:rsid w:val="008B002D"/>
    <w:rsid w:val="008B06DE"/>
    <w:rsid w:val="008B06E8"/>
    <w:rsid w:val="008B1057"/>
    <w:rsid w:val="008B10DB"/>
    <w:rsid w:val="008B1110"/>
    <w:rsid w:val="008B12B0"/>
    <w:rsid w:val="008B174A"/>
    <w:rsid w:val="008B2862"/>
    <w:rsid w:val="008B2B53"/>
    <w:rsid w:val="008B3145"/>
    <w:rsid w:val="008B3C43"/>
    <w:rsid w:val="008B43EA"/>
    <w:rsid w:val="008B5017"/>
    <w:rsid w:val="008B51FB"/>
    <w:rsid w:val="008B5B0C"/>
    <w:rsid w:val="008B6696"/>
    <w:rsid w:val="008B6752"/>
    <w:rsid w:val="008B687A"/>
    <w:rsid w:val="008B6C30"/>
    <w:rsid w:val="008B6C91"/>
    <w:rsid w:val="008B7348"/>
    <w:rsid w:val="008B77E1"/>
    <w:rsid w:val="008B7C42"/>
    <w:rsid w:val="008C08F7"/>
    <w:rsid w:val="008C0D07"/>
    <w:rsid w:val="008C1456"/>
    <w:rsid w:val="008C1969"/>
    <w:rsid w:val="008C2343"/>
    <w:rsid w:val="008C2575"/>
    <w:rsid w:val="008C2A55"/>
    <w:rsid w:val="008C49E8"/>
    <w:rsid w:val="008C5148"/>
    <w:rsid w:val="008C5187"/>
    <w:rsid w:val="008C547D"/>
    <w:rsid w:val="008C5742"/>
    <w:rsid w:val="008C5D7E"/>
    <w:rsid w:val="008C5F29"/>
    <w:rsid w:val="008C5FD1"/>
    <w:rsid w:val="008C6512"/>
    <w:rsid w:val="008C6B71"/>
    <w:rsid w:val="008C6E24"/>
    <w:rsid w:val="008C75FC"/>
    <w:rsid w:val="008C7934"/>
    <w:rsid w:val="008C7D9C"/>
    <w:rsid w:val="008D0CBC"/>
    <w:rsid w:val="008D0DA9"/>
    <w:rsid w:val="008D0F43"/>
    <w:rsid w:val="008D1448"/>
    <w:rsid w:val="008D1F12"/>
    <w:rsid w:val="008D289D"/>
    <w:rsid w:val="008D2EF4"/>
    <w:rsid w:val="008D39B2"/>
    <w:rsid w:val="008D3D82"/>
    <w:rsid w:val="008D4BEF"/>
    <w:rsid w:val="008D55E1"/>
    <w:rsid w:val="008D5B2C"/>
    <w:rsid w:val="008D5C76"/>
    <w:rsid w:val="008D6031"/>
    <w:rsid w:val="008D623C"/>
    <w:rsid w:val="008D639E"/>
    <w:rsid w:val="008D64E3"/>
    <w:rsid w:val="008D7280"/>
    <w:rsid w:val="008D7481"/>
    <w:rsid w:val="008D7977"/>
    <w:rsid w:val="008D7CA1"/>
    <w:rsid w:val="008D7EEC"/>
    <w:rsid w:val="008E0470"/>
    <w:rsid w:val="008E0BC6"/>
    <w:rsid w:val="008E101A"/>
    <w:rsid w:val="008E124A"/>
    <w:rsid w:val="008E1479"/>
    <w:rsid w:val="008E1BB8"/>
    <w:rsid w:val="008E291E"/>
    <w:rsid w:val="008E29C6"/>
    <w:rsid w:val="008E2C67"/>
    <w:rsid w:val="008E398F"/>
    <w:rsid w:val="008E4150"/>
    <w:rsid w:val="008E416F"/>
    <w:rsid w:val="008E41CD"/>
    <w:rsid w:val="008E750F"/>
    <w:rsid w:val="008E784D"/>
    <w:rsid w:val="008F02E1"/>
    <w:rsid w:val="008F110B"/>
    <w:rsid w:val="008F1261"/>
    <w:rsid w:val="008F1BDE"/>
    <w:rsid w:val="008F210C"/>
    <w:rsid w:val="008F3A0F"/>
    <w:rsid w:val="008F42FC"/>
    <w:rsid w:val="008F4A2E"/>
    <w:rsid w:val="008F4B52"/>
    <w:rsid w:val="008F4CB1"/>
    <w:rsid w:val="008F4E9D"/>
    <w:rsid w:val="008F5567"/>
    <w:rsid w:val="008F5B81"/>
    <w:rsid w:val="008F5F73"/>
    <w:rsid w:val="008F609F"/>
    <w:rsid w:val="008F65C7"/>
    <w:rsid w:val="008F6A17"/>
    <w:rsid w:val="008F6E22"/>
    <w:rsid w:val="008F70F8"/>
    <w:rsid w:val="008F7195"/>
    <w:rsid w:val="008F7C58"/>
    <w:rsid w:val="008F7CC7"/>
    <w:rsid w:val="009003BA"/>
    <w:rsid w:val="0090127C"/>
    <w:rsid w:val="0090134F"/>
    <w:rsid w:val="00901A37"/>
    <w:rsid w:val="00902219"/>
    <w:rsid w:val="0090231D"/>
    <w:rsid w:val="009030CD"/>
    <w:rsid w:val="00903129"/>
    <w:rsid w:val="00903803"/>
    <w:rsid w:val="0090401C"/>
    <w:rsid w:val="009044F7"/>
    <w:rsid w:val="00904A9B"/>
    <w:rsid w:val="00904ECB"/>
    <w:rsid w:val="0090517C"/>
    <w:rsid w:val="009051D8"/>
    <w:rsid w:val="009054E9"/>
    <w:rsid w:val="00906360"/>
    <w:rsid w:val="00906A62"/>
    <w:rsid w:val="00906D16"/>
    <w:rsid w:val="00906DE7"/>
    <w:rsid w:val="00906F41"/>
    <w:rsid w:val="009071EB"/>
    <w:rsid w:val="0090770A"/>
    <w:rsid w:val="0090775B"/>
    <w:rsid w:val="00907A7C"/>
    <w:rsid w:val="00907D65"/>
    <w:rsid w:val="00907D81"/>
    <w:rsid w:val="00910673"/>
    <w:rsid w:val="00910764"/>
    <w:rsid w:val="00911FA6"/>
    <w:rsid w:val="0091202D"/>
    <w:rsid w:val="009122F0"/>
    <w:rsid w:val="009122F6"/>
    <w:rsid w:val="009123ED"/>
    <w:rsid w:val="00912588"/>
    <w:rsid w:val="0091270B"/>
    <w:rsid w:val="009127B5"/>
    <w:rsid w:val="0091285D"/>
    <w:rsid w:val="00913186"/>
    <w:rsid w:val="0091349E"/>
    <w:rsid w:val="00914819"/>
    <w:rsid w:val="00915413"/>
    <w:rsid w:val="00915D9F"/>
    <w:rsid w:val="00915E0A"/>
    <w:rsid w:val="00915E1E"/>
    <w:rsid w:val="009160AC"/>
    <w:rsid w:val="00916198"/>
    <w:rsid w:val="00916381"/>
    <w:rsid w:val="00916E82"/>
    <w:rsid w:val="009179B8"/>
    <w:rsid w:val="00917A65"/>
    <w:rsid w:val="009217DB"/>
    <w:rsid w:val="009217EE"/>
    <w:rsid w:val="009219E4"/>
    <w:rsid w:val="00921F8A"/>
    <w:rsid w:val="00921FC0"/>
    <w:rsid w:val="00922079"/>
    <w:rsid w:val="00922A5A"/>
    <w:rsid w:val="00922F01"/>
    <w:rsid w:val="009232D0"/>
    <w:rsid w:val="00923400"/>
    <w:rsid w:val="0092392E"/>
    <w:rsid w:val="00924B75"/>
    <w:rsid w:val="00925826"/>
    <w:rsid w:val="0092664F"/>
    <w:rsid w:val="00926993"/>
    <w:rsid w:val="009269DA"/>
    <w:rsid w:val="00927025"/>
    <w:rsid w:val="0092738C"/>
    <w:rsid w:val="00927A9E"/>
    <w:rsid w:val="00927B1C"/>
    <w:rsid w:val="00927B54"/>
    <w:rsid w:val="00927B60"/>
    <w:rsid w:val="00927F40"/>
    <w:rsid w:val="00930B8A"/>
    <w:rsid w:val="00931D55"/>
    <w:rsid w:val="00932135"/>
    <w:rsid w:val="0093295B"/>
    <w:rsid w:val="00932BDA"/>
    <w:rsid w:val="00932EF4"/>
    <w:rsid w:val="00932FDE"/>
    <w:rsid w:val="00933138"/>
    <w:rsid w:val="009359EB"/>
    <w:rsid w:val="00936253"/>
    <w:rsid w:val="00936799"/>
    <w:rsid w:val="00936C6A"/>
    <w:rsid w:val="00937311"/>
    <w:rsid w:val="00937D0F"/>
    <w:rsid w:val="00937D89"/>
    <w:rsid w:val="00937E09"/>
    <w:rsid w:val="00940A06"/>
    <w:rsid w:val="00940F70"/>
    <w:rsid w:val="00940F8F"/>
    <w:rsid w:val="009414AC"/>
    <w:rsid w:val="00942650"/>
    <w:rsid w:val="00942F44"/>
    <w:rsid w:val="0094323A"/>
    <w:rsid w:val="00943FD2"/>
    <w:rsid w:val="0094456C"/>
    <w:rsid w:val="00944C57"/>
    <w:rsid w:val="00944F21"/>
    <w:rsid w:val="009455CA"/>
    <w:rsid w:val="00945A97"/>
    <w:rsid w:val="00945F1B"/>
    <w:rsid w:val="009460EC"/>
    <w:rsid w:val="009475ED"/>
    <w:rsid w:val="009479A6"/>
    <w:rsid w:val="00950677"/>
    <w:rsid w:val="00950B15"/>
    <w:rsid w:val="00950C49"/>
    <w:rsid w:val="00950D05"/>
    <w:rsid w:val="009512EF"/>
    <w:rsid w:val="0095142B"/>
    <w:rsid w:val="00951674"/>
    <w:rsid w:val="00951B42"/>
    <w:rsid w:val="00951C55"/>
    <w:rsid w:val="00952408"/>
    <w:rsid w:val="00952E3F"/>
    <w:rsid w:val="00953171"/>
    <w:rsid w:val="00954862"/>
    <w:rsid w:val="00954AF5"/>
    <w:rsid w:val="00954BC9"/>
    <w:rsid w:val="0095501A"/>
    <w:rsid w:val="00955073"/>
    <w:rsid w:val="0095564E"/>
    <w:rsid w:val="00955906"/>
    <w:rsid w:val="00955DB8"/>
    <w:rsid w:val="00956209"/>
    <w:rsid w:val="0095639B"/>
    <w:rsid w:val="009565D9"/>
    <w:rsid w:val="0095665C"/>
    <w:rsid w:val="00956846"/>
    <w:rsid w:val="00956EBD"/>
    <w:rsid w:val="009571E0"/>
    <w:rsid w:val="009575CB"/>
    <w:rsid w:val="00957857"/>
    <w:rsid w:val="00957BB4"/>
    <w:rsid w:val="009605BB"/>
    <w:rsid w:val="00961AD3"/>
    <w:rsid w:val="00961C3A"/>
    <w:rsid w:val="00962766"/>
    <w:rsid w:val="009628EE"/>
    <w:rsid w:val="00962CE0"/>
    <w:rsid w:val="0096314B"/>
    <w:rsid w:val="009636E0"/>
    <w:rsid w:val="0096458C"/>
    <w:rsid w:val="0096484C"/>
    <w:rsid w:val="00964F44"/>
    <w:rsid w:val="0096538B"/>
    <w:rsid w:val="00965B09"/>
    <w:rsid w:val="00965D25"/>
    <w:rsid w:val="009660DE"/>
    <w:rsid w:val="009662EC"/>
    <w:rsid w:val="00966474"/>
    <w:rsid w:val="009668C9"/>
    <w:rsid w:val="00966B03"/>
    <w:rsid w:val="009675F0"/>
    <w:rsid w:val="00967F4D"/>
    <w:rsid w:val="00970378"/>
    <w:rsid w:val="00970AE9"/>
    <w:rsid w:val="00971395"/>
    <w:rsid w:val="00971546"/>
    <w:rsid w:val="009715AE"/>
    <w:rsid w:val="0097191F"/>
    <w:rsid w:val="00972152"/>
    <w:rsid w:val="00972762"/>
    <w:rsid w:val="009727F8"/>
    <w:rsid w:val="00972813"/>
    <w:rsid w:val="00972BC3"/>
    <w:rsid w:val="00972F3F"/>
    <w:rsid w:val="009730C1"/>
    <w:rsid w:val="009735E3"/>
    <w:rsid w:val="009735EE"/>
    <w:rsid w:val="0097387F"/>
    <w:rsid w:val="00973C14"/>
    <w:rsid w:val="009743EF"/>
    <w:rsid w:val="00974A06"/>
    <w:rsid w:val="00974C18"/>
    <w:rsid w:val="00975A59"/>
    <w:rsid w:val="009762F8"/>
    <w:rsid w:val="0097652E"/>
    <w:rsid w:val="009769AD"/>
    <w:rsid w:val="009774C6"/>
    <w:rsid w:val="00977597"/>
    <w:rsid w:val="00977772"/>
    <w:rsid w:val="00977BE6"/>
    <w:rsid w:val="00977C9D"/>
    <w:rsid w:val="009807D5"/>
    <w:rsid w:val="0098093C"/>
    <w:rsid w:val="00981670"/>
    <w:rsid w:val="00981723"/>
    <w:rsid w:val="00981D81"/>
    <w:rsid w:val="00982116"/>
    <w:rsid w:val="00982A28"/>
    <w:rsid w:val="00982D2F"/>
    <w:rsid w:val="009835A5"/>
    <w:rsid w:val="009837ED"/>
    <w:rsid w:val="00984206"/>
    <w:rsid w:val="009844B5"/>
    <w:rsid w:val="00984E66"/>
    <w:rsid w:val="00984E67"/>
    <w:rsid w:val="009859C5"/>
    <w:rsid w:val="00985E88"/>
    <w:rsid w:val="00985F9B"/>
    <w:rsid w:val="009866C9"/>
    <w:rsid w:val="009866E9"/>
    <w:rsid w:val="00986B9F"/>
    <w:rsid w:val="00986E0F"/>
    <w:rsid w:val="00987D07"/>
    <w:rsid w:val="009905B1"/>
    <w:rsid w:val="00990AEA"/>
    <w:rsid w:val="00990D9B"/>
    <w:rsid w:val="009913AC"/>
    <w:rsid w:val="009913E3"/>
    <w:rsid w:val="00991486"/>
    <w:rsid w:val="00991B9B"/>
    <w:rsid w:val="00992569"/>
    <w:rsid w:val="00992EB8"/>
    <w:rsid w:val="0099583A"/>
    <w:rsid w:val="00995975"/>
    <w:rsid w:val="00995BBC"/>
    <w:rsid w:val="00995BE2"/>
    <w:rsid w:val="00995DC6"/>
    <w:rsid w:val="0099658A"/>
    <w:rsid w:val="009967D4"/>
    <w:rsid w:val="00996C0B"/>
    <w:rsid w:val="00997227"/>
    <w:rsid w:val="009977D0"/>
    <w:rsid w:val="00997FBA"/>
    <w:rsid w:val="009A0130"/>
    <w:rsid w:val="009A0674"/>
    <w:rsid w:val="009A0948"/>
    <w:rsid w:val="009A1578"/>
    <w:rsid w:val="009A29DC"/>
    <w:rsid w:val="009A2D9A"/>
    <w:rsid w:val="009A34D7"/>
    <w:rsid w:val="009A3752"/>
    <w:rsid w:val="009A3874"/>
    <w:rsid w:val="009A3DDD"/>
    <w:rsid w:val="009A430E"/>
    <w:rsid w:val="009A438E"/>
    <w:rsid w:val="009A46FF"/>
    <w:rsid w:val="009A5DFF"/>
    <w:rsid w:val="009A5EE7"/>
    <w:rsid w:val="009A6E5A"/>
    <w:rsid w:val="009A72CD"/>
    <w:rsid w:val="009A780E"/>
    <w:rsid w:val="009A7E01"/>
    <w:rsid w:val="009B1CEF"/>
    <w:rsid w:val="009B2913"/>
    <w:rsid w:val="009B2CD8"/>
    <w:rsid w:val="009B2E88"/>
    <w:rsid w:val="009B4CDA"/>
    <w:rsid w:val="009B5222"/>
    <w:rsid w:val="009B5696"/>
    <w:rsid w:val="009B5750"/>
    <w:rsid w:val="009B5ADE"/>
    <w:rsid w:val="009B6292"/>
    <w:rsid w:val="009B6CF1"/>
    <w:rsid w:val="009B6D03"/>
    <w:rsid w:val="009B7064"/>
    <w:rsid w:val="009C0064"/>
    <w:rsid w:val="009C0341"/>
    <w:rsid w:val="009C1575"/>
    <w:rsid w:val="009C20DF"/>
    <w:rsid w:val="009C2190"/>
    <w:rsid w:val="009C249A"/>
    <w:rsid w:val="009C2F36"/>
    <w:rsid w:val="009C3AAD"/>
    <w:rsid w:val="009C3C63"/>
    <w:rsid w:val="009C3DDD"/>
    <w:rsid w:val="009C3E23"/>
    <w:rsid w:val="009C41BF"/>
    <w:rsid w:val="009C42FA"/>
    <w:rsid w:val="009C507A"/>
    <w:rsid w:val="009C52E9"/>
    <w:rsid w:val="009C5B22"/>
    <w:rsid w:val="009C5B87"/>
    <w:rsid w:val="009C632E"/>
    <w:rsid w:val="009C732C"/>
    <w:rsid w:val="009C75DC"/>
    <w:rsid w:val="009C76EA"/>
    <w:rsid w:val="009C7AF5"/>
    <w:rsid w:val="009D00D7"/>
    <w:rsid w:val="009D0422"/>
    <w:rsid w:val="009D0F8D"/>
    <w:rsid w:val="009D1019"/>
    <w:rsid w:val="009D1C53"/>
    <w:rsid w:val="009D23A2"/>
    <w:rsid w:val="009D29CD"/>
    <w:rsid w:val="009D2D28"/>
    <w:rsid w:val="009D301C"/>
    <w:rsid w:val="009D3812"/>
    <w:rsid w:val="009D3A0A"/>
    <w:rsid w:val="009D4352"/>
    <w:rsid w:val="009D4D75"/>
    <w:rsid w:val="009D53D9"/>
    <w:rsid w:val="009D5FFB"/>
    <w:rsid w:val="009D635C"/>
    <w:rsid w:val="009D6679"/>
    <w:rsid w:val="009D683A"/>
    <w:rsid w:val="009D6C2C"/>
    <w:rsid w:val="009D735F"/>
    <w:rsid w:val="009E04D3"/>
    <w:rsid w:val="009E0660"/>
    <w:rsid w:val="009E121C"/>
    <w:rsid w:val="009E15A3"/>
    <w:rsid w:val="009E1B68"/>
    <w:rsid w:val="009E1BF8"/>
    <w:rsid w:val="009E1C8B"/>
    <w:rsid w:val="009E27F5"/>
    <w:rsid w:val="009E2B32"/>
    <w:rsid w:val="009E2F91"/>
    <w:rsid w:val="009E2FD6"/>
    <w:rsid w:val="009E319D"/>
    <w:rsid w:val="009E3B7E"/>
    <w:rsid w:val="009E43B5"/>
    <w:rsid w:val="009E4935"/>
    <w:rsid w:val="009E4A01"/>
    <w:rsid w:val="009E4B2B"/>
    <w:rsid w:val="009E53EB"/>
    <w:rsid w:val="009E577A"/>
    <w:rsid w:val="009E6040"/>
    <w:rsid w:val="009E6AA7"/>
    <w:rsid w:val="009E6B06"/>
    <w:rsid w:val="009E71C1"/>
    <w:rsid w:val="009E71CF"/>
    <w:rsid w:val="009E764A"/>
    <w:rsid w:val="009E78A9"/>
    <w:rsid w:val="009E7C8E"/>
    <w:rsid w:val="009F0352"/>
    <w:rsid w:val="009F0D58"/>
    <w:rsid w:val="009F0E5C"/>
    <w:rsid w:val="009F0E8E"/>
    <w:rsid w:val="009F15A0"/>
    <w:rsid w:val="009F2583"/>
    <w:rsid w:val="009F331D"/>
    <w:rsid w:val="009F3815"/>
    <w:rsid w:val="009F3C21"/>
    <w:rsid w:val="009F4049"/>
    <w:rsid w:val="009F511F"/>
    <w:rsid w:val="009F5628"/>
    <w:rsid w:val="009F6528"/>
    <w:rsid w:val="009F67BE"/>
    <w:rsid w:val="009F6A33"/>
    <w:rsid w:val="009F6A7C"/>
    <w:rsid w:val="009F704B"/>
    <w:rsid w:val="009F7408"/>
    <w:rsid w:val="009F78D2"/>
    <w:rsid w:val="009F7AC6"/>
    <w:rsid w:val="009F7BAD"/>
    <w:rsid w:val="00A00194"/>
    <w:rsid w:val="00A004F9"/>
    <w:rsid w:val="00A00F8B"/>
    <w:rsid w:val="00A0108D"/>
    <w:rsid w:val="00A017D6"/>
    <w:rsid w:val="00A02238"/>
    <w:rsid w:val="00A0330D"/>
    <w:rsid w:val="00A03531"/>
    <w:rsid w:val="00A0364F"/>
    <w:rsid w:val="00A03E98"/>
    <w:rsid w:val="00A06266"/>
    <w:rsid w:val="00A063E2"/>
    <w:rsid w:val="00A06417"/>
    <w:rsid w:val="00A06B76"/>
    <w:rsid w:val="00A070CB"/>
    <w:rsid w:val="00A07E9C"/>
    <w:rsid w:val="00A10B98"/>
    <w:rsid w:val="00A114DF"/>
    <w:rsid w:val="00A11713"/>
    <w:rsid w:val="00A11D84"/>
    <w:rsid w:val="00A11E1D"/>
    <w:rsid w:val="00A12387"/>
    <w:rsid w:val="00A12855"/>
    <w:rsid w:val="00A12AC2"/>
    <w:rsid w:val="00A13088"/>
    <w:rsid w:val="00A1456C"/>
    <w:rsid w:val="00A147F6"/>
    <w:rsid w:val="00A15BA8"/>
    <w:rsid w:val="00A15C6B"/>
    <w:rsid w:val="00A1609E"/>
    <w:rsid w:val="00A16A17"/>
    <w:rsid w:val="00A16C91"/>
    <w:rsid w:val="00A171C5"/>
    <w:rsid w:val="00A1770D"/>
    <w:rsid w:val="00A17722"/>
    <w:rsid w:val="00A17848"/>
    <w:rsid w:val="00A200A8"/>
    <w:rsid w:val="00A20667"/>
    <w:rsid w:val="00A207DE"/>
    <w:rsid w:val="00A20B02"/>
    <w:rsid w:val="00A20DBA"/>
    <w:rsid w:val="00A21C64"/>
    <w:rsid w:val="00A224DC"/>
    <w:rsid w:val="00A22964"/>
    <w:rsid w:val="00A22B9F"/>
    <w:rsid w:val="00A233BB"/>
    <w:rsid w:val="00A234B4"/>
    <w:rsid w:val="00A2415F"/>
    <w:rsid w:val="00A24808"/>
    <w:rsid w:val="00A2518C"/>
    <w:rsid w:val="00A257B7"/>
    <w:rsid w:val="00A269AF"/>
    <w:rsid w:val="00A27F53"/>
    <w:rsid w:val="00A3027C"/>
    <w:rsid w:val="00A305EE"/>
    <w:rsid w:val="00A30AEC"/>
    <w:rsid w:val="00A30EAB"/>
    <w:rsid w:val="00A31429"/>
    <w:rsid w:val="00A3149B"/>
    <w:rsid w:val="00A314FB"/>
    <w:rsid w:val="00A31523"/>
    <w:rsid w:val="00A316F9"/>
    <w:rsid w:val="00A31B1D"/>
    <w:rsid w:val="00A32306"/>
    <w:rsid w:val="00A323EE"/>
    <w:rsid w:val="00A3270F"/>
    <w:rsid w:val="00A32752"/>
    <w:rsid w:val="00A32BD2"/>
    <w:rsid w:val="00A32D47"/>
    <w:rsid w:val="00A32E68"/>
    <w:rsid w:val="00A3402D"/>
    <w:rsid w:val="00A3423C"/>
    <w:rsid w:val="00A352E7"/>
    <w:rsid w:val="00A3553B"/>
    <w:rsid w:val="00A35D83"/>
    <w:rsid w:val="00A35EF3"/>
    <w:rsid w:val="00A362A6"/>
    <w:rsid w:val="00A366A2"/>
    <w:rsid w:val="00A3672D"/>
    <w:rsid w:val="00A36B19"/>
    <w:rsid w:val="00A405F9"/>
    <w:rsid w:val="00A40986"/>
    <w:rsid w:val="00A4187D"/>
    <w:rsid w:val="00A41A8C"/>
    <w:rsid w:val="00A41D84"/>
    <w:rsid w:val="00A423C8"/>
    <w:rsid w:val="00A424AF"/>
    <w:rsid w:val="00A42667"/>
    <w:rsid w:val="00A42D55"/>
    <w:rsid w:val="00A43A82"/>
    <w:rsid w:val="00A440F1"/>
    <w:rsid w:val="00A4527F"/>
    <w:rsid w:val="00A45EDA"/>
    <w:rsid w:val="00A46BBE"/>
    <w:rsid w:val="00A47188"/>
    <w:rsid w:val="00A47D2B"/>
    <w:rsid w:val="00A50092"/>
    <w:rsid w:val="00A50350"/>
    <w:rsid w:val="00A50909"/>
    <w:rsid w:val="00A50EBA"/>
    <w:rsid w:val="00A511B4"/>
    <w:rsid w:val="00A514BA"/>
    <w:rsid w:val="00A51F77"/>
    <w:rsid w:val="00A5224A"/>
    <w:rsid w:val="00A5301F"/>
    <w:rsid w:val="00A537D7"/>
    <w:rsid w:val="00A53850"/>
    <w:rsid w:val="00A53B51"/>
    <w:rsid w:val="00A5419B"/>
    <w:rsid w:val="00A544CE"/>
    <w:rsid w:val="00A544DA"/>
    <w:rsid w:val="00A54914"/>
    <w:rsid w:val="00A54B36"/>
    <w:rsid w:val="00A54E0B"/>
    <w:rsid w:val="00A555BF"/>
    <w:rsid w:val="00A5590E"/>
    <w:rsid w:val="00A55CB5"/>
    <w:rsid w:val="00A56281"/>
    <w:rsid w:val="00A56A1D"/>
    <w:rsid w:val="00A56CAF"/>
    <w:rsid w:val="00A572D2"/>
    <w:rsid w:val="00A573B1"/>
    <w:rsid w:val="00A57C29"/>
    <w:rsid w:val="00A57F94"/>
    <w:rsid w:val="00A601E4"/>
    <w:rsid w:val="00A60586"/>
    <w:rsid w:val="00A605B5"/>
    <w:rsid w:val="00A607D1"/>
    <w:rsid w:val="00A60812"/>
    <w:rsid w:val="00A6090A"/>
    <w:rsid w:val="00A61275"/>
    <w:rsid w:val="00A61BA5"/>
    <w:rsid w:val="00A62347"/>
    <w:rsid w:val="00A626B4"/>
    <w:rsid w:val="00A63A29"/>
    <w:rsid w:val="00A63B87"/>
    <w:rsid w:val="00A63D2F"/>
    <w:rsid w:val="00A641C2"/>
    <w:rsid w:val="00A646BF"/>
    <w:rsid w:val="00A65B2A"/>
    <w:rsid w:val="00A66034"/>
    <w:rsid w:val="00A6716C"/>
    <w:rsid w:val="00A6770E"/>
    <w:rsid w:val="00A67766"/>
    <w:rsid w:val="00A67BBB"/>
    <w:rsid w:val="00A67E48"/>
    <w:rsid w:val="00A67ED5"/>
    <w:rsid w:val="00A67FE6"/>
    <w:rsid w:val="00A70240"/>
    <w:rsid w:val="00A702F8"/>
    <w:rsid w:val="00A70A11"/>
    <w:rsid w:val="00A70EFE"/>
    <w:rsid w:val="00A72B07"/>
    <w:rsid w:val="00A72D92"/>
    <w:rsid w:val="00A7313A"/>
    <w:rsid w:val="00A739F6"/>
    <w:rsid w:val="00A73BCF"/>
    <w:rsid w:val="00A73BFB"/>
    <w:rsid w:val="00A73E40"/>
    <w:rsid w:val="00A7425A"/>
    <w:rsid w:val="00A743CF"/>
    <w:rsid w:val="00A74A24"/>
    <w:rsid w:val="00A74CFD"/>
    <w:rsid w:val="00A74DDD"/>
    <w:rsid w:val="00A74E84"/>
    <w:rsid w:val="00A75F3A"/>
    <w:rsid w:val="00A7603F"/>
    <w:rsid w:val="00A760DB"/>
    <w:rsid w:val="00A762AA"/>
    <w:rsid w:val="00A764C3"/>
    <w:rsid w:val="00A7698A"/>
    <w:rsid w:val="00A76AD2"/>
    <w:rsid w:val="00A76C9F"/>
    <w:rsid w:val="00A76FBA"/>
    <w:rsid w:val="00A779E9"/>
    <w:rsid w:val="00A77A08"/>
    <w:rsid w:val="00A77C82"/>
    <w:rsid w:val="00A77E7E"/>
    <w:rsid w:val="00A80308"/>
    <w:rsid w:val="00A8091B"/>
    <w:rsid w:val="00A80B9A"/>
    <w:rsid w:val="00A815AC"/>
    <w:rsid w:val="00A81691"/>
    <w:rsid w:val="00A81A9A"/>
    <w:rsid w:val="00A81CFA"/>
    <w:rsid w:val="00A81F7B"/>
    <w:rsid w:val="00A82941"/>
    <w:rsid w:val="00A830D3"/>
    <w:rsid w:val="00A83A5F"/>
    <w:rsid w:val="00A84CEE"/>
    <w:rsid w:val="00A851F4"/>
    <w:rsid w:val="00A85237"/>
    <w:rsid w:val="00A85816"/>
    <w:rsid w:val="00A860A5"/>
    <w:rsid w:val="00A86140"/>
    <w:rsid w:val="00A866BB"/>
    <w:rsid w:val="00A86B48"/>
    <w:rsid w:val="00A86DA3"/>
    <w:rsid w:val="00A86E0D"/>
    <w:rsid w:val="00A87063"/>
    <w:rsid w:val="00A8708C"/>
    <w:rsid w:val="00A87449"/>
    <w:rsid w:val="00A87563"/>
    <w:rsid w:val="00A90512"/>
    <w:rsid w:val="00A90629"/>
    <w:rsid w:val="00A90F37"/>
    <w:rsid w:val="00A91D05"/>
    <w:rsid w:val="00A9202D"/>
    <w:rsid w:val="00A93040"/>
    <w:rsid w:val="00A93C01"/>
    <w:rsid w:val="00A93DBF"/>
    <w:rsid w:val="00A94233"/>
    <w:rsid w:val="00A948E8"/>
    <w:rsid w:val="00A94A9F"/>
    <w:rsid w:val="00A94EEA"/>
    <w:rsid w:val="00A95311"/>
    <w:rsid w:val="00A96DD9"/>
    <w:rsid w:val="00AA0180"/>
    <w:rsid w:val="00AA0ADD"/>
    <w:rsid w:val="00AA0EC4"/>
    <w:rsid w:val="00AA183A"/>
    <w:rsid w:val="00AA216C"/>
    <w:rsid w:val="00AA2180"/>
    <w:rsid w:val="00AA2312"/>
    <w:rsid w:val="00AA23C8"/>
    <w:rsid w:val="00AA2C6F"/>
    <w:rsid w:val="00AA3C1B"/>
    <w:rsid w:val="00AA471C"/>
    <w:rsid w:val="00AA47E3"/>
    <w:rsid w:val="00AA4855"/>
    <w:rsid w:val="00AA4D76"/>
    <w:rsid w:val="00AA5831"/>
    <w:rsid w:val="00AA6B8E"/>
    <w:rsid w:val="00AA6D41"/>
    <w:rsid w:val="00AA6F21"/>
    <w:rsid w:val="00AA7691"/>
    <w:rsid w:val="00AA76EC"/>
    <w:rsid w:val="00AB013F"/>
    <w:rsid w:val="00AB0202"/>
    <w:rsid w:val="00AB0302"/>
    <w:rsid w:val="00AB0839"/>
    <w:rsid w:val="00AB0AC2"/>
    <w:rsid w:val="00AB0D6B"/>
    <w:rsid w:val="00AB1B83"/>
    <w:rsid w:val="00AB2C37"/>
    <w:rsid w:val="00AB345F"/>
    <w:rsid w:val="00AB3608"/>
    <w:rsid w:val="00AB3F02"/>
    <w:rsid w:val="00AB4699"/>
    <w:rsid w:val="00AB4EA6"/>
    <w:rsid w:val="00AB4EB7"/>
    <w:rsid w:val="00AB50D9"/>
    <w:rsid w:val="00AB55EE"/>
    <w:rsid w:val="00AB58BF"/>
    <w:rsid w:val="00AB5A39"/>
    <w:rsid w:val="00AB5C66"/>
    <w:rsid w:val="00AB6317"/>
    <w:rsid w:val="00AB68DB"/>
    <w:rsid w:val="00AB6D00"/>
    <w:rsid w:val="00AB7050"/>
    <w:rsid w:val="00AB7476"/>
    <w:rsid w:val="00AB77EF"/>
    <w:rsid w:val="00AB7BB2"/>
    <w:rsid w:val="00AC01F6"/>
    <w:rsid w:val="00AC0944"/>
    <w:rsid w:val="00AC12D8"/>
    <w:rsid w:val="00AC1BA9"/>
    <w:rsid w:val="00AC31D8"/>
    <w:rsid w:val="00AC5171"/>
    <w:rsid w:val="00AC517C"/>
    <w:rsid w:val="00AC51AC"/>
    <w:rsid w:val="00AC5804"/>
    <w:rsid w:val="00AC5E4F"/>
    <w:rsid w:val="00AC5F4F"/>
    <w:rsid w:val="00AC786A"/>
    <w:rsid w:val="00AC7BA8"/>
    <w:rsid w:val="00AD01FD"/>
    <w:rsid w:val="00AD037C"/>
    <w:rsid w:val="00AD09F1"/>
    <w:rsid w:val="00AD1119"/>
    <w:rsid w:val="00AD163A"/>
    <w:rsid w:val="00AD198D"/>
    <w:rsid w:val="00AD25FD"/>
    <w:rsid w:val="00AD2D58"/>
    <w:rsid w:val="00AD3185"/>
    <w:rsid w:val="00AD333C"/>
    <w:rsid w:val="00AD36FA"/>
    <w:rsid w:val="00AD3DA4"/>
    <w:rsid w:val="00AD3F4B"/>
    <w:rsid w:val="00AD499F"/>
    <w:rsid w:val="00AD510A"/>
    <w:rsid w:val="00AD53C2"/>
    <w:rsid w:val="00AD5945"/>
    <w:rsid w:val="00AD5C29"/>
    <w:rsid w:val="00AD62D2"/>
    <w:rsid w:val="00AD6E9A"/>
    <w:rsid w:val="00AD7A27"/>
    <w:rsid w:val="00AD7FCB"/>
    <w:rsid w:val="00AE0463"/>
    <w:rsid w:val="00AE10A2"/>
    <w:rsid w:val="00AE1D11"/>
    <w:rsid w:val="00AE1D90"/>
    <w:rsid w:val="00AE338F"/>
    <w:rsid w:val="00AE4065"/>
    <w:rsid w:val="00AE4505"/>
    <w:rsid w:val="00AE5170"/>
    <w:rsid w:val="00AE53A1"/>
    <w:rsid w:val="00AE57F6"/>
    <w:rsid w:val="00AE678B"/>
    <w:rsid w:val="00AE6901"/>
    <w:rsid w:val="00AE6B81"/>
    <w:rsid w:val="00AE6F2A"/>
    <w:rsid w:val="00AE728C"/>
    <w:rsid w:val="00AE7F8A"/>
    <w:rsid w:val="00AF032A"/>
    <w:rsid w:val="00AF08A6"/>
    <w:rsid w:val="00AF0966"/>
    <w:rsid w:val="00AF1A97"/>
    <w:rsid w:val="00AF2407"/>
    <w:rsid w:val="00AF28F8"/>
    <w:rsid w:val="00AF38F3"/>
    <w:rsid w:val="00AF3F12"/>
    <w:rsid w:val="00AF46DB"/>
    <w:rsid w:val="00AF4C89"/>
    <w:rsid w:val="00AF599A"/>
    <w:rsid w:val="00AF5B1D"/>
    <w:rsid w:val="00AF62AB"/>
    <w:rsid w:val="00AF6F09"/>
    <w:rsid w:val="00AF7297"/>
    <w:rsid w:val="00AF73CF"/>
    <w:rsid w:val="00AF7A3C"/>
    <w:rsid w:val="00AF7A82"/>
    <w:rsid w:val="00B00280"/>
    <w:rsid w:val="00B010D2"/>
    <w:rsid w:val="00B0171A"/>
    <w:rsid w:val="00B01BF6"/>
    <w:rsid w:val="00B01FB2"/>
    <w:rsid w:val="00B0270D"/>
    <w:rsid w:val="00B032A7"/>
    <w:rsid w:val="00B03554"/>
    <w:rsid w:val="00B04778"/>
    <w:rsid w:val="00B04FAB"/>
    <w:rsid w:val="00B05080"/>
    <w:rsid w:val="00B05D6D"/>
    <w:rsid w:val="00B06DA1"/>
    <w:rsid w:val="00B06F0D"/>
    <w:rsid w:val="00B073F2"/>
    <w:rsid w:val="00B07C1A"/>
    <w:rsid w:val="00B10189"/>
    <w:rsid w:val="00B1018F"/>
    <w:rsid w:val="00B10B47"/>
    <w:rsid w:val="00B11D41"/>
    <w:rsid w:val="00B13403"/>
    <w:rsid w:val="00B13FF3"/>
    <w:rsid w:val="00B144B5"/>
    <w:rsid w:val="00B14566"/>
    <w:rsid w:val="00B145B0"/>
    <w:rsid w:val="00B1467C"/>
    <w:rsid w:val="00B14A9C"/>
    <w:rsid w:val="00B14E70"/>
    <w:rsid w:val="00B155EE"/>
    <w:rsid w:val="00B157B9"/>
    <w:rsid w:val="00B16504"/>
    <w:rsid w:val="00B1783B"/>
    <w:rsid w:val="00B17FC4"/>
    <w:rsid w:val="00B2002C"/>
    <w:rsid w:val="00B201EF"/>
    <w:rsid w:val="00B2077E"/>
    <w:rsid w:val="00B20959"/>
    <w:rsid w:val="00B209B3"/>
    <w:rsid w:val="00B2170D"/>
    <w:rsid w:val="00B21F59"/>
    <w:rsid w:val="00B2212E"/>
    <w:rsid w:val="00B222B9"/>
    <w:rsid w:val="00B22BAE"/>
    <w:rsid w:val="00B22F7D"/>
    <w:rsid w:val="00B23265"/>
    <w:rsid w:val="00B236B8"/>
    <w:rsid w:val="00B23F1C"/>
    <w:rsid w:val="00B242AE"/>
    <w:rsid w:val="00B24BC8"/>
    <w:rsid w:val="00B24D26"/>
    <w:rsid w:val="00B24D75"/>
    <w:rsid w:val="00B256C6"/>
    <w:rsid w:val="00B25BD6"/>
    <w:rsid w:val="00B26891"/>
    <w:rsid w:val="00B27039"/>
    <w:rsid w:val="00B27818"/>
    <w:rsid w:val="00B27BA7"/>
    <w:rsid w:val="00B30895"/>
    <w:rsid w:val="00B30E81"/>
    <w:rsid w:val="00B310B8"/>
    <w:rsid w:val="00B311AC"/>
    <w:rsid w:val="00B31237"/>
    <w:rsid w:val="00B31604"/>
    <w:rsid w:val="00B316C7"/>
    <w:rsid w:val="00B31BAF"/>
    <w:rsid w:val="00B32361"/>
    <w:rsid w:val="00B3244D"/>
    <w:rsid w:val="00B3390F"/>
    <w:rsid w:val="00B3401D"/>
    <w:rsid w:val="00B340C5"/>
    <w:rsid w:val="00B342B3"/>
    <w:rsid w:val="00B34DF6"/>
    <w:rsid w:val="00B356B7"/>
    <w:rsid w:val="00B35B94"/>
    <w:rsid w:val="00B36195"/>
    <w:rsid w:val="00B36253"/>
    <w:rsid w:val="00B36433"/>
    <w:rsid w:val="00B3647F"/>
    <w:rsid w:val="00B36B9A"/>
    <w:rsid w:val="00B3767C"/>
    <w:rsid w:val="00B378EA"/>
    <w:rsid w:val="00B37B2E"/>
    <w:rsid w:val="00B37B36"/>
    <w:rsid w:val="00B37C64"/>
    <w:rsid w:val="00B37CB2"/>
    <w:rsid w:val="00B403AD"/>
    <w:rsid w:val="00B40490"/>
    <w:rsid w:val="00B407DE"/>
    <w:rsid w:val="00B40BC2"/>
    <w:rsid w:val="00B40DA7"/>
    <w:rsid w:val="00B41A0F"/>
    <w:rsid w:val="00B41CB6"/>
    <w:rsid w:val="00B41E91"/>
    <w:rsid w:val="00B41EF5"/>
    <w:rsid w:val="00B42121"/>
    <w:rsid w:val="00B425AE"/>
    <w:rsid w:val="00B425DB"/>
    <w:rsid w:val="00B42898"/>
    <w:rsid w:val="00B42BA5"/>
    <w:rsid w:val="00B42CAE"/>
    <w:rsid w:val="00B42F41"/>
    <w:rsid w:val="00B43094"/>
    <w:rsid w:val="00B433B9"/>
    <w:rsid w:val="00B434C0"/>
    <w:rsid w:val="00B4359C"/>
    <w:rsid w:val="00B4387E"/>
    <w:rsid w:val="00B44313"/>
    <w:rsid w:val="00B44331"/>
    <w:rsid w:val="00B44450"/>
    <w:rsid w:val="00B45558"/>
    <w:rsid w:val="00B45E37"/>
    <w:rsid w:val="00B4600E"/>
    <w:rsid w:val="00B4605C"/>
    <w:rsid w:val="00B469B0"/>
    <w:rsid w:val="00B46F9B"/>
    <w:rsid w:val="00B47281"/>
    <w:rsid w:val="00B47365"/>
    <w:rsid w:val="00B47E6F"/>
    <w:rsid w:val="00B512D0"/>
    <w:rsid w:val="00B51AC4"/>
    <w:rsid w:val="00B51ED9"/>
    <w:rsid w:val="00B520A9"/>
    <w:rsid w:val="00B524F2"/>
    <w:rsid w:val="00B52A9D"/>
    <w:rsid w:val="00B52CE6"/>
    <w:rsid w:val="00B532D8"/>
    <w:rsid w:val="00B5428B"/>
    <w:rsid w:val="00B54797"/>
    <w:rsid w:val="00B55E15"/>
    <w:rsid w:val="00B56A47"/>
    <w:rsid w:val="00B5708A"/>
    <w:rsid w:val="00B57142"/>
    <w:rsid w:val="00B57297"/>
    <w:rsid w:val="00B576DA"/>
    <w:rsid w:val="00B577A6"/>
    <w:rsid w:val="00B57A07"/>
    <w:rsid w:val="00B57CBB"/>
    <w:rsid w:val="00B6033C"/>
    <w:rsid w:val="00B60D19"/>
    <w:rsid w:val="00B60FC0"/>
    <w:rsid w:val="00B618D2"/>
    <w:rsid w:val="00B619B1"/>
    <w:rsid w:val="00B61B2C"/>
    <w:rsid w:val="00B61E02"/>
    <w:rsid w:val="00B62193"/>
    <w:rsid w:val="00B6314B"/>
    <w:rsid w:val="00B63EE3"/>
    <w:rsid w:val="00B64D7C"/>
    <w:rsid w:val="00B654D7"/>
    <w:rsid w:val="00B6555C"/>
    <w:rsid w:val="00B6642C"/>
    <w:rsid w:val="00B7030D"/>
    <w:rsid w:val="00B704DD"/>
    <w:rsid w:val="00B70A0E"/>
    <w:rsid w:val="00B7129A"/>
    <w:rsid w:val="00B723B1"/>
    <w:rsid w:val="00B72882"/>
    <w:rsid w:val="00B7320C"/>
    <w:rsid w:val="00B735C6"/>
    <w:rsid w:val="00B74009"/>
    <w:rsid w:val="00B743C6"/>
    <w:rsid w:val="00B7552E"/>
    <w:rsid w:val="00B7588D"/>
    <w:rsid w:val="00B76FC8"/>
    <w:rsid w:val="00B773DA"/>
    <w:rsid w:val="00B776B4"/>
    <w:rsid w:val="00B77AD8"/>
    <w:rsid w:val="00B77F8B"/>
    <w:rsid w:val="00B80478"/>
    <w:rsid w:val="00B80CB3"/>
    <w:rsid w:val="00B815A5"/>
    <w:rsid w:val="00B81B6C"/>
    <w:rsid w:val="00B81C5F"/>
    <w:rsid w:val="00B81D1E"/>
    <w:rsid w:val="00B81F4F"/>
    <w:rsid w:val="00B8268C"/>
    <w:rsid w:val="00B82A48"/>
    <w:rsid w:val="00B82DFA"/>
    <w:rsid w:val="00B82FB3"/>
    <w:rsid w:val="00B8376B"/>
    <w:rsid w:val="00B84147"/>
    <w:rsid w:val="00B84328"/>
    <w:rsid w:val="00B84B35"/>
    <w:rsid w:val="00B84D75"/>
    <w:rsid w:val="00B8524E"/>
    <w:rsid w:val="00B85338"/>
    <w:rsid w:val="00B85FD5"/>
    <w:rsid w:val="00B8606C"/>
    <w:rsid w:val="00B860EB"/>
    <w:rsid w:val="00B866EE"/>
    <w:rsid w:val="00B86BBA"/>
    <w:rsid w:val="00B86C2A"/>
    <w:rsid w:val="00B86DB8"/>
    <w:rsid w:val="00B86F69"/>
    <w:rsid w:val="00B87A8A"/>
    <w:rsid w:val="00B916A0"/>
    <w:rsid w:val="00B92A36"/>
    <w:rsid w:val="00B92B8B"/>
    <w:rsid w:val="00B92D33"/>
    <w:rsid w:val="00B92FF2"/>
    <w:rsid w:val="00B93ABC"/>
    <w:rsid w:val="00B941B1"/>
    <w:rsid w:val="00B945E0"/>
    <w:rsid w:val="00B94B28"/>
    <w:rsid w:val="00B94F33"/>
    <w:rsid w:val="00B95236"/>
    <w:rsid w:val="00B95A23"/>
    <w:rsid w:val="00B968EF"/>
    <w:rsid w:val="00B96D2C"/>
    <w:rsid w:val="00B9743A"/>
    <w:rsid w:val="00B97653"/>
    <w:rsid w:val="00B97AB8"/>
    <w:rsid w:val="00B97BE0"/>
    <w:rsid w:val="00B97D04"/>
    <w:rsid w:val="00BA016D"/>
    <w:rsid w:val="00BA08C1"/>
    <w:rsid w:val="00BA0FA4"/>
    <w:rsid w:val="00BA11AC"/>
    <w:rsid w:val="00BA11D7"/>
    <w:rsid w:val="00BA120B"/>
    <w:rsid w:val="00BA1ABC"/>
    <w:rsid w:val="00BA1C16"/>
    <w:rsid w:val="00BA2E69"/>
    <w:rsid w:val="00BA2EE6"/>
    <w:rsid w:val="00BA3938"/>
    <w:rsid w:val="00BA3947"/>
    <w:rsid w:val="00BA3F80"/>
    <w:rsid w:val="00BA4AB1"/>
    <w:rsid w:val="00BA526D"/>
    <w:rsid w:val="00BA5465"/>
    <w:rsid w:val="00BA55BF"/>
    <w:rsid w:val="00BA6904"/>
    <w:rsid w:val="00BA7636"/>
    <w:rsid w:val="00BA78FE"/>
    <w:rsid w:val="00BA7E48"/>
    <w:rsid w:val="00BB01A9"/>
    <w:rsid w:val="00BB0318"/>
    <w:rsid w:val="00BB0410"/>
    <w:rsid w:val="00BB0556"/>
    <w:rsid w:val="00BB0587"/>
    <w:rsid w:val="00BB0CD3"/>
    <w:rsid w:val="00BB0E34"/>
    <w:rsid w:val="00BB0FC2"/>
    <w:rsid w:val="00BB2016"/>
    <w:rsid w:val="00BB2B84"/>
    <w:rsid w:val="00BB2BB6"/>
    <w:rsid w:val="00BB2C1E"/>
    <w:rsid w:val="00BB2EF7"/>
    <w:rsid w:val="00BB39AE"/>
    <w:rsid w:val="00BB3CA2"/>
    <w:rsid w:val="00BB3F24"/>
    <w:rsid w:val="00BB4287"/>
    <w:rsid w:val="00BB4777"/>
    <w:rsid w:val="00BB4EA8"/>
    <w:rsid w:val="00BB5106"/>
    <w:rsid w:val="00BB586B"/>
    <w:rsid w:val="00BB5C2D"/>
    <w:rsid w:val="00BB5C3E"/>
    <w:rsid w:val="00BB6225"/>
    <w:rsid w:val="00BB6E43"/>
    <w:rsid w:val="00BB7E8F"/>
    <w:rsid w:val="00BC0CD0"/>
    <w:rsid w:val="00BC1595"/>
    <w:rsid w:val="00BC21D8"/>
    <w:rsid w:val="00BC281B"/>
    <w:rsid w:val="00BC2DB1"/>
    <w:rsid w:val="00BC2F39"/>
    <w:rsid w:val="00BC31D3"/>
    <w:rsid w:val="00BC36BD"/>
    <w:rsid w:val="00BC3E1F"/>
    <w:rsid w:val="00BC3EFB"/>
    <w:rsid w:val="00BC4368"/>
    <w:rsid w:val="00BC44A5"/>
    <w:rsid w:val="00BC538F"/>
    <w:rsid w:val="00BC5EC6"/>
    <w:rsid w:val="00BC603C"/>
    <w:rsid w:val="00BC6632"/>
    <w:rsid w:val="00BC6852"/>
    <w:rsid w:val="00BC6EDE"/>
    <w:rsid w:val="00BC78B4"/>
    <w:rsid w:val="00BD03F8"/>
    <w:rsid w:val="00BD0446"/>
    <w:rsid w:val="00BD1513"/>
    <w:rsid w:val="00BD1C12"/>
    <w:rsid w:val="00BD352A"/>
    <w:rsid w:val="00BD3FFE"/>
    <w:rsid w:val="00BD585C"/>
    <w:rsid w:val="00BD5A8D"/>
    <w:rsid w:val="00BD5D6D"/>
    <w:rsid w:val="00BD60C9"/>
    <w:rsid w:val="00BD6285"/>
    <w:rsid w:val="00BD63CF"/>
    <w:rsid w:val="00BD77CA"/>
    <w:rsid w:val="00BD7C00"/>
    <w:rsid w:val="00BD7E7F"/>
    <w:rsid w:val="00BD7FB5"/>
    <w:rsid w:val="00BE02B6"/>
    <w:rsid w:val="00BE03D9"/>
    <w:rsid w:val="00BE133D"/>
    <w:rsid w:val="00BE203F"/>
    <w:rsid w:val="00BE21AC"/>
    <w:rsid w:val="00BE24EB"/>
    <w:rsid w:val="00BE29AB"/>
    <w:rsid w:val="00BE2D6A"/>
    <w:rsid w:val="00BE377F"/>
    <w:rsid w:val="00BE3918"/>
    <w:rsid w:val="00BE3E00"/>
    <w:rsid w:val="00BE4031"/>
    <w:rsid w:val="00BE41D4"/>
    <w:rsid w:val="00BE4317"/>
    <w:rsid w:val="00BE4447"/>
    <w:rsid w:val="00BE4568"/>
    <w:rsid w:val="00BE4CB2"/>
    <w:rsid w:val="00BE4FC4"/>
    <w:rsid w:val="00BE506A"/>
    <w:rsid w:val="00BE5220"/>
    <w:rsid w:val="00BE52B8"/>
    <w:rsid w:val="00BE55D3"/>
    <w:rsid w:val="00BE563D"/>
    <w:rsid w:val="00BE594F"/>
    <w:rsid w:val="00BE5EE4"/>
    <w:rsid w:val="00BE62B8"/>
    <w:rsid w:val="00BE6492"/>
    <w:rsid w:val="00BE6591"/>
    <w:rsid w:val="00BE7620"/>
    <w:rsid w:val="00BF0650"/>
    <w:rsid w:val="00BF0A09"/>
    <w:rsid w:val="00BF1700"/>
    <w:rsid w:val="00BF1CCE"/>
    <w:rsid w:val="00BF1F75"/>
    <w:rsid w:val="00BF20CD"/>
    <w:rsid w:val="00BF2A2E"/>
    <w:rsid w:val="00BF36CC"/>
    <w:rsid w:val="00BF3DB0"/>
    <w:rsid w:val="00BF4138"/>
    <w:rsid w:val="00BF4207"/>
    <w:rsid w:val="00BF5519"/>
    <w:rsid w:val="00BF578A"/>
    <w:rsid w:val="00BF64A6"/>
    <w:rsid w:val="00BF6676"/>
    <w:rsid w:val="00BF6982"/>
    <w:rsid w:val="00BF77A3"/>
    <w:rsid w:val="00C001F8"/>
    <w:rsid w:val="00C006A1"/>
    <w:rsid w:val="00C00943"/>
    <w:rsid w:val="00C00D39"/>
    <w:rsid w:val="00C01042"/>
    <w:rsid w:val="00C01434"/>
    <w:rsid w:val="00C01548"/>
    <w:rsid w:val="00C017AD"/>
    <w:rsid w:val="00C024B3"/>
    <w:rsid w:val="00C02AD0"/>
    <w:rsid w:val="00C03233"/>
    <w:rsid w:val="00C04DAB"/>
    <w:rsid w:val="00C05154"/>
    <w:rsid w:val="00C05210"/>
    <w:rsid w:val="00C05919"/>
    <w:rsid w:val="00C062F7"/>
    <w:rsid w:val="00C06CD2"/>
    <w:rsid w:val="00C06F90"/>
    <w:rsid w:val="00C0700F"/>
    <w:rsid w:val="00C072A6"/>
    <w:rsid w:val="00C07414"/>
    <w:rsid w:val="00C07E38"/>
    <w:rsid w:val="00C1032E"/>
    <w:rsid w:val="00C10B6F"/>
    <w:rsid w:val="00C10E72"/>
    <w:rsid w:val="00C11520"/>
    <w:rsid w:val="00C11D5D"/>
    <w:rsid w:val="00C1252B"/>
    <w:rsid w:val="00C12D57"/>
    <w:rsid w:val="00C13242"/>
    <w:rsid w:val="00C1350B"/>
    <w:rsid w:val="00C135BE"/>
    <w:rsid w:val="00C14B89"/>
    <w:rsid w:val="00C14D63"/>
    <w:rsid w:val="00C14F44"/>
    <w:rsid w:val="00C15124"/>
    <w:rsid w:val="00C16107"/>
    <w:rsid w:val="00C16AA0"/>
    <w:rsid w:val="00C17001"/>
    <w:rsid w:val="00C17353"/>
    <w:rsid w:val="00C2002C"/>
    <w:rsid w:val="00C209FF"/>
    <w:rsid w:val="00C2219D"/>
    <w:rsid w:val="00C22438"/>
    <w:rsid w:val="00C22CE3"/>
    <w:rsid w:val="00C22D2B"/>
    <w:rsid w:val="00C22E7B"/>
    <w:rsid w:val="00C236F4"/>
    <w:rsid w:val="00C24717"/>
    <w:rsid w:val="00C25671"/>
    <w:rsid w:val="00C25B0F"/>
    <w:rsid w:val="00C2672D"/>
    <w:rsid w:val="00C26E4B"/>
    <w:rsid w:val="00C2747B"/>
    <w:rsid w:val="00C277FF"/>
    <w:rsid w:val="00C278B5"/>
    <w:rsid w:val="00C27B92"/>
    <w:rsid w:val="00C27CE4"/>
    <w:rsid w:val="00C3062A"/>
    <w:rsid w:val="00C30A43"/>
    <w:rsid w:val="00C316FB"/>
    <w:rsid w:val="00C31818"/>
    <w:rsid w:val="00C31F54"/>
    <w:rsid w:val="00C32083"/>
    <w:rsid w:val="00C32642"/>
    <w:rsid w:val="00C3270E"/>
    <w:rsid w:val="00C331E0"/>
    <w:rsid w:val="00C33CC1"/>
    <w:rsid w:val="00C33EBC"/>
    <w:rsid w:val="00C34A1F"/>
    <w:rsid w:val="00C3531D"/>
    <w:rsid w:val="00C360DA"/>
    <w:rsid w:val="00C369F2"/>
    <w:rsid w:val="00C36B7B"/>
    <w:rsid w:val="00C36DC6"/>
    <w:rsid w:val="00C36F41"/>
    <w:rsid w:val="00C37273"/>
    <w:rsid w:val="00C377E8"/>
    <w:rsid w:val="00C37B99"/>
    <w:rsid w:val="00C40010"/>
    <w:rsid w:val="00C40508"/>
    <w:rsid w:val="00C41499"/>
    <w:rsid w:val="00C41975"/>
    <w:rsid w:val="00C42286"/>
    <w:rsid w:val="00C4240F"/>
    <w:rsid w:val="00C42B7A"/>
    <w:rsid w:val="00C43526"/>
    <w:rsid w:val="00C4394E"/>
    <w:rsid w:val="00C43C9D"/>
    <w:rsid w:val="00C43DCD"/>
    <w:rsid w:val="00C43FB9"/>
    <w:rsid w:val="00C4466F"/>
    <w:rsid w:val="00C44F4C"/>
    <w:rsid w:val="00C45894"/>
    <w:rsid w:val="00C45D3A"/>
    <w:rsid w:val="00C4610A"/>
    <w:rsid w:val="00C466A0"/>
    <w:rsid w:val="00C47167"/>
    <w:rsid w:val="00C4721D"/>
    <w:rsid w:val="00C50087"/>
    <w:rsid w:val="00C502A1"/>
    <w:rsid w:val="00C504A2"/>
    <w:rsid w:val="00C5069B"/>
    <w:rsid w:val="00C508B9"/>
    <w:rsid w:val="00C50C54"/>
    <w:rsid w:val="00C50D54"/>
    <w:rsid w:val="00C50FE9"/>
    <w:rsid w:val="00C5187A"/>
    <w:rsid w:val="00C523FF"/>
    <w:rsid w:val="00C5275A"/>
    <w:rsid w:val="00C52E5C"/>
    <w:rsid w:val="00C534BD"/>
    <w:rsid w:val="00C537F7"/>
    <w:rsid w:val="00C537FD"/>
    <w:rsid w:val="00C53C75"/>
    <w:rsid w:val="00C53CFB"/>
    <w:rsid w:val="00C53D3F"/>
    <w:rsid w:val="00C53EC0"/>
    <w:rsid w:val="00C5406F"/>
    <w:rsid w:val="00C54510"/>
    <w:rsid w:val="00C54CC3"/>
    <w:rsid w:val="00C54D90"/>
    <w:rsid w:val="00C5511C"/>
    <w:rsid w:val="00C559CC"/>
    <w:rsid w:val="00C568DF"/>
    <w:rsid w:val="00C56AE9"/>
    <w:rsid w:val="00C57F7A"/>
    <w:rsid w:val="00C605A3"/>
    <w:rsid w:val="00C61DF6"/>
    <w:rsid w:val="00C62D75"/>
    <w:rsid w:val="00C63103"/>
    <w:rsid w:val="00C63CAC"/>
    <w:rsid w:val="00C63DEF"/>
    <w:rsid w:val="00C64574"/>
    <w:rsid w:val="00C649D0"/>
    <w:rsid w:val="00C64AAF"/>
    <w:rsid w:val="00C64C46"/>
    <w:rsid w:val="00C65470"/>
    <w:rsid w:val="00C659F2"/>
    <w:rsid w:val="00C65B4C"/>
    <w:rsid w:val="00C673BE"/>
    <w:rsid w:val="00C6773F"/>
    <w:rsid w:val="00C67B3B"/>
    <w:rsid w:val="00C67F89"/>
    <w:rsid w:val="00C7113B"/>
    <w:rsid w:val="00C71807"/>
    <w:rsid w:val="00C7182F"/>
    <w:rsid w:val="00C71B62"/>
    <w:rsid w:val="00C71C73"/>
    <w:rsid w:val="00C726C9"/>
    <w:rsid w:val="00C7286E"/>
    <w:rsid w:val="00C739DA"/>
    <w:rsid w:val="00C75742"/>
    <w:rsid w:val="00C76430"/>
    <w:rsid w:val="00C7694A"/>
    <w:rsid w:val="00C76CEA"/>
    <w:rsid w:val="00C76F85"/>
    <w:rsid w:val="00C773AB"/>
    <w:rsid w:val="00C773D8"/>
    <w:rsid w:val="00C77CAA"/>
    <w:rsid w:val="00C77CE9"/>
    <w:rsid w:val="00C77D9E"/>
    <w:rsid w:val="00C77DFF"/>
    <w:rsid w:val="00C77EA9"/>
    <w:rsid w:val="00C80205"/>
    <w:rsid w:val="00C8082E"/>
    <w:rsid w:val="00C80E44"/>
    <w:rsid w:val="00C810ED"/>
    <w:rsid w:val="00C812A7"/>
    <w:rsid w:val="00C8195D"/>
    <w:rsid w:val="00C81AEA"/>
    <w:rsid w:val="00C81C4D"/>
    <w:rsid w:val="00C82E7D"/>
    <w:rsid w:val="00C82FC3"/>
    <w:rsid w:val="00C83551"/>
    <w:rsid w:val="00C83610"/>
    <w:rsid w:val="00C838F3"/>
    <w:rsid w:val="00C83C8B"/>
    <w:rsid w:val="00C84895"/>
    <w:rsid w:val="00C84EC0"/>
    <w:rsid w:val="00C8525B"/>
    <w:rsid w:val="00C85775"/>
    <w:rsid w:val="00C858FC"/>
    <w:rsid w:val="00C85A1F"/>
    <w:rsid w:val="00C85ABA"/>
    <w:rsid w:val="00C85B0E"/>
    <w:rsid w:val="00C85D7C"/>
    <w:rsid w:val="00C85EE9"/>
    <w:rsid w:val="00C86368"/>
    <w:rsid w:val="00C866E8"/>
    <w:rsid w:val="00C86BEF"/>
    <w:rsid w:val="00C87143"/>
    <w:rsid w:val="00C87331"/>
    <w:rsid w:val="00C8749D"/>
    <w:rsid w:val="00C878A3"/>
    <w:rsid w:val="00C87AA2"/>
    <w:rsid w:val="00C9060F"/>
    <w:rsid w:val="00C9129A"/>
    <w:rsid w:val="00C9160A"/>
    <w:rsid w:val="00C918E8"/>
    <w:rsid w:val="00C91FA2"/>
    <w:rsid w:val="00C926C0"/>
    <w:rsid w:val="00C93D2E"/>
    <w:rsid w:val="00C94479"/>
    <w:rsid w:val="00C947E1"/>
    <w:rsid w:val="00C948F3"/>
    <w:rsid w:val="00C950BB"/>
    <w:rsid w:val="00C9536A"/>
    <w:rsid w:val="00C959BE"/>
    <w:rsid w:val="00C95F5C"/>
    <w:rsid w:val="00C96541"/>
    <w:rsid w:val="00C966B3"/>
    <w:rsid w:val="00C966B9"/>
    <w:rsid w:val="00C96D9A"/>
    <w:rsid w:val="00C96E04"/>
    <w:rsid w:val="00C96FBF"/>
    <w:rsid w:val="00C97559"/>
    <w:rsid w:val="00C97B0C"/>
    <w:rsid w:val="00CA0870"/>
    <w:rsid w:val="00CA0E94"/>
    <w:rsid w:val="00CA12E4"/>
    <w:rsid w:val="00CA142A"/>
    <w:rsid w:val="00CA15E2"/>
    <w:rsid w:val="00CA1895"/>
    <w:rsid w:val="00CA197E"/>
    <w:rsid w:val="00CA1A57"/>
    <w:rsid w:val="00CA1E43"/>
    <w:rsid w:val="00CA1EAB"/>
    <w:rsid w:val="00CA2B64"/>
    <w:rsid w:val="00CA2ECD"/>
    <w:rsid w:val="00CA2F94"/>
    <w:rsid w:val="00CA320D"/>
    <w:rsid w:val="00CA378E"/>
    <w:rsid w:val="00CA383A"/>
    <w:rsid w:val="00CA392F"/>
    <w:rsid w:val="00CA3CC3"/>
    <w:rsid w:val="00CA4A85"/>
    <w:rsid w:val="00CA4DD4"/>
    <w:rsid w:val="00CA641D"/>
    <w:rsid w:val="00CA6434"/>
    <w:rsid w:val="00CA67A5"/>
    <w:rsid w:val="00CA6915"/>
    <w:rsid w:val="00CA6CEB"/>
    <w:rsid w:val="00CA745B"/>
    <w:rsid w:val="00CB0499"/>
    <w:rsid w:val="00CB05B1"/>
    <w:rsid w:val="00CB084F"/>
    <w:rsid w:val="00CB0B1D"/>
    <w:rsid w:val="00CB197E"/>
    <w:rsid w:val="00CB1EC5"/>
    <w:rsid w:val="00CB22D4"/>
    <w:rsid w:val="00CB241E"/>
    <w:rsid w:val="00CB2442"/>
    <w:rsid w:val="00CB24C2"/>
    <w:rsid w:val="00CB2F8B"/>
    <w:rsid w:val="00CB34DE"/>
    <w:rsid w:val="00CB38FC"/>
    <w:rsid w:val="00CB3989"/>
    <w:rsid w:val="00CB3A06"/>
    <w:rsid w:val="00CB479E"/>
    <w:rsid w:val="00CB4F95"/>
    <w:rsid w:val="00CB65F3"/>
    <w:rsid w:val="00CB6A15"/>
    <w:rsid w:val="00CB6CCB"/>
    <w:rsid w:val="00CB6EF7"/>
    <w:rsid w:val="00CB6EF8"/>
    <w:rsid w:val="00CB732C"/>
    <w:rsid w:val="00CB7541"/>
    <w:rsid w:val="00CC00D3"/>
    <w:rsid w:val="00CC0459"/>
    <w:rsid w:val="00CC0484"/>
    <w:rsid w:val="00CC2327"/>
    <w:rsid w:val="00CC2AED"/>
    <w:rsid w:val="00CC369D"/>
    <w:rsid w:val="00CC37FB"/>
    <w:rsid w:val="00CC39E5"/>
    <w:rsid w:val="00CC3C91"/>
    <w:rsid w:val="00CC4619"/>
    <w:rsid w:val="00CC4C6C"/>
    <w:rsid w:val="00CC5390"/>
    <w:rsid w:val="00CC5AAB"/>
    <w:rsid w:val="00CC5CBD"/>
    <w:rsid w:val="00CC5CF1"/>
    <w:rsid w:val="00CC785F"/>
    <w:rsid w:val="00CC78B9"/>
    <w:rsid w:val="00CC7AF3"/>
    <w:rsid w:val="00CD04E4"/>
    <w:rsid w:val="00CD0565"/>
    <w:rsid w:val="00CD0C4A"/>
    <w:rsid w:val="00CD1D2E"/>
    <w:rsid w:val="00CD27F3"/>
    <w:rsid w:val="00CD29A0"/>
    <w:rsid w:val="00CD2C4F"/>
    <w:rsid w:val="00CD3225"/>
    <w:rsid w:val="00CD386B"/>
    <w:rsid w:val="00CD4085"/>
    <w:rsid w:val="00CD43AC"/>
    <w:rsid w:val="00CD55F9"/>
    <w:rsid w:val="00CD6839"/>
    <w:rsid w:val="00CD6CBD"/>
    <w:rsid w:val="00CD72F5"/>
    <w:rsid w:val="00CD7650"/>
    <w:rsid w:val="00CE037B"/>
    <w:rsid w:val="00CE0B9D"/>
    <w:rsid w:val="00CE1828"/>
    <w:rsid w:val="00CE1A7D"/>
    <w:rsid w:val="00CE1BDF"/>
    <w:rsid w:val="00CE1F9F"/>
    <w:rsid w:val="00CE21B9"/>
    <w:rsid w:val="00CE3614"/>
    <w:rsid w:val="00CE36B1"/>
    <w:rsid w:val="00CE3A69"/>
    <w:rsid w:val="00CE4221"/>
    <w:rsid w:val="00CE42FB"/>
    <w:rsid w:val="00CE470B"/>
    <w:rsid w:val="00CE47EB"/>
    <w:rsid w:val="00CE4B2B"/>
    <w:rsid w:val="00CE4F27"/>
    <w:rsid w:val="00CE57AB"/>
    <w:rsid w:val="00CE590C"/>
    <w:rsid w:val="00CE5E3E"/>
    <w:rsid w:val="00CE64E2"/>
    <w:rsid w:val="00CE6B6B"/>
    <w:rsid w:val="00CE6F57"/>
    <w:rsid w:val="00CE74D5"/>
    <w:rsid w:val="00CF0835"/>
    <w:rsid w:val="00CF18F6"/>
    <w:rsid w:val="00CF2234"/>
    <w:rsid w:val="00CF282D"/>
    <w:rsid w:val="00CF2CDA"/>
    <w:rsid w:val="00CF304D"/>
    <w:rsid w:val="00CF34DF"/>
    <w:rsid w:val="00CF3808"/>
    <w:rsid w:val="00CF3C39"/>
    <w:rsid w:val="00CF449B"/>
    <w:rsid w:val="00CF4712"/>
    <w:rsid w:val="00CF4980"/>
    <w:rsid w:val="00CF4B2E"/>
    <w:rsid w:val="00CF4E34"/>
    <w:rsid w:val="00CF51E8"/>
    <w:rsid w:val="00CF5FAF"/>
    <w:rsid w:val="00CF6DA9"/>
    <w:rsid w:val="00CF6DE9"/>
    <w:rsid w:val="00CF7EF0"/>
    <w:rsid w:val="00D00537"/>
    <w:rsid w:val="00D00916"/>
    <w:rsid w:val="00D0101E"/>
    <w:rsid w:val="00D01D03"/>
    <w:rsid w:val="00D0200F"/>
    <w:rsid w:val="00D02A1D"/>
    <w:rsid w:val="00D02A87"/>
    <w:rsid w:val="00D03AE3"/>
    <w:rsid w:val="00D04301"/>
    <w:rsid w:val="00D04590"/>
    <w:rsid w:val="00D04EB8"/>
    <w:rsid w:val="00D064CA"/>
    <w:rsid w:val="00D06840"/>
    <w:rsid w:val="00D06B6F"/>
    <w:rsid w:val="00D06C89"/>
    <w:rsid w:val="00D1007B"/>
    <w:rsid w:val="00D1103B"/>
    <w:rsid w:val="00D118B1"/>
    <w:rsid w:val="00D11FF6"/>
    <w:rsid w:val="00D12487"/>
    <w:rsid w:val="00D12C82"/>
    <w:rsid w:val="00D12DD7"/>
    <w:rsid w:val="00D13359"/>
    <w:rsid w:val="00D137D4"/>
    <w:rsid w:val="00D1386A"/>
    <w:rsid w:val="00D13A5B"/>
    <w:rsid w:val="00D13F4C"/>
    <w:rsid w:val="00D145A7"/>
    <w:rsid w:val="00D151C8"/>
    <w:rsid w:val="00D15C2B"/>
    <w:rsid w:val="00D16254"/>
    <w:rsid w:val="00D166E8"/>
    <w:rsid w:val="00D16925"/>
    <w:rsid w:val="00D170A0"/>
    <w:rsid w:val="00D17F79"/>
    <w:rsid w:val="00D20010"/>
    <w:rsid w:val="00D2090D"/>
    <w:rsid w:val="00D20FEF"/>
    <w:rsid w:val="00D21732"/>
    <w:rsid w:val="00D21860"/>
    <w:rsid w:val="00D21936"/>
    <w:rsid w:val="00D21CB9"/>
    <w:rsid w:val="00D21D96"/>
    <w:rsid w:val="00D21E53"/>
    <w:rsid w:val="00D22B33"/>
    <w:rsid w:val="00D22D5D"/>
    <w:rsid w:val="00D2390F"/>
    <w:rsid w:val="00D23F12"/>
    <w:rsid w:val="00D250B3"/>
    <w:rsid w:val="00D25D38"/>
    <w:rsid w:val="00D2732E"/>
    <w:rsid w:val="00D276B6"/>
    <w:rsid w:val="00D2774F"/>
    <w:rsid w:val="00D27EED"/>
    <w:rsid w:val="00D27FF3"/>
    <w:rsid w:val="00D30B7D"/>
    <w:rsid w:val="00D30D2B"/>
    <w:rsid w:val="00D30DCA"/>
    <w:rsid w:val="00D30E5E"/>
    <w:rsid w:val="00D31079"/>
    <w:rsid w:val="00D313FE"/>
    <w:rsid w:val="00D3174C"/>
    <w:rsid w:val="00D31B5B"/>
    <w:rsid w:val="00D31EBD"/>
    <w:rsid w:val="00D32164"/>
    <w:rsid w:val="00D324DB"/>
    <w:rsid w:val="00D32525"/>
    <w:rsid w:val="00D3295D"/>
    <w:rsid w:val="00D32B76"/>
    <w:rsid w:val="00D32E9D"/>
    <w:rsid w:val="00D331B8"/>
    <w:rsid w:val="00D331CA"/>
    <w:rsid w:val="00D33648"/>
    <w:rsid w:val="00D34055"/>
    <w:rsid w:val="00D34359"/>
    <w:rsid w:val="00D347C1"/>
    <w:rsid w:val="00D34DD7"/>
    <w:rsid w:val="00D34EDB"/>
    <w:rsid w:val="00D350BB"/>
    <w:rsid w:val="00D3537E"/>
    <w:rsid w:val="00D35448"/>
    <w:rsid w:val="00D354D2"/>
    <w:rsid w:val="00D3553F"/>
    <w:rsid w:val="00D35950"/>
    <w:rsid w:val="00D35A8E"/>
    <w:rsid w:val="00D35F2B"/>
    <w:rsid w:val="00D37A25"/>
    <w:rsid w:val="00D400B5"/>
    <w:rsid w:val="00D404B0"/>
    <w:rsid w:val="00D4074A"/>
    <w:rsid w:val="00D40899"/>
    <w:rsid w:val="00D40D7A"/>
    <w:rsid w:val="00D41276"/>
    <w:rsid w:val="00D4130B"/>
    <w:rsid w:val="00D4230D"/>
    <w:rsid w:val="00D42799"/>
    <w:rsid w:val="00D42A92"/>
    <w:rsid w:val="00D42E13"/>
    <w:rsid w:val="00D4409B"/>
    <w:rsid w:val="00D456A1"/>
    <w:rsid w:val="00D46522"/>
    <w:rsid w:val="00D471A5"/>
    <w:rsid w:val="00D47C6A"/>
    <w:rsid w:val="00D47DB3"/>
    <w:rsid w:val="00D47EE7"/>
    <w:rsid w:val="00D47F24"/>
    <w:rsid w:val="00D500AC"/>
    <w:rsid w:val="00D5013D"/>
    <w:rsid w:val="00D50241"/>
    <w:rsid w:val="00D50391"/>
    <w:rsid w:val="00D50FCA"/>
    <w:rsid w:val="00D510C4"/>
    <w:rsid w:val="00D51AB2"/>
    <w:rsid w:val="00D51C26"/>
    <w:rsid w:val="00D51F73"/>
    <w:rsid w:val="00D5296D"/>
    <w:rsid w:val="00D53CF4"/>
    <w:rsid w:val="00D558AC"/>
    <w:rsid w:val="00D55EF6"/>
    <w:rsid w:val="00D5670D"/>
    <w:rsid w:val="00D567BE"/>
    <w:rsid w:val="00D56888"/>
    <w:rsid w:val="00D5717C"/>
    <w:rsid w:val="00D5789B"/>
    <w:rsid w:val="00D601F4"/>
    <w:rsid w:val="00D60AEF"/>
    <w:rsid w:val="00D610FD"/>
    <w:rsid w:val="00D61D2A"/>
    <w:rsid w:val="00D62134"/>
    <w:rsid w:val="00D6227A"/>
    <w:rsid w:val="00D62589"/>
    <w:rsid w:val="00D62D3F"/>
    <w:rsid w:val="00D63B27"/>
    <w:rsid w:val="00D644C9"/>
    <w:rsid w:val="00D64E4A"/>
    <w:rsid w:val="00D64F7A"/>
    <w:rsid w:val="00D65891"/>
    <w:rsid w:val="00D658F5"/>
    <w:rsid w:val="00D65F31"/>
    <w:rsid w:val="00D66866"/>
    <w:rsid w:val="00D66D4B"/>
    <w:rsid w:val="00D66F5C"/>
    <w:rsid w:val="00D673BC"/>
    <w:rsid w:val="00D67663"/>
    <w:rsid w:val="00D67FC4"/>
    <w:rsid w:val="00D70095"/>
    <w:rsid w:val="00D704A8"/>
    <w:rsid w:val="00D7075F"/>
    <w:rsid w:val="00D70796"/>
    <w:rsid w:val="00D70F3D"/>
    <w:rsid w:val="00D71B8A"/>
    <w:rsid w:val="00D7250D"/>
    <w:rsid w:val="00D72675"/>
    <w:rsid w:val="00D7276C"/>
    <w:rsid w:val="00D72779"/>
    <w:rsid w:val="00D73037"/>
    <w:rsid w:val="00D730F9"/>
    <w:rsid w:val="00D732D9"/>
    <w:rsid w:val="00D733B3"/>
    <w:rsid w:val="00D75480"/>
    <w:rsid w:val="00D7590D"/>
    <w:rsid w:val="00D759F1"/>
    <w:rsid w:val="00D76946"/>
    <w:rsid w:val="00D76F09"/>
    <w:rsid w:val="00D76F68"/>
    <w:rsid w:val="00D76FED"/>
    <w:rsid w:val="00D77664"/>
    <w:rsid w:val="00D77A27"/>
    <w:rsid w:val="00D77ABF"/>
    <w:rsid w:val="00D77B38"/>
    <w:rsid w:val="00D77C95"/>
    <w:rsid w:val="00D80786"/>
    <w:rsid w:val="00D80E82"/>
    <w:rsid w:val="00D80FC0"/>
    <w:rsid w:val="00D81434"/>
    <w:rsid w:val="00D81897"/>
    <w:rsid w:val="00D81F5B"/>
    <w:rsid w:val="00D821F5"/>
    <w:rsid w:val="00D82C37"/>
    <w:rsid w:val="00D833F9"/>
    <w:rsid w:val="00D841CB"/>
    <w:rsid w:val="00D84295"/>
    <w:rsid w:val="00D855DC"/>
    <w:rsid w:val="00D86779"/>
    <w:rsid w:val="00D869F2"/>
    <w:rsid w:val="00D87160"/>
    <w:rsid w:val="00D872B3"/>
    <w:rsid w:val="00D9019D"/>
    <w:rsid w:val="00D90276"/>
    <w:rsid w:val="00D90829"/>
    <w:rsid w:val="00D90A05"/>
    <w:rsid w:val="00D90A10"/>
    <w:rsid w:val="00D90C93"/>
    <w:rsid w:val="00D91184"/>
    <w:rsid w:val="00D91689"/>
    <w:rsid w:val="00D91793"/>
    <w:rsid w:val="00D91D6A"/>
    <w:rsid w:val="00D91F53"/>
    <w:rsid w:val="00D92A55"/>
    <w:rsid w:val="00D92B79"/>
    <w:rsid w:val="00D92D14"/>
    <w:rsid w:val="00D93300"/>
    <w:rsid w:val="00D93972"/>
    <w:rsid w:val="00D93AAA"/>
    <w:rsid w:val="00D93BC1"/>
    <w:rsid w:val="00D93BDC"/>
    <w:rsid w:val="00D93E09"/>
    <w:rsid w:val="00D94137"/>
    <w:rsid w:val="00D94391"/>
    <w:rsid w:val="00D948ED"/>
    <w:rsid w:val="00D94A5D"/>
    <w:rsid w:val="00D95155"/>
    <w:rsid w:val="00D95412"/>
    <w:rsid w:val="00D95A07"/>
    <w:rsid w:val="00D95B1C"/>
    <w:rsid w:val="00D95CFD"/>
    <w:rsid w:val="00D960A9"/>
    <w:rsid w:val="00D9642B"/>
    <w:rsid w:val="00D97116"/>
    <w:rsid w:val="00D97264"/>
    <w:rsid w:val="00D97B58"/>
    <w:rsid w:val="00D97D69"/>
    <w:rsid w:val="00D97E8A"/>
    <w:rsid w:val="00DA03D1"/>
    <w:rsid w:val="00DA0C30"/>
    <w:rsid w:val="00DA106B"/>
    <w:rsid w:val="00DA215D"/>
    <w:rsid w:val="00DA2213"/>
    <w:rsid w:val="00DA2CA1"/>
    <w:rsid w:val="00DA3638"/>
    <w:rsid w:val="00DA37F6"/>
    <w:rsid w:val="00DA405B"/>
    <w:rsid w:val="00DA40AC"/>
    <w:rsid w:val="00DA429E"/>
    <w:rsid w:val="00DA4FAF"/>
    <w:rsid w:val="00DA55E2"/>
    <w:rsid w:val="00DA5C1F"/>
    <w:rsid w:val="00DA631F"/>
    <w:rsid w:val="00DA6604"/>
    <w:rsid w:val="00DA6A6D"/>
    <w:rsid w:val="00DA71DC"/>
    <w:rsid w:val="00DB0312"/>
    <w:rsid w:val="00DB0370"/>
    <w:rsid w:val="00DB080D"/>
    <w:rsid w:val="00DB0DA8"/>
    <w:rsid w:val="00DB1250"/>
    <w:rsid w:val="00DB1CFB"/>
    <w:rsid w:val="00DB2AE7"/>
    <w:rsid w:val="00DB334C"/>
    <w:rsid w:val="00DB37C8"/>
    <w:rsid w:val="00DB3F48"/>
    <w:rsid w:val="00DB4141"/>
    <w:rsid w:val="00DB4148"/>
    <w:rsid w:val="00DB4DF5"/>
    <w:rsid w:val="00DB55A4"/>
    <w:rsid w:val="00DB59B3"/>
    <w:rsid w:val="00DB64A3"/>
    <w:rsid w:val="00DB65B5"/>
    <w:rsid w:val="00DB6781"/>
    <w:rsid w:val="00DB6B24"/>
    <w:rsid w:val="00DB6CE3"/>
    <w:rsid w:val="00DB78D9"/>
    <w:rsid w:val="00DB79DC"/>
    <w:rsid w:val="00DB7BCB"/>
    <w:rsid w:val="00DB7C30"/>
    <w:rsid w:val="00DB7DAB"/>
    <w:rsid w:val="00DC02AE"/>
    <w:rsid w:val="00DC0A48"/>
    <w:rsid w:val="00DC0C85"/>
    <w:rsid w:val="00DC0D79"/>
    <w:rsid w:val="00DC1071"/>
    <w:rsid w:val="00DC1453"/>
    <w:rsid w:val="00DC1502"/>
    <w:rsid w:val="00DC19F2"/>
    <w:rsid w:val="00DC1FE3"/>
    <w:rsid w:val="00DC2131"/>
    <w:rsid w:val="00DC21D4"/>
    <w:rsid w:val="00DC24D6"/>
    <w:rsid w:val="00DC2557"/>
    <w:rsid w:val="00DC277B"/>
    <w:rsid w:val="00DC2B21"/>
    <w:rsid w:val="00DC3036"/>
    <w:rsid w:val="00DC3E79"/>
    <w:rsid w:val="00DC4334"/>
    <w:rsid w:val="00DC4423"/>
    <w:rsid w:val="00DC460F"/>
    <w:rsid w:val="00DC4878"/>
    <w:rsid w:val="00DC6C40"/>
    <w:rsid w:val="00DC6D19"/>
    <w:rsid w:val="00DC7A36"/>
    <w:rsid w:val="00DD0221"/>
    <w:rsid w:val="00DD02D6"/>
    <w:rsid w:val="00DD0D52"/>
    <w:rsid w:val="00DD0D6F"/>
    <w:rsid w:val="00DD1365"/>
    <w:rsid w:val="00DD1703"/>
    <w:rsid w:val="00DD23DF"/>
    <w:rsid w:val="00DD26A3"/>
    <w:rsid w:val="00DD2701"/>
    <w:rsid w:val="00DD2715"/>
    <w:rsid w:val="00DD2E9D"/>
    <w:rsid w:val="00DD330F"/>
    <w:rsid w:val="00DD3773"/>
    <w:rsid w:val="00DD39A8"/>
    <w:rsid w:val="00DD3AE4"/>
    <w:rsid w:val="00DD4157"/>
    <w:rsid w:val="00DD4984"/>
    <w:rsid w:val="00DD4BD9"/>
    <w:rsid w:val="00DD50CE"/>
    <w:rsid w:val="00DD57F9"/>
    <w:rsid w:val="00DD5F31"/>
    <w:rsid w:val="00DD6210"/>
    <w:rsid w:val="00DD70C2"/>
    <w:rsid w:val="00DD7473"/>
    <w:rsid w:val="00DD7D66"/>
    <w:rsid w:val="00DE0AEC"/>
    <w:rsid w:val="00DE0BFD"/>
    <w:rsid w:val="00DE14F8"/>
    <w:rsid w:val="00DE1B2C"/>
    <w:rsid w:val="00DE2646"/>
    <w:rsid w:val="00DE26E8"/>
    <w:rsid w:val="00DE2714"/>
    <w:rsid w:val="00DE36A1"/>
    <w:rsid w:val="00DE3A4B"/>
    <w:rsid w:val="00DE3C3C"/>
    <w:rsid w:val="00DE3EF6"/>
    <w:rsid w:val="00DE405D"/>
    <w:rsid w:val="00DE4132"/>
    <w:rsid w:val="00DE4944"/>
    <w:rsid w:val="00DE4B14"/>
    <w:rsid w:val="00DE4B1E"/>
    <w:rsid w:val="00DE5071"/>
    <w:rsid w:val="00DE5076"/>
    <w:rsid w:val="00DE50DA"/>
    <w:rsid w:val="00DE607C"/>
    <w:rsid w:val="00DE6174"/>
    <w:rsid w:val="00DE6299"/>
    <w:rsid w:val="00DE629B"/>
    <w:rsid w:val="00DE658A"/>
    <w:rsid w:val="00DE6619"/>
    <w:rsid w:val="00DE6E4B"/>
    <w:rsid w:val="00DE72B5"/>
    <w:rsid w:val="00DE76C1"/>
    <w:rsid w:val="00DE7CAA"/>
    <w:rsid w:val="00DE7CDA"/>
    <w:rsid w:val="00DE7E07"/>
    <w:rsid w:val="00DF07FD"/>
    <w:rsid w:val="00DF106B"/>
    <w:rsid w:val="00DF135A"/>
    <w:rsid w:val="00DF216F"/>
    <w:rsid w:val="00DF300A"/>
    <w:rsid w:val="00DF353C"/>
    <w:rsid w:val="00DF4235"/>
    <w:rsid w:val="00DF5322"/>
    <w:rsid w:val="00DF5CF1"/>
    <w:rsid w:val="00DF6163"/>
    <w:rsid w:val="00DF64D5"/>
    <w:rsid w:val="00DF7EE7"/>
    <w:rsid w:val="00DF7F0D"/>
    <w:rsid w:val="00E00AAD"/>
    <w:rsid w:val="00E017BA"/>
    <w:rsid w:val="00E023FB"/>
    <w:rsid w:val="00E030AB"/>
    <w:rsid w:val="00E03A30"/>
    <w:rsid w:val="00E03A8D"/>
    <w:rsid w:val="00E04668"/>
    <w:rsid w:val="00E04B51"/>
    <w:rsid w:val="00E04CB5"/>
    <w:rsid w:val="00E04EF3"/>
    <w:rsid w:val="00E04FEC"/>
    <w:rsid w:val="00E051D2"/>
    <w:rsid w:val="00E05520"/>
    <w:rsid w:val="00E05B26"/>
    <w:rsid w:val="00E05BB6"/>
    <w:rsid w:val="00E06208"/>
    <w:rsid w:val="00E068D5"/>
    <w:rsid w:val="00E06FEC"/>
    <w:rsid w:val="00E07059"/>
    <w:rsid w:val="00E072C9"/>
    <w:rsid w:val="00E07B21"/>
    <w:rsid w:val="00E1013A"/>
    <w:rsid w:val="00E10634"/>
    <w:rsid w:val="00E10C95"/>
    <w:rsid w:val="00E10D82"/>
    <w:rsid w:val="00E124C7"/>
    <w:rsid w:val="00E12B5D"/>
    <w:rsid w:val="00E13CCA"/>
    <w:rsid w:val="00E13F39"/>
    <w:rsid w:val="00E142C0"/>
    <w:rsid w:val="00E147D8"/>
    <w:rsid w:val="00E15538"/>
    <w:rsid w:val="00E15BE8"/>
    <w:rsid w:val="00E168D8"/>
    <w:rsid w:val="00E16CD9"/>
    <w:rsid w:val="00E17377"/>
    <w:rsid w:val="00E17660"/>
    <w:rsid w:val="00E17CE8"/>
    <w:rsid w:val="00E20A07"/>
    <w:rsid w:val="00E20A94"/>
    <w:rsid w:val="00E20B44"/>
    <w:rsid w:val="00E20B4E"/>
    <w:rsid w:val="00E20DE7"/>
    <w:rsid w:val="00E21A88"/>
    <w:rsid w:val="00E21DDA"/>
    <w:rsid w:val="00E21F55"/>
    <w:rsid w:val="00E22563"/>
    <w:rsid w:val="00E22BF2"/>
    <w:rsid w:val="00E2372E"/>
    <w:rsid w:val="00E23AED"/>
    <w:rsid w:val="00E23C2E"/>
    <w:rsid w:val="00E24D25"/>
    <w:rsid w:val="00E24E6D"/>
    <w:rsid w:val="00E250A7"/>
    <w:rsid w:val="00E2523B"/>
    <w:rsid w:val="00E2643C"/>
    <w:rsid w:val="00E27423"/>
    <w:rsid w:val="00E27ABD"/>
    <w:rsid w:val="00E30848"/>
    <w:rsid w:val="00E30C4B"/>
    <w:rsid w:val="00E315BB"/>
    <w:rsid w:val="00E317E8"/>
    <w:rsid w:val="00E31A38"/>
    <w:rsid w:val="00E31B5A"/>
    <w:rsid w:val="00E32439"/>
    <w:rsid w:val="00E333D2"/>
    <w:rsid w:val="00E342EA"/>
    <w:rsid w:val="00E34810"/>
    <w:rsid w:val="00E353F9"/>
    <w:rsid w:val="00E35598"/>
    <w:rsid w:val="00E360DA"/>
    <w:rsid w:val="00E365FB"/>
    <w:rsid w:val="00E367B8"/>
    <w:rsid w:val="00E36DBB"/>
    <w:rsid w:val="00E370ED"/>
    <w:rsid w:val="00E37592"/>
    <w:rsid w:val="00E37EC1"/>
    <w:rsid w:val="00E40A1A"/>
    <w:rsid w:val="00E40B44"/>
    <w:rsid w:val="00E41068"/>
    <w:rsid w:val="00E41074"/>
    <w:rsid w:val="00E410E3"/>
    <w:rsid w:val="00E41157"/>
    <w:rsid w:val="00E41164"/>
    <w:rsid w:val="00E414F9"/>
    <w:rsid w:val="00E4157F"/>
    <w:rsid w:val="00E41D71"/>
    <w:rsid w:val="00E41DF4"/>
    <w:rsid w:val="00E41E3E"/>
    <w:rsid w:val="00E424B4"/>
    <w:rsid w:val="00E4290A"/>
    <w:rsid w:val="00E42ABF"/>
    <w:rsid w:val="00E430DE"/>
    <w:rsid w:val="00E43638"/>
    <w:rsid w:val="00E4420C"/>
    <w:rsid w:val="00E44491"/>
    <w:rsid w:val="00E44CB7"/>
    <w:rsid w:val="00E4566D"/>
    <w:rsid w:val="00E45EA0"/>
    <w:rsid w:val="00E46145"/>
    <w:rsid w:val="00E4662B"/>
    <w:rsid w:val="00E47010"/>
    <w:rsid w:val="00E471D9"/>
    <w:rsid w:val="00E4789F"/>
    <w:rsid w:val="00E479F0"/>
    <w:rsid w:val="00E47CCD"/>
    <w:rsid w:val="00E47F27"/>
    <w:rsid w:val="00E507A5"/>
    <w:rsid w:val="00E50D92"/>
    <w:rsid w:val="00E50E54"/>
    <w:rsid w:val="00E51B40"/>
    <w:rsid w:val="00E51ED5"/>
    <w:rsid w:val="00E52235"/>
    <w:rsid w:val="00E529D2"/>
    <w:rsid w:val="00E52D56"/>
    <w:rsid w:val="00E52FB5"/>
    <w:rsid w:val="00E53710"/>
    <w:rsid w:val="00E5399E"/>
    <w:rsid w:val="00E548B3"/>
    <w:rsid w:val="00E551E9"/>
    <w:rsid w:val="00E55385"/>
    <w:rsid w:val="00E5575B"/>
    <w:rsid w:val="00E55B72"/>
    <w:rsid w:val="00E55D13"/>
    <w:rsid w:val="00E564AE"/>
    <w:rsid w:val="00E573AA"/>
    <w:rsid w:val="00E57940"/>
    <w:rsid w:val="00E57AF1"/>
    <w:rsid w:val="00E60026"/>
    <w:rsid w:val="00E602B3"/>
    <w:rsid w:val="00E60594"/>
    <w:rsid w:val="00E607A0"/>
    <w:rsid w:val="00E608DB"/>
    <w:rsid w:val="00E6108F"/>
    <w:rsid w:val="00E613C9"/>
    <w:rsid w:val="00E61DFF"/>
    <w:rsid w:val="00E61E83"/>
    <w:rsid w:val="00E61EAB"/>
    <w:rsid w:val="00E63820"/>
    <w:rsid w:val="00E63A0E"/>
    <w:rsid w:val="00E63AC4"/>
    <w:rsid w:val="00E63B2F"/>
    <w:rsid w:val="00E63B71"/>
    <w:rsid w:val="00E63C00"/>
    <w:rsid w:val="00E64547"/>
    <w:rsid w:val="00E6487A"/>
    <w:rsid w:val="00E64924"/>
    <w:rsid w:val="00E64BD2"/>
    <w:rsid w:val="00E65447"/>
    <w:rsid w:val="00E65861"/>
    <w:rsid w:val="00E6589D"/>
    <w:rsid w:val="00E65D29"/>
    <w:rsid w:val="00E6613C"/>
    <w:rsid w:val="00E6631D"/>
    <w:rsid w:val="00E66F49"/>
    <w:rsid w:val="00E66F89"/>
    <w:rsid w:val="00E676A9"/>
    <w:rsid w:val="00E677FF"/>
    <w:rsid w:val="00E6799A"/>
    <w:rsid w:val="00E679DE"/>
    <w:rsid w:val="00E67B6D"/>
    <w:rsid w:val="00E67BA8"/>
    <w:rsid w:val="00E7005E"/>
    <w:rsid w:val="00E71044"/>
    <w:rsid w:val="00E71126"/>
    <w:rsid w:val="00E72017"/>
    <w:rsid w:val="00E72046"/>
    <w:rsid w:val="00E72A0E"/>
    <w:rsid w:val="00E73248"/>
    <w:rsid w:val="00E736A5"/>
    <w:rsid w:val="00E73ED9"/>
    <w:rsid w:val="00E74BF4"/>
    <w:rsid w:val="00E74CEE"/>
    <w:rsid w:val="00E753C9"/>
    <w:rsid w:val="00E7587C"/>
    <w:rsid w:val="00E75B81"/>
    <w:rsid w:val="00E75FFA"/>
    <w:rsid w:val="00E76179"/>
    <w:rsid w:val="00E7622C"/>
    <w:rsid w:val="00E76276"/>
    <w:rsid w:val="00E77A93"/>
    <w:rsid w:val="00E8005A"/>
    <w:rsid w:val="00E81767"/>
    <w:rsid w:val="00E81B60"/>
    <w:rsid w:val="00E81C48"/>
    <w:rsid w:val="00E82107"/>
    <w:rsid w:val="00E8276D"/>
    <w:rsid w:val="00E82A58"/>
    <w:rsid w:val="00E82E2E"/>
    <w:rsid w:val="00E839C6"/>
    <w:rsid w:val="00E83B79"/>
    <w:rsid w:val="00E83C16"/>
    <w:rsid w:val="00E8415D"/>
    <w:rsid w:val="00E8448F"/>
    <w:rsid w:val="00E84C8A"/>
    <w:rsid w:val="00E85471"/>
    <w:rsid w:val="00E858CA"/>
    <w:rsid w:val="00E85CF2"/>
    <w:rsid w:val="00E860D7"/>
    <w:rsid w:val="00E86635"/>
    <w:rsid w:val="00E868CA"/>
    <w:rsid w:val="00E869BD"/>
    <w:rsid w:val="00E87CF3"/>
    <w:rsid w:val="00E90478"/>
    <w:rsid w:val="00E9055B"/>
    <w:rsid w:val="00E908B6"/>
    <w:rsid w:val="00E91E92"/>
    <w:rsid w:val="00E91F0A"/>
    <w:rsid w:val="00E92016"/>
    <w:rsid w:val="00E9266E"/>
    <w:rsid w:val="00E93DA9"/>
    <w:rsid w:val="00E93EDB"/>
    <w:rsid w:val="00E94D42"/>
    <w:rsid w:val="00E954ED"/>
    <w:rsid w:val="00E95719"/>
    <w:rsid w:val="00E960FE"/>
    <w:rsid w:val="00E96438"/>
    <w:rsid w:val="00E96C02"/>
    <w:rsid w:val="00E96EB2"/>
    <w:rsid w:val="00E972E8"/>
    <w:rsid w:val="00E973E7"/>
    <w:rsid w:val="00E97785"/>
    <w:rsid w:val="00E977D0"/>
    <w:rsid w:val="00E9782B"/>
    <w:rsid w:val="00E97853"/>
    <w:rsid w:val="00E97B02"/>
    <w:rsid w:val="00EA052F"/>
    <w:rsid w:val="00EA1669"/>
    <w:rsid w:val="00EA185D"/>
    <w:rsid w:val="00EA1A4E"/>
    <w:rsid w:val="00EA1A8F"/>
    <w:rsid w:val="00EA1DEB"/>
    <w:rsid w:val="00EA1DFD"/>
    <w:rsid w:val="00EA2200"/>
    <w:rsid w:val="00EA226D"/>
    <w:rsid w:val="00EA2BAF"/>
    <w:rsid w:val="00EA2C9F"/>
    <w:rsid w:val="00EA2DA7"/>
    <w:rsid w:val="00EA387D"/>
    <w:rsid w:val="00EA39D3"/>
    <w:rsid w:val="00EA3B93"/>
    <w:rsid w:val="00EA3C92"/>
    <w:rsid w:val="00EA47DB"/>
    <w:rsid w:val="00EA4B48"/>
    <w:rsid w:val="00EA5342"/>
    <w:rsid w:val="00EA5A4A"/>
    <w:rsid w:val="00EA6ED6"/>
    <w:rsid w:val="00EA77AF"/>
    <w:rsid w:val="00EA7BEF"/>
    <w:rsid w:val="00EA7C0B"/>
    <w:rsid w:val="00EB0C5C"/>
    <w:rsid w:val="00EB159D"/>
    <w:rsid w:val="00EB1FF6"/>
    <w:rsid w:val="00EB2171"/>
    <w:rsid w:val="00EB21C7"/>
    <w:rsid w:val="00EB2E1A"/>
    <w:rsid w:val="00EB3042"/>
    <w:rsid w:val="00EB445F"/>
    <w:rsid w:val="00EB47E2"/>
    <w:rsid w:val="00EB4E9C"/>
    <w:rsid w:val="00EB5005"/>
    <w:rsid w:val="00EB5104"/>
    <w:rsid w:val="00EB58FA"/>
    <w:rsid w:val="00EB5A71"/>
    <w:rsid w:val="00EB642E"/>
    <w:rsid w:val="00EB6499"/>
    <w:rsid w:val="00EB650B"/>
    <w:rsid w:val="00EB7DDD"/>
    <w:rsid w:val="00EB7FCF"/>
    <w:rsid w:val="00EC0467"/>
    <w:rsid w:val="00EC054E"/>
    <w:rsid w:val="00EC0B3D"/>
    <w:rsid w:val="00EC0F58"/>
    <w:rsid w:val="00EC10B3"/>
    <w:rsid w:val="00EC1B3D"/>
    <w:rsid w:val="00EC1D9D"/>
    <w:rsid w:val="00EC1E74"/>
    <w:rsid w:val="00EC234C"/>
    <w:rsid w:val="00EC274E"/>
    <w:rsid w:val="00EC293E"/>
    <w:rsid w:val="00EC2B37"/>
    <w:rsid w:val="00EC2E17"/>
    <w:rsid w:val="00EC30C5"/>
    <w:rsid w:val="00EC4B89"/>
    <w:rsid w:val="00EC4C30"/>
    <w:rsid w:val="00EC4F31"/>
    <w:rsid w:val="00EC534D"/>
    <w:rsid w:val="00EC59F3"/>
    <w:rsid w:val="00EC5B49"/>
    <w:rsid w:val="00EC5F44"/>
    <w:rsid w:val="00EC6296"/>
    <w:rsid w:val="00EC6896"/>
    <w:rsid w:val="00EC717B"/>
    <w:rsid w:val="00EC72C1"/>
    <w:rsid w:val="00ED106C"/>
    <w:rsid w:val="00ED1AF0"/>
    <w:rsid w:val="00ED284D"/>
    <w:rsid w:val="00ED28E9"/>
    <w:rsid w:val="00ED3C18"/>
    <w:rsid w:val="00ED3DF7"/>
    <w:rsid w:val="00ED40BA"/>
    <w:rsid w:val="00ED44D9"/>
    <w:rsid w:val="00ED4715"/>
    <w:rsid w:val="00ED4717"/>
    <w:rsid w:val="00ED4C6A"/>
    <w:rsid w:val="00ED5588"/>
    <w:rsid w:val="00ED5978"/>
    <w:rsid w:val="00ED5B2D"/>
    <w:rsid w:val="00ED5BCC"/>
    <w:rsid w:val="00ED6832"/>
    <w:rsid w:val="00ED69A8"/>
    <w:rsid w:val="00ED6DF6"/>
    <w:rsid w:val="00ED743A"/>
    <w:rsid w:val="00ED758C"/>
    <w:rsid w:val="00ED76BC"/>
    <w:rsid w:val="00ED7A1C"/>
    <w:rsid w:val="00ED7D3F"/>
    <w:rsid w:val="00EE0198"/>
    <w:rsid w:val="00EE022E"/>
    <w:rsid w:val="00EE1473"/>
    <w:rsid w:val="00EE18CD"/>
    <w:rsid w:val="00EE1A2A"/>
    <w:rsid w:val="00EE2744"/>
    <w:rsid w:val="00EE2A98"/>
    <w:rsid w:val="00EE2D9F"/>
    <w:rsid w:val="00EE322C"/>
    <w:rsid w:val="00EE32AF"/>
    <w:rsid w:val="00EE50D6"/>
    <w:rsid w:val="00EE52A5"/>
    <w:rsid w:val="00EE539E"/>
    <w:rsid w:val="00EE5EAB"/>
    <w:rsid w:val="00EE6C1C"/>
    <w:rsid w:val="00EE74FE"/>
    <w:rsid w:val="00EE75C3"/>
    <w:rsid w:val="00EE7B1D"/>
    <w:rsid w:val="00EE7B76"/>
    <w:rsid w:val="00EE7FD9"/>
    <w:rsid w:val="00EF0180"/>
    <w:rsid w:val="00EF085A"/>
    <w:rsid w:val="00EF08BD"/>
    <w:rsid w:val="00EF1996"/>
    <w:rsid w:val="00EF1C00"/>
    <w:rsid w:val="00EF24B1"/>
    <w:rsid w:val="00EF265C"/>
    <w:rsid w:val="00EF280E"/>
    <w:rsid w:val="00EF2A3E"/>
    <w:rsid w:val="00EF3A57"/>
    <w:rsid w:val="00EF3E33"/>
    <w:rsid w:val="00EF3F1B"/>
    <w:rsid w:val="00EF4036"/>
    <w:rsid w:val="00EF42FA"/>
    <w:rsid w:val="00EF444B"/>
    <w:rsid w:val="00EF44D8"/>
    <w:rsid w:val="00EF4A47"/>
    <w:rsid w:val="00EF4C06"/>
    <w:rsid w:val="00EF4EEF"/>
    <w:rsid w:val="00EF4FA8"/>
    <w:rsid w:val="00EF51F7"/>
    <w:rsid w:val="00EF5C98"/>
    <w:rsid w:val="00EF5F1B"/>
    <w:rsid w:val="00EF6A07"/>
    <w:rsid w:val="00EF7179"/>
    <w:rsid w:val="00EF7B8D"/>
    <w:rsid w:val="00F004F2"/>
    <w:rsid w:val="00F00C9C"/>
    <w:rsid w:val="00F01B7B"/>
    <w:rsid w:val="00F01C1A"/>
    <w:rsid w:val="00F01C97"/>
    <w:rsid w:val="00F01F9B"/>
    <w:rsid w:val="00F02008"/>
    <w:rsid w:val="00F02093"/>
    <w:rsid w:val="00F02346"/>
    <w:rsid w:val="00F024A9"/>
    <w:rsid w:val="00F02DD3"/>
    <w:rsid w:val="00F02FCD"/>
    <w:rsid w:val="00F03146"/>
    <w:rsid w:val="00F0328B"/>
    <w:rsid w:val="00F0387F"/>
    <w:rsid w:val="00F039CF"/>
    <w:rsid w:val="00F03BAC"/>
    <w:rsid w:val="00F03CC5"/>
    <w:rsid w:val="00F03E28"/>
    <w:rsid w:val="00F03E4A"/>
    <w:rsid w:val="00F03EE2"/>
    <w:rsid w:val="00F04D7B"/>
    <w:rsid w:val="00F055A5"/>
    <w:rsid w:val="00F05A00"/>
    <w:rsid w:val="00F06075"/>
    <w:rsid w:val="00F074B2"/>
    <w:rsid w:val="00F078FC"/>
    <w:rsid w:val="00F07926"/>
    <w:rsid w:val="00F07BF0"/>
    <w:rsid w:val="00F07E0F"/>
    <w:rsid w:val="00F102AD"/>
    <w:rsid w:val="00F1071C"/>
    <w:rsid w:val="00F10B51"/>
    <w:rsid w:val="00F10D8A"/>
    <w:rsid w:val="00F111E6"/>
    <w:rsid w:val="00F116AB"/>
    <w:rsid w:val="00F119EF"/>
    <w:rsid w:val="00F1251E"/>
    <w:rsid w:val="00F128B2"/>
    <w:rsid w:val="00F129F2"/>
    <w:rsid w:val="00F12FEB"/>
    <w:rsid w:val="00F13432"/>
    <w:rsid w:val="00F1379E"/>
    <w:rsid w:val="00F13DF2"/>
    <w:rsid w:val="00F146CC"/>
    <w:rsid w:val="00F1521F"/>
    <w:rsid w:val="00F15BFA"/>
    <w:rsid w:val="00F15E85"/>
    <w:rsid w:val="00F160D9"/>
    <w:rsid w:val="00F16115"/>
    <w:rsid w:val="00F16F23"/>
    <w:rsid w:val="00F172BA"/>
    <w:rsid w:val="00F172E5"/>
    <w:rsid w:val="00F204C3"/>
    <w:rsid w:val="00F20751"/>
    <w:rsid w:val="00F21002"/>
    <w:rsid w:val="00F212A9"/>
    <w:rsid w:val="00F21ACA"/>
    <w:rsid w:val="00F21C02"/>
    <w:rsid w:val="00F21EEA"/>
    <w:rsid w:val="00F22F3C"/>
    <w:rsid w:val="00F23375"/>
    <w:rsid w:val="00F23DB4"/>
    <w:rsid w:val="00F2495E"/>
    <w:rsid w:val="00F25109"/>
    <w:rsid w:val="00F265D2"/>
    <w:rsid w:val="00F26F3B"/>
    <w:rsid w:val="00F2785C"/>
    <w:rsid w:val="00F30790"/>
    <w:rsid w:val="00F30F3D"/>
    <w:rsid w:val="00F31331"/>
    <w:rsid w:val="00F313E8"/>
    <w:rsid w:val="00F31774"/>
    <w:rsid w:val="00F319E3"/>
    <w:rsid w:val="00F31EDB"/>
    <w:rsid w:val="00F32142"/>
    <w:rsid w:val="00F325E5"/>
    <w:rsid w:val="00F328E7"/>
    <w:rsid w:val="00F32DCE"/>
    <w:rsid w:val="00F336F6"/>
    <w:rsid w:val="00F33CB4"/>
    <w:rsid w:val="00F34210"/>
    <w:rsid w:val="00F34292"/>
    <w:rsid w:val="00F3459C"/>
    <w:rsid w:val="00F347DC"/>
    <w:rsid w:val="00F34CA4"/>
    <w:rsid w:val="00F35353"/>
    <w:rsid w:val="00F354D2"/>
    <w:rsid w:val="00F355A7"/>
    <w:rsid w:val="00F35E17"/>
    <w:rsid w:val="00F35E9D"/>
    <w:rsid w:val="00F361EE"/>
    <w:rsid w:val="00F362EB"/>
    <w:rsid w:val="00F36983"/>
    <w:rsid w:val="00F36C1E"/>
    <w:rsid w:val="00F3708A"/>
    <w:rsid w:val="00F37112"/>
    <w:rsid w:val="00F37E85"/>
    <w:rsid w:val="00F40090"/>
    <w:rsid w:val="00F4069C"/>
    <w:rsid w:val="00F4095F"/>
    <w:rsid w:val="00F412B0"/>
    <w:rsid w:val="00F4130C"/>
    <w:rsid w:val="00F414E5"/>
    <w:rsid w:val="00F41C3F"/>
    <w:rsid w:val="00F42D17"/>
    <w:rsid w:val="00F4353F"/>
    <w:rsid w:val="00F44778"/>
    <w:rsid w:val="00F44A69"/>
    <w:rsid w:val="00F4500C"/>
    <w:rsid w:val="00F4536A"/>
    <w:rsid w:val="00F45385"/>
    <w:rsid w:val="00F453C2"/>
    <w:rsid w:val="00F455B6"/>
    <w:rsid w:val="00F46F86"/>
    <w:rsid w:val="00F47208"/>
    <w:rsid w:val="00F47C56"/>
    <w:rsid w:val="00F5005C"/>
    <w:rsid w:val="00F50A52"/>
    <w:rsid w:val="00F50BB4"/>
    <w:rsid w:val="00F50BF9"/>
    <w:rsid w:val="00F51087"/>
    <w:rsid w:val="00F51765"/>
    <w:rsid w:val="00F51B56"/>
    <w:rsid w:val="00F52192"/>
    <w:rsid w:val="00F522A2"/>
    <w:rsid w:val="00F52755"/>
    <w:rsid w:val="00F52933"/>
    <w:rsid w:val="00F52F7D"/>
    <w:rsid w:val="00F52FD3"/>
    <w:rsid w:val="00F53622"/>
    <w:rsid w:val="00F53AE8"/>
    <w:rsid w:val="00F53C05"/>
    <w:rsid w:val="00F53C1E"/>
    <w:rsid w:val="00F54400"/>
    <w:rsid w:val="00F54A25"/>
    <w:rsid w:val="00F555E8"/>
    <w:rsid w:val="00F55989"/>
    <w:rsid w:val="00F563DA"/>
    <w:rsid w:val="00F5655D"/>
    <w:rsid w:val="00F56EB9"/>
    <w:rsid w:val="00F57D10"/>
    <w:rsid w:val="00F601A6"/>
    <w:rsid w:val="00F60554"/>
    <w:rsid w:val="00F61140"/>
    <w:rsid w:val="00F61732"/>
    <w:rsid w:val="00F61A5B"/>
    <w:rsid w:val="00F61A69"/>
    <w:rsid w:val="00F6278C"/>
    <w:rsid w:val="00F62D0D"/>
    <w:rsid w:val="00F636E8"/>
    <w:rsid w:val="00F63A9B"/>
    <w:rsid w:val="00F6553F"/>
    <w:rsid w:val="00F65598"/>
    <w:rsid w:val="00F66128"/>
    <w:rsid w:val="00F66477"/>
    <w:rsid w:val="00F66DFD"/>
    <w:rsid w:val="00F670CA"/>
    <w:rsid w:val="00F67164"/>
    <w:rsid w:val="00F67625"/>
    <w:rsid w:val="00F705A0"/>
    <w:rsid w:val="00F70CF5"/>
    <w:rsid w:val="00F7197F"/>
    <w:rsid w:val="00F719B8"/>
    <w:rsid w:val="00F72641"/>
    <w:rsid w:val="00F73BDC"/>
    <w:rsid w:val="00F73DC3"/>
    <w:rsid w:val="00F741D8"/>
    <w:rsid w:val="00F7423B"/>
    <w:rsid w:val="00F745D5"/>
    <w:rsid w:val="00F75453"/>
    <w:rsid w:val="00F7572D"/>
    <w:rsid w:val="00F7690C"/>
    <w:rsid w:val="00F7730B"/>
    <w:rsid w:val="00F777E6"/>
    <w:rsid w:val="00F77D72"/>
    <w:rsid w:val="00F80C95"/>
    <w:rsid w:val="00F8170F"/>
    <w:rsid w:val="00F81A51"/>
    <w:rsid w:val="00F82769"/>
    <w:rsid w:val="00F82C28"/>
    <w:rsid w:val="00F837EF"/>
    <w:rsid w:val="00F83EC2"/>
    <w:rsid w:val="00F84234"/>
    <w:rsid w:val="00F84624"/>
    <w:rsid w:val="00F8471F"/>
    <w:rsid w:val="00F850F0"/>
    <w:rsid w:val="00F85974"/>
    <w:rsid w:val="00F86298"/>
    <w:rsid w:val="00F863ED"/>
    <w:rsid w:val="00F8641E"/>
    <w:rsid w:val="00F8659C"/>
    <w:rsid w:val="00F86C49"/>
    <w:rsid w:val="00F90A1F"/>
    <w:rsid w:val="00F90D8B"/>
    <w:rsid w:val="00F91291"/>
    <w:rsid w:val="00F91316"/>
    <w:rsid w:val="00F929A7"/>
    <w:rsid w:val="00F92D15"/>
    <w:rsid w:val="00F92D25"/>
    <w:rsid w:val="00F9338C"/>
    <w:rsid w:val="00F936CC"/>
    <w:rsid w:val="00F93EC8"/>
    <w:rsid w:val="00F93F44"/>
    <w:rsid w:val="00F941FC"/>
    <w:rsid w:val="00F9449A"/>
    <w:rsid w:val="00F9585C"/>
    <w:rsid w:val="00F96498"/>
    <w:rsid w:val="00F9691A"/>
    <w:rsid w:val="00F96CD7"/>
    <w:rsid w:val="00F9784F"/>
    <w:rsid w:val="00FA0041"/>
    <w:rsid w:val="00FA0EA5"/>
    <w:rsid w:val="00FA16E3"/>
    <w:rsid w:val="00FA1B8D"/>
    <w:rsid w:val="00FA1F93"/>
    <w:rsid w:val="00FA2118"/>
    <w:rsid w:val="00FA287D"/>
    <w:rsid w:val="00FA2CEE"/>
    <w:rsid w:val="00FA2F58"/>
    <w:rsid w:val="00FA3198"/>
    <w:rsid w:val="00FA3422"/>
    <w:rsid w:val="00FA3587"/>
    <w:rsid w:val="00FA3ECF"/>
    <w:rsid w:val="00FA415C"/>
    <w:rsid w:val="00FA4479"/>
    <w:rsid w:val="00FA4937"/>
    <w:rsid w:val="00FA4FEB"/>
    <w:rsid w:val="00FA510F"/>
    <w:rsid w:val="00FA52B3"/>
    <w:rsid w:val="00FA5878"/>
    <w:rsid w:val="00FA58C1"/>
    <w:rsid w:val="00FA5B46"/>
    <w:rsid w:val="00FA5C88"/>
    <w:rsid w:val="00FA5D5D"/>
    <w:rsid w:val="00FA65DE"/>
    <w:rsid w:val="00FA6C1E"/>
    <w:rsid w:val="00FA735D"/>
    <w:rsid w:val="00FA75C4"/>
    <w:rsid w:val="00FA780E"/>
    <w:rsid w:val="00FA7896"/>
    <w:rsid w:val="00FA790C"/>
    <w:rsid w:val="00FA7E92"/>
    <w:rsid w:val="00FB017D"/>
    <w:rsid w:val="00FB07D5"/>
    <w:rsid w:val="00FB07E5"/>
    <w:rsid w:val="00FB094E"/>
    <w:rsid w:val="00FB1D1D"/>
    <w:rsid w:val="00FB2059"/>
    <w:rsid w:val="00FB20E0"/>
    <w:rsid w:val="00FB2282"/>
    <w:rsid w:val="00FB3F6F"/>
    <w:rsid w:val="00FB4958"/>
    <w:rsid w:val="00FB537D"/>
    <w:rsid w:val="00FB5BB2"/>
    <w:rsid w:val="00FB5BE5"/>
    <w:rsid w:val="00FB5C62"/>
    <w:rsid w:val="00FB6198"/>
    <w:rsid w:val="00FB659B"/>
    <w:rsid w:val="00FB6ED3"/>
    <w:rsid w:val="00FB73F4"/>
    <w:rsid w:val="00FB7581"/>
    <w:rsid w:val="00FC0793"/>
    <w:rsid w:val="00FC083E"/>
    <w:rsid w:val="00FC0FCA"/>
    <w:rsid w:val="00FC1A12"/>
    <w:rsid w:val="00FC1F53"/>
    <w:rsid w:val="00FC2525"/>
    <w:rsid w:val="00FC2588"/>
    <w:rsid w:val="00FC2B20"/>
    <w:rsid w:val="00FC2EB6"/>
    <w:rsid w:val="00FC49DD"/>
    <w:rsid w:val="00FC5434"/>
    <w:rsid w:val="00FC5511"/>
    <w:rsid w:val="00FC5BF0"/>
    <w:rsid w:val="00FC61C7"/>
    <w:rsid w:val="00FC63E1"/>
    <w:rsid w:val="00FC7642"/>
    <w:rsid w:val="00FC79CC"/>
    <w:rsid w:val="00FC7AE1"/>
    <w:rsid w:val="00FD0714"/>
    <w:rsid w:val="00FD11C6"/>
    <w:rsid w:val="00FD17AC"/>
    <w:rsid w:val="00FD1BAC"/>
    <w:rsid w:val="00FD206C"/>
    <w:rsid w:val="00FD2165"/>
    <w:rsid w:val="00FD2D4F"/>
    <w:rsid w:val="00FD30C4"/>
    <w:rsid w:val="00FD346C"/>
    <w:rsid w:val="00FD3585"/>
    <w:rsid w:val="00FD39C8"/>
    <w:rsid w:val="00FD4180"/>
    <w:rsid w:val="00FD439F"/>
    <w:rsid w:val="00FD45A2"/>
    <w:rsid w:val="00FD45C9"/>
    <w:rsid w:val="00FD45ED"/>
    <w:rsid w:val="00FD49EE"/>
    <w:rsid w:val="00FD4EAD"/>
    <w:rsid w:val="00FD5094"/>
    <w:rsid w:val="00FD561C"/>
    <w:rsid w:val="00FD57CE"/>
    <w:rsid w:val="00FD66E4"/>
    <w:rsid w:val="00FD713A"/>
    <w:rsid w:val="00FD71EB"/>
    <w:rsid w:val="00FD73A0"/>
    <w:rsid w:val="00FD796E"/>
    <w:rsid w:val="00FD7EBF"/>
    <w:rsid w:val="00FE051E"/>
    <w:rsid w:val="00FE21CE"/>
    <w:rsid w:val="00FE24B9"/>
    <w:rsid w:val="00FE25B9"/>
    <w:rsid w:val="00FE293A"/>
    <w:rsid w:val="00FE2951"/>
    <w:rsid w:val="00FE2A3D"/>
    <w:rsid w:val="00FE3566"/>
    <w:rsid w:val="00FE471F"/>
    <w:rsid w:val="00FE492A"/>
    <w:rsid w:val="00FE4FD5"/>
    <w:rsid w:val="00FE5420"/>
    <w:rsid w:val="00FE600C"/>
    <w:rsid w:val="00FE6116"/>
    <w:rsid w:val="00FE6576"/>
    <w:rsid w:val="00FE68D6"/>
    <w:rsid w:val="00FE6B6C"/>
    <w:rsid w:val="00FE713A"/>
    <w:rsid w:val="00FE7AF5"/>
    <w:rsid w:val="00FE7E64"/>
    <w:rsid w:val="00FF0064"/>
    <w:rsid w:val="00FF045C"/>
    <w:rsid w:val="00FF0E69"/>
    <w:rsid w:val="00FF1B64"/>
    <w:rsid w:val="00FF1C6A"/>
    <w:rsid w:val="00FF1CBF"/>
    <w:rsid w:val="00FF1FAA"/>
    <w:rsid w:val="00FF2A98"/>
    <w:rsid w:val="00FF2E37"/>
    <w:rsid w:val="00FF3A56"/>
    <w:rsid w:val="00FF3C70"/>
    <w:rsid w:val="00FF489D"/>
    <w:rsid w:val="00FF4A91"/>
    <w:rsid w:val="00FF5399"/>
    <w:rsid w:val="00FF5650"/>
    <w:rsid w:val="00FF600F"/>
    <w:rsid w:val="00FF672D"/>
    <w:rsid w:val="00FF758A"/>
    <w:rsid w:val="00FF760E"/>
    <w:rsid w:val="00FF7D70"/>
    <w:rsid w:val="013F30B1"/>
    <w:rsid w:val="05F9E71B"/>
    <w:rsid w:val="09E5BD7F"/>
    <w:rsid w:val="13541567"/>
    <w:rsid w:val="13B90346"/>
    <w:rsid w:val="1A5D6490"/>
    <w:rsid w:val="1DAD57BB"/>
    <w:rsid w:val="1DAF9E19"/>
    <w:rsid w:val="259630B1"/>
    <w:rsid w:val="290C3CF4"/>
    <w:rsid w:val="2A0983DA"/>
    <w:rsid w:val="2FE04D54"/>
    <w:rsid w:val="3137ACAD"/>
    <w:rsid w:val="3174B87D"/>
    <w:rsid w:val="37E3B534"/>
    <w:rsid w:val="3E381204"/>
    <w:rsid w:val="42DC7ED0"/>
    <w:rsid w:val="4393C5F6"/>
    <w:rsid w:val="4706B94F"/>
    <w:rsid w:val="4B5D96D1"/>
    <w:rsid w:val="4CBC2CB3"/>
    <w:rsid w:val="51F78352"/>
    <w:rsid w:val="52657615"/>
    <w:rsid w:val="5494AA52"/>
    <w:rsid w:val="56CE77ED"/>
    <w:rsid w:val="57B26719"/>
    <w:rsid w:val="5AB684FC"/>
    <w:rsid w:val="5CDE67DB"/>
    <w:rsid w:val="5E64DD48"/>
    <w:rsid w:val="6416E36A"/>
    <w:rsid w:val="64500B9E"/>
    <w:rsid w:val="65690211"/>
    <w:rsid w:val="6643826A"/>
    <w:rsid w:val="673F1D5D"/>
    <w:rsid w:val="67C71492"/>
    <w:rsid w:val="6BE510A1"/>
    <w:rsid w:val="76B2C38E"/>
    <w:rsid w:val="7E314D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5DA06"/>
  <w15:docId w15:val="{E7C22B7B-4042-407D-BFAC-AA787BF9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33D"/>
  </w:style>
  <w:style w:type="paragraph" w:styleId="Heading1">
    <w:name w:val="heading 1"/>
    <w:basedOn w:val="Normal"/>
    <w:next w:val="Normal"/>
    <w:link w:val="Heading1Char"/>
    <w:uiPriority w:val="9"/>
    <w:qFormat/>
    <w:rsid w:val="00BE133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BE133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BE133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BE133D"/>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BE133D"/>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BE133D"/>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BE133D"/>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BE133D"/>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BE133D"/>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33D"/>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BE133D"/>
    <w:rPr>
      <w:rFonts w:asciiTheme="majorHAnsi" w:eastAsiaTheme="majorEastAsia" w:hAnsiTheme="majorHAnsi" w:cstheme="majorBidi"/>
      <w:color w:val="538135" w:themeColor="accent6" w:themeShade="BF"/>
      <w:sz w:val="28"/>
      <w:szCs w:val="28"/>
    </w:rPr>
  </w:style>
  <w:style w:type="table" w:styleId="TableGrid">
    <w:name w:val="Table Grid"/>
    <w:aliases w:val="Table Grid_russell,TabelEcorys,HTG,Table Grid IDEA"/>
    <w:basedOn w:val="TableNormal"/>
    <w:uiPriority w:val="39"/>
    <w:rsid w:val="00685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Char Char,List Paragraph 1,Akapit z listą BS,lp1,Normal 1,List Paragraph2,Dot pt,F5 List Paragraph,List Paragraph Char Char Char,Indicator Text,Numbered Para 1,Bullet 1,Bullet Points,MAIN CONTENT,Párrafo de lista,Bullets,L"/>
    <w:basedOn w:val="Normal"/>
    <w:link w:val="ListParagraphChar"/>
    <w:uiPriority w:val="34"/>
    <w:qFormat/>
    <w:rsid w:val="00685928"/>
    <w:pPr>
      <w:ind w:left="720"/>
      <w:contextualSpacing/>
    </w:pPr>
  </w:style>
  <w:style w:type="paragraph" w:styleId="BalloonText">
    <w:name w:val="Balloon Text"/>
    <w:basedOn w:val="Normal"/>
    <w:link w:val="BalloonTextChar"/>
    <w:uiPriority w:val="99"/>
    <w:semiHidden/>
    <w:unhideWhenUsed/>
    <w:rsid w:val="00685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928"/>
    <w:rPr>
      <w:rFonts w:ascii="Segoe UI" w:hAnsi="Segoe UI" w:cs="Segoe UI"/>
      <w:sz w:val="18"/>
      <w:szCs w:val="18"/>
    </w:rPr>
  </w:style>
  <w:style w:type="paragraph" w:styleId="TOCHeading">
    <w:name w:val="TOC Heading"/>
    <w:basedOn w:val="Heading1"/>
    <w:next w:val="Normal"/>
    <w:uiPriority w:val="39"/>
    <w:unhideWhenUsed/>
    <w:qFormat/>
    <w:rsid w:val="00BE133D"/>
    <w:pPr>
      <w:outlineLvl w:val="9"/>
    </w:pPr>
  </w:style>
  <w:style w:type="paragraph" w:styleId="TOC1">
    <w:name w:val="toc 1"/>
    <w:basedOn w:val="Normal"/>
    <w:next w:val="Normal"/>
    <w:autoRedefine/>
    <w:uiPriority w:val="39"/>
    <w:unhideWhenUsed/>
    <w:rsid w:val="004B6BA3"/>
    <w:pPr>
      <w:tabs>
        <w:tab w:val="left" w:pos="440"/>
        <w:tab w:val="right" w:leader="dot" w:pos="9016"/>
      </w:tabs>
      <w:spacing w:after="100"/>
    </w:pPr>
  </w:style>
  <w:style w:type="paragraph" w:styleId="TOC2">
    <w:name w:val="toc 2"/>
    <w:basedOn w:val="Normal"/>
    <w:next w:val="Normal"/>
    <w:autoRedefine/>
    <w:uiPriority w:val="39"/>
    <w:unhideWhenUsed/>
    <w:rsid w:val="00337189"/>
    <w:pPr>
      <w:tabs>
        <w:tab w:val="left" w:pos="960"/>
        <w:tab w:val="right" w:leader="dot" w:pos="9016"/>
      </w:tabs>
      <w:spacing w:after="100"/>
      <w:ind w:left="220"/>
    </w:pPr>
  </w:style>
  <w:style w:type="character" w:styleId="Hyperlink">
    <w:name w:val="Hyperlink"/>
    <w:basedOn w:val="DefaultParagraphFont"/>
    <w:uiPriority w:val="99"/>
    <w:unhideWhenUsed/>
    <w:rsid w:val="00BE377F"/>
    <w:rPr>
      <w:color w:val="0563C1" w:themeColor="hyperlink"/>
      <w:u w:val="single"/>
    </w:rPr>
  </w:style>
  <w:style w:type="character" w:customStyle="1" w:styleId="Heading3Char">
    <w:name w:val="Heading 3 Char"/>
    <w:basedOn w:val="DefaultParagraphFont"/>
    <w:link w:val="Heading3"/>
    <w:uiPriority w:val="9"/>
    <w:rsid w:val="00BE133D"/>
    <w:rPr>
      <w:rFonts w:asciiTheme="majorHAnsi" w:eastAsiaTheme="majorEastAsia" w:hAnsiTheme="majorHAnsi" w:cstheme="majorBidi"/>
      <w:color w:val="538135" w:themeColor="accent6" w:themeShade="BF"/>
      <w:sz w:val="24"/>
      <w:szCs w:val="24"/>
    </w:rPr>
  </w:style>
  <w:style w:type="paragraph" w:styleId="TOC3">
    <w:name w:val="toc 3"/>
    <w:basedOn w:val="Normal"/>
    <w:next w:val="Normal"/>
    <w:autoRedefine/>
    <w:uiPriority w:val="39"/>
    <w:unhideWhenUsed/>
    <w:rsid w:val="00337189"/>
    <w:pPr>
      <w:tabs>
        <w:tab w:val="right" w:leader="dot" w:pos="9016"/>
      </w:tabs>
      <w:spacing w:after="100"/>
      <w:ind w:left="440"/>
    </w:pPr>
  </w:style>
  <w:style w:type="paragraph" w:styleId="Header">
    <w:name w:val="header"/>
    <w:basedOn w:val="Normal"/>
    <w:link w:val="HeaderChar"/>
    <w:uiPriority w:val="99"/>
    <w:unhideWhenUsed/>
    <w:rsid w:val="002E5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BE0"/>
  </w:style>
  <w:style w:type="paragraph" w:styleId="Footer">
    <w:name w:val="footer"/>
    <w:basedOn w:val="Normal"/>
    <w:link w:val="FooterChar"/>
    <w:uiPriority w:val="99"/>
    <w:unhideWhenUsed/>
    <w:rsid w:val="002E5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BE0"/>
  </w:style>
  <w:style w:type="table" w:styleId="GridTable1Light-Accent6">
    <w:name w:val="Grid Table 1 Light Accent 6"/>
    <w:basedOn w:val="TableNormal"/>
    <w:uiPriority w:val="46"/>
    <w:rsid w:val="00A200A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Default">
    <w:name w:val="Default"/>
    <w:rsid w:val="004A527A"/>
    <w:pPr>
      <w:spacing w:after="0" w:line="240" w:lineRule="auto"/>
    </w:pPr>
    <w:rPr>
      <w:rFonts w:ascii="Garamond" w:eastAsia="Arial Unicode MS" w:hAnsi="Garamond" w:cs="Arial Unicode MS"/>
      <w:color w:val="000000"/>
      <w:sz w:val="24"/>
      <w:szCs w:val="24"/>
      <w:u w:color="000000"/>
    </w:rPr>
  </w:style>
  <w:style w:type="character" w:customStyle="1" w:styleId="Heading4Char">
    <w:name w:val="Heading 4 Char"/>
    <w:basedOn w:val="DefaultParagraphFont"/>
    <w:link w:val="Heading4"/>
    <w:uiPriority w:val="9"/>
    <w:rsid w:val="00BE133D"/>
    <w:rPr>
      <w:rFonts w:asciiTheme="majorHAnsi" w:eastAsiaTheme="majorEastAsia" w:hAnsiTheme="majorHAnsi" w:cstheme="majorBidi"/>
      <w:color w:val="70AD47" w:themeColor="accent6"/>
      <w:sz w:val="22"/>
      <w:szCs w:val="22"/>
    </w:rPr>
  </w:style>
  <w:style w:type="paragraph" w:styleId="Caption">
    <w:name w:val="caption"/>
    <w:basedOn w:val="Normal"/>
    <w:next w:val="Normal"/>
    <w:uiPriority w:val="35"/>
    <w:unhideWhenUsed/>
    <w:qFormat/>
    <w:rsid w:val="00BE133D"/>
    <w:pPr>
      <w:spacing w:line="240" w:lineRule="auto"/>
    </w:pPr>
    <w:rPr>
      <w:b/>
      <w:bCs/>
      <w:smallCaps/>
      <w:color w:val="595959" w:themeColor="text1" w:themeTint="A6"/>
    </w:rPr>
  </w:style>
  <w:style w:type="paragraph" w:styleId="FootnoteText">
    <w:name w:val="footnote text"/>
    <w:aliases w:val="Footnote Text Char Char Char,Footnote Text Char Char,Fußnote,Testo nota a piè di pagina Carattere,Geneva 9,Font: Geneva 9,Boston 10,f,single space,FOOTNOTES,fn,ADB,pod carou,Char Char,Footnote Text1 Char Char,Char,Char Cha,C,Footnote text"/>
    <w:basedOn w:val="Normal"/>
    <w:link w:val="FootnoteTextChar"/>
    <w:uiPriority w:val="99"/>
    <w:unhideWhenUsed/>
    <w:qFormat/>
    <w:rsid w:val="006E021E"/>
    <w:pPr>
      <w:spacing w:after="0" w:line="240" w:lineRule="auto"/>
    </w:pPr>
    <w:rPr>
      <w:sz w:val="20"/>
      <w:szCs w:val="20"/>
    </w:rPr>
  </w:style>
  <w:style w:type="character" w:customStyle="1" w:styleId="FootnoteTextChar">
    <w:name w:val="Footnote Text Char"/>
    <w:aliases w:val="Footnote Text Char Char Char Char,Footnote Text Char Char Char1,Fußnote Char,Testo nota a piè di pagina Carattere Char,Geneva 9 Char,Font: Geneva 9 Char,Boston 10 Char,f Char,single space Char,FOOTNOTES Char,fn Char,ADB Char,C Char"/>
    <w:basedOn w:val="DefaultParagraphFont"/>
    <w:link w:val="FootnoteText"/>
    <w:uiPriority w:val="99"/>
    <w:qFormat/>
    <w:rsid w:val="006E021E"/>
    <w:rPr>
      <w:sz w:val="20"/>
      <w:szCs w:val="20"/>
    </w:rPr>
  </w:style>
  <w:style w:type="character" w:styleId="FootnoteReference">
    <w:name w:val="footnote reference"/>
    <w:aliases w:val="BVI fnr,Footnote symbol,Footnote Reference Arial,Rimando nota a piè di pagina2,Car Char Car Char Car Char Char Char Char Char Char Char,Footnote Refernece Char Char,Footnote Refernece Char,ftref,callout,16 Point,Superscript 6 Point,fr"/>
    <w:basedOn w:val="DefaultParagraphFont"/>
    <w:link w:val="Char2"/>
    <w:uiPriority w:val="99"/>
    <w:unhideWhenUsed/>
    <w:qFormat/>
    <w:rsid w:val="006E021E"/>
    <w:rPr>
      <w:vertAlign w:val="superscript"/>
    </w:rPr>
  </w:style>
  <w:style w:type="character" w:customStyle="1" w:styleId="UnresolvedMention1">
    <w:name w:val="Unresolved Mention1"/>
    <w:basedOn w:val="DefaultParagraphFont"/>
    <w:uiPriority w:val="99"/>
    <w:semiHidden/>
    <w:unhideWhenUsed/>
    <w:rsid w:val="006E021E"/>
    <w:rPr>
      <w:color w:val="605E5C"/>
      <w:shd w:val="clear" w:color="auto" w:fill="E1DFDD"/>
    </w:rPr>
  </w:style>
  <w:style w:type="paragraph" w:styleId="HTMLPreformatted">
    <w:name w:val="HTML Preformatted"/>
    <w:basedOn w:val="Normal"/>
    <w:link w:val="HTMLPreformattedChar"/>
    <w:uiPriority w:val="99"/>
    <w:semiHidden/>
    <w:unhideWhenUsed/>
    <w:rsid w:val="00882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828DD"/>
    <w:rPr>
      <w:rFonts w:ascii="Courier New" w:eastAsia="Times New Roman" w:hAnsi="Courier New" w:cs="Courier New"/>
      <w:sz w:val="20"/>
      <w:szCs w:val="20"/>
    </w:rPr>
  </w:style>
  <w:style w:type="character" w:customStyle="1" w:styleId="y2iqfc">
    <w:name w:val="y2iqfc"/>
    <w:basedOn w:val="DefaultParagraphFont"/>
    <w:rsid w:val="008828DD"/>
  </w:style>
  <w:style w:type="paragraph" w:styleId="NormalWeb">
    <w:name w:val="Normal (Web)"/>
    <w:aliases w:val="Normal (Web) Char,Normal (Web) Char Char Char Char"/>
    <w:basedOn w:val="Normal"/>
    <w:uiPriority w:val="99"/>
    <w:unhideWhenUsed/>
    <w:rsid w:val="001315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133D"/>
    <w:rPr>
      <w:b/>
      <w:bCs/>
    </w:rPr>
  </w:style>
  <w:style w:type="character" w:styleId="Emphasis">
    <w:name w:val="Emphasis"/>
    <w:basedOn w:val="DefaultParagraphFont"/>
    <w:uiPriority w:val="20"/>
    <w:qFormat/>
    <w:rsid w:val="00BE133D"/>
    <w:rPr>
      <w:i/>
      <w:iCs/>
      <w:color w:val="70AD47" w:themeColor="accent6"/>
    </w:rPr>
  </w:style>
  <w:style w:type="character" w:styleId="CommentReference">
    <w:name w:val="annotation reference"/>
    <w:basedOn w:val="DefaultParagraphFont"/>
    <w:uiPriority w:val="99"/>
    <w:semiHidden/>
    <w:unhideWhenUsed/>
    <w:rsid w:val="0016235A"/>
    <w:rPr>
      <w:sz w:val="16"/>
      <w:szCs w:val="16"/>
    </w:rPr>
  </w:style>
  <w:style w:type="paragraph" w:styleId="CommentText">
    <w:name w:val="annotation text"/>
    <w:basedOn w:val="Normal"/>
    <w:link w:val="CommentTextChar"/>
    <w:uiPriority w:val="99"/>
    <w:unhideWhenUsed/>
    <w:rsid w:val="0016235A"/>
    <w:pPr>
      <w:spacing w:line="240" w:lineRule="auto"/>
    </w:pPr>
    <w:rPr>
      <w:sz w:val="20"/>
      <w:szCs w:val="20"/>
    </w:rPr>
  </w:style>
  <w:style w:type="character" w:customStyle="1" w:styleId="CommentTextChar">
    <w:name w:val="Comment Text Char"/>
    <w:basedOn w:val="DefaultParagraphFont"/>
    <w:link w:val="CommentText"/>
    <w:uiPriority w:val="99"/>
    <w:rsid w:val="0016235A"/>
    <w:rPr>
      <w:sz w:val="20"/>
      <w:szCs w:val="20"/>
    </w:rPr>
  </w:style>
  <w:style w:type="paragraph" w:styleId="CommentSubject">
    <w:name w:val="annotation subject"/>
    <w:basedOn w:val="CommentText"/>
    <w:next w:val="CommentText"/>
    <w:link w:val="CommentSubjectChar"/>
    <w:uiPriority w:val="99"/>
    <w:semiHidden/>
    <w:unhideWhenUsed/>
    <w:rsid w:val="0016235A"/>
    <w:rPr>
      <w:b/>
      <w:bCs/>
    </w:rPr>
  </w:style>
  <w:style w:type="character" w:customStyle="1" w:styleId="CommentSubjectChar">
    <w:name w:val="Comment Subject Char"/>
    <w:basedOn w:val="CommentTextChar"/>
    <w:link w:val="CommentSubject"/>
    <w:uiPriority w:val="99"/>
    <w:semiHidden/>
    <w:rsid w:val="0016235A"/>
    <w:rPr>
      <w:b/>
      <w:bCs/>
      <w:sz w:val="20"/>
      <w:szCs w:val="20"/>
    </w:rPr>
  </w:style>
  <w:style w:type="paragraph" w:styleId="Revision">
    <w:name w:val="Revision"/>
    <w:hidden/>
    <w:uiPriority w:val="99"/>
    <w:semiHidden/>
    <w:rsid w:val="00C17353"/>
    <w:pPr>
      <w:spacing w:after="0" w:line="240" w:lineRule="auto"/>
    </w:pPr>
  </w:style>
  <w:style w:type="character" w:customStyle="1" w:styleId="ListParagraphChar">
    <w:name w:val="List Paragraph Char"/>
    <w:aliases w:val="List Paragraph Char Char Char1,List Paragraph 1 Char,Akapit z listą BS Char,lp1 Char,Normal 1 Char,List Paragraph2 Char,Dot pt Char,F5 List Paragraph Char,List Paragraph Char Char Char Char,Indicator Text Char,Numbered Para 1 Char"/>
    <w:link w:val="ListParagraph"/>
    <w:uiPriority w:val="34"/>
    <w:qFormat/>
    <w:locked/>
    <w:rsid w:val="001F53F5"/>
  </w:style>
  <w:style w:type="paragraph" w:customStyle="1" w:styleId="paragraph">
    <w:name w:val="paragraph"/>
    <w:basedOn w:val="Normal"/>
    <w:rsid w:val="001B5D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B5DC9"/>
  </w:style>
  <w:style w:type="character" w:customStyle="1" w:styleId="eop">
    <w:name w:val="eop"/>
    <w:basedOn w:val="DefaultParagraphFont"/>
    <w:rsid w:val="001B5DC9"/>
  </w:style>
  <w:style w:type="character" w:customStyle="1" w:styleId="UnresolvedMention2">
    <w:name w:val="Unresolved Mention2"/>
    <w:basedOn w:val="DefaultParagraphFont"/>
    <w:uiPriority w:val="99"/>
    <w:semiHidden/>
    <w:unhideWhenUsed/>
    <w:rsid w:val="00DF07FD"/>
    <w:rPr>
      <w:color w:val="605E5C"/>
      <w:shd w:val="clear" w:color="auto" w:fill="E1DFDD"/>
    </w:rPr>
  </w:style>
  <w:style w:type="paragraph" w:customStyle="1" w:styleId="Heading21">
    <w:name w:val="Heading 21"/>
    <w:basedOn w:val="Normal"/>
    <w:next w:val="Normal"/>
    <w:uiPriority w:val="9"/>
    <w:unhideWhenUsed/>
    <w:rsid w:val="00056819"/>
    <w:pPr>
      <w:keepNext/>
      <w:keepLines/>
      <w:spacing w:before="40" w:after="0"/>
      <w:outlineLvl w:val="1"/>
    </w:pPr>
    <w:rPr>
      <w:rFonts w:ascii="Calibri Light" w:eastAsia="Times New Roman" w:hAnsi="Calibri Light" w:cs="Times New Roman"/>
      <w:color w:val="2F5496"/>
      <w:sz w:val="26"/>
      <w:szCs w:val="26"/>
    </w:rPr>
  </w:style>
  <w:style w:type="paragraph" w:customStyle="1" w:styleId="Char2">
    <w:name w:val="Char2"/>
    <w:basedOn w:val="Normal"/>
    <w:link w:val="FootnoteReference"/>
    <w:uiPriority w:val="99"/>
    <w:rsid w:val="00056819"/>
    <w:pPr>
      <w:spacing w:line="240" w:lineRule="exact"/>
    </w:pPr>
    <w:rPr>
      <w:vertAlign w:val="superscript"/>
    </w:rPr>
  </w:style>
  <w:style w:type="paragraph" w:styleId="NoSpacing">
    <w:name w:val="No Spacing"/>
    <w:aliases w:val="Mirela"/>
    <w:link w:val="NoSpacingChar"/>
    <w:uiPriority w:val="1"/>
    <w:qFormat/>
    <w:rsid w:val="00BE133D"/>
    <w:pPr>
      <w:spacing w:after="0" w:line="240" w:lineRule="auto"/>
    </w:pPr>
  </w:style>
  <w:style w:type="character" w:customStyle="1" w:styleId="NoSpacingChar">
    <w:name w:val="No Spacing Char"/>
    <w:aliases w:val="Mirela Char"/>
    <w:basedOn w:val="DefaultParagraphFont"/>
    <w:link w:val="NoSpacing"/>
    <w:uiPriority w:val="1"/>
    <w:rsid w:val="00056819"/>
  </w:style>
  <w:style w:type="paragraph" w:customStyle="1" w:styleId="H5">
    <w:name w:val="H5"/>
    <w:basedOn w:val="Normal"/>
    <w:link w:val="H5Char"/>
    <w:rsid w:val="1DAD57BB"/>
    <w:pPr>
      <w:spacing w:after="60"/>
    </w:pPr>
    <w:rPr>
      <w:b/>
      <w:bCs/>
      <w:color w:val="0070C0"/>
      <w:sz w:val="18"/>
      <w:szCs w:val="18"/>
    </w:rPr>
  </w:style>
  <w:style w:type="paragraph" w:customStyle="1" w:styleId="N-Bullet">
    <w:name w:val="N-Bullet"/>
    <w:basedOn w:val="Normal"/>
    <w:link w:val="N-BulletChar"/>
    <w:rsid w:val="1DAD57BB"/>
    <w:pPr>
      <w:spacing w:after="0"/>
      <w:ind w:left="360" w:hanging="360"/>
      <w:contextualSpacing/>
    </w:pPr>
    <w:rPr>
      <w:sz w:val="18"/>
      <w:szCs w:val="18"/>
    </w:rPr>
  </w:style>
  <w:style w:type="paragraph" w:customStyle="1" w:styleId="T-bullet">
    <w:name w:val="T-bullet"/>
    <w:basedOn w:val="Normal"/>
    <w:link w:val="T-bulletChar"/>
    <w:rsid w:val="1DAD57BB"/>
    <w:pPr>
      <w:spacing w:after="0"/>
      <w:ind w:left="360" w:hanging="360"/>
    </w:pPr>
    <w:rPr>
      <w:sz w:val="16"/>
      <w:szCs w:val="16"/>
    </w:rPr>
  </w:style>
  <w:style w:type="paragraph" w:customStyle="1" w:styleId="T-normal">
    <w:name w:val="T-normal"/>
    <w:basedOn w:val="Normal"/>
    <w:link w:val="T-normalChar"/>
    <w:rsid w:val="1DAD57BB"/>
    <w:pPr>
      <w:spacing w:after="0"/>
    </w:pPr>
    <w:rPr>
      <w:sz w:val="16"/>
      <w:szCs w:val="16"/>
    </w:rPr>
  </w:style>
  <w:style w:type="paragraph" w:customStyle="1" w:styleId="T-number">
    <w:name w:val="T-number"/>
    <w:basedOn w:val="Normal"/>
    <w:link w:val="T-numberChar"/>
    <w:uiPriority w:val="1"/>
    <w:qFormat/>
    <w:rsid w:val="1DAD57BB"/>
    <w:pPr>
      <w:spacing w:after="0" w:line="264" w:lineRule="auto"/>
      <w:ind w:left="360" w:hanging="360"/>
    </w:pPr>
    <w:rPr>
      <w:sz w:val="16"/>
      <w:szCs w:val="16"/>
      <w:lang w:val="en-GB"/>
    </w:rPr>
  </w:style>
  <w:style w:type="character" w:customStyle="1" w:styleId="H5Char">
    <w:name w:val="H5 Char"/>
    <w:basedOn w:val="DefaultParagraphFont"/>
    <w:link w:val="H5"/>
    <w:rsid w:val="1DAD57BB"/>
    <w:rPr>
      <w:rFonts w:asciiTheme="minorHAnsi" w:eastAsiaTheme="minorEastAsia" w:hAnsiTheme="minorHAnsi" w:cstheme="minorBidi"/>
      <w:b/>
      <w:bCs/>
      <w:color w:val="0070C0"/>
      <w:sz w:val="18"/>
      <w:szCs w:val="18"/>
    </w:rPr>
  </w:style>
  <w:style w:type="character" w:customStyle="1" w:styleId="T-normalChar">
    <w:name w:val="T-normal Char"/>
    <w:basedOn w:val="DefaultParagraphFont"/>
    <w:link w:val="T-normal"/>
    <w:rsid w:val="1DAD57BB"/>
    <w:rPr>
      <w:rFonts w:asciiTheme="minorHAnsi" w:eastAsiaTheme="minorEastAsia" w:hAnsiTheme="minorHAnsi" w:cstheme="minorBidi"/>
      <w:sz w:val="16"/>
      <w:szCs w:val="16"/>
    </w:rPr>
  </w:style>
  <w:style w:type="character" w:customStyle="1" w:styleId="T-bulletChar">
    <w:name w:val="T-bullet Char"/>
    <w:basedOn w:val="DefaultParagraphFont"/>
    <w:link w:val="T-bullet"/>
    <w:rsid w:val="1DAD57BB"/>
    <w:rPr>
      <w:rFonts w:asciiTheme="minorHAnsi" w:eastAsiaTheme="minorEastAsia" w:hAnsiTheme="minorHAnsi" w:cstheme="minorBidi"/>
      <w:sz w:val="16"/>
      <w:szCs w:val="16"/>
    </w:rPr>
  </w:style>
  <w:style w:type="character" w:customStyle="1" w:styleId="N-BulletChar">
    <w:name w:val="N-Bullet Char"/>
    <w:basedOn w:val="DefaultParagraphFont"/>
    <w:link w:val="N-Bullet"/>
    <w:rsid w:val="1DAD57BB"/>
    <w:rPr>
      <w:rFonts w:asciiTheme="minorHAnsi" w:eastAsiaTheme="minorEastAsia" w:hAnsiTheme="minorHAnsi" w:cstheme="minorBidi"/>
      <w:sz w:val="18"/>
      <w:szCs w:val="18"/>
    </w:rPr>
  </w:style>
  <w:style w:type="character" w:customStyle="1" w:styleId="T-numberChar">
    <w:name w:val="T-number Char"/>
    <w:basedOn w:val="DefaultParagraphFont"/>
    <w:link w:val="T-number"/>
    <w:uiPriority w:val="1"/>
    <w:rsid w:val="1DAD57BB"/>
    <w:rPr>
      <w:rFonts w:asciiTheme="minorHAnsi" w:eastAsiaTheme="minorEastAsia" w:hAnsiTheme="minorHAnsi" w:cstheme="minorBidi"/>
      <w:sz w:val="16"/>
      <w:szCs w:val="16"/>
      <w:lang w:val="en-GB"/>
    </w:rPr>
  </w:style>
  <w:style w:type="character" w:styleId="IntenseReference">
    <w:name w:val="Intense Reference"/>
    <w:basedOn w:val="DefaultParagraphFont"/>
    <w:uiPriority w:val="32"/>
    <w:qFormat/>
    <w:rsid w:val="00BE133D"/>
    <w:rPr>
      <w:b/>
      <w:bCs/>
      <w:smallCaps/>
      <w:color w:val="70AD47" w:themeColor="accent6"/>
    </w:rPr>
  </w:style>
  <w:style w:type="table" w:customStyle="1" w:styleId="TableGridIDEA5">
    <w:name w:val="Table Grid IDEA5"/>
    <w:basedOn w:val="TableNormal"/>
    <w:next w:val="TableGrid"/>
    <w:uiPriority w:val="39"/>
    <w:rsid w:val="0038118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IDEA6">
    <w:name w:val="Table Grid IDEA6"/>
    <w:basedOn w:val="TableNormal"/>
    <w:next w:val="TableGrid"/>
    <w:uiPriority w:val="39"/>
    <w:rsid w:val="00F67164"/>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arCarCarChar">
    <w:name w:val="BVI fnr Car Car Car Car Char"/>
    <w:basedOn w:val="Normal"/>
    <w:uiPriority w:val="99"/>
    <w:rsid w:val="00FD1BAC"/>
    <w:pPr>
      <w:spacing w:after="0"/>
      <w:ind w:left="284" w:hanging="284"/>
      <w:jc w:val="both"/>
    </w:pPr>
    <w:rPr>
      <w:rFonts w:ascii="Arial" w:hAnsi="Arial"/>
      <w:sz w:val="18"/>
      <w:szCs w:val="14"/>
      <w:vertAlign w:val="superscript"/>
    </w:rPr>
  </w:style>
  <w:style w:type="character" w:customStyle="1" w:styleId="rynqvb">
    <w:name w:val="rynqvb"/>
    <w:basedOn w:val="DefaultParagraphFont"/>
    <w:rsid w:val="00FD1BAC"/>
  </w:style>
  <w:style w:type="character" w:customStyle="1" w:styleId="hwtze">
    <w:name w:val="hwtze"/>
    <w:basedOn w:val="DefaultParagraphFont"/>
    <w:rsid w:val="00FD1BAC"/>
  </w:style>
  <w:style w:type="paragraph" w:customStyle="1" w:styleId="AAAAATEXXXX">
    <w:name w:val="AAAAATEXXXX"/>
    <w:basedOn w:val="Normal"/>
    <w:rsid w:val="0021176F"/>
    <w:pPr>
      <w:spacing w:after="0" w:line="240" w:lineRule="auto"/>
      <w:ind w:firstLine="284"/>
      <w:jc w:val="both"/>
    </w:pPr>
    <w:rPr>
      <w:rFonts w:ascii="Garamond" w:eastAsia="MS Mincho" w:hAnsi="Garamond" w:cstheme="minorHAnsi"/>
      <w:sz w:val="24"/>
      <w:szCs w:val="24"/>
      <w:lang w:val="sq-AL"/>
    </w:rPr>
  </w:style>
  <w:style w:type="character" w:customStyle="1" w:styleId="EcorysBodyChar">
    <w:name w:val="Ecorys Body Char"/>
    <w:basedOn w:val="DefaultParagraphFont"/>
    <w:link w:val="EcorysBody"/>
    <w:locked/>
    <w:rsid w:val="00B42F41"/>
    <w:rPr>
      <w:rFonts w:ascii="Open Sans Light" w:hAnsi="Open Sans Light" w:cs="Open Sans Light"/>
      <w:sz w:val="18"/>
      <w:szCs w:val="20"/>
    </w:rPr>
  </w:style>
  <w:style w:type="paragraph" w:customStyle="1" w:styleId="EcorysBody">
    <w:name w:val="Ecorys Body"/>
    <w:link w:val="EcorysBodyChar"/>
    <w:rsid w:val="00B42F41"/>
    <w:pPr>
      <w:spacing w:after="0" w:line="264" w:lineRule="auto"/>
    </w:pPr>
    <w:rPr>
      <w:rFonts w:ascii="Open Sans Light" w:hAnsi="Open Sans Light" w:cs="Open Sans Light"/>
      <w:sz w:val="18"/>
      <w:szCs w:val="20"/>
    </w:rPr>
  </w:style>
  <w:style w:type="paragraph" w:customStyle="1" w:styleId="T-bold">
    <w:name w:val="T-bold"/>
    <w:basedOn w:val="EcorysBody"/>
    <w:link w:val="T-boldChar"/>
    <w:rsid w:val="00B42F41"/>
    <w:rPr>
      <w:rFonts w:ascii="Arial" w:hAnsi="Arial" w:cs="Arial"/>
      <w:b/>
      <w:bCs/>
      <w:sz w:val="16"/>
      <w:szCs w:val="16"/>
    </w:rPr>
  </w:style>
  <w:style w:type="character" w:customStyle="1" w:styleId="T-boldChar">
    <w:name w:val="T-bold Char"/>
    <w:basedOn w:val="EcorysBodyChar"/>
    <w:link w:val="T-bold"/>
    <w:rsid w:val="00B42F41"/>
    <w:rPr>
      <w:rFonts w:ascii="Arial" w:hAnsi="Arial" w:cs="Arial"/>
      <w:b/>
      <w:bCs/>
      <w:sz w:val="16"/>
      <w:szCs w:val="16"/>
    </w:rPr>
  </w:style>
  <w:style w:type="paragraph" w:customStyle="1" w:styleId="TableParagraph">
    <w:name w:val="Table Paragraph"/>
    <w:basedOn w:val="Normal"/>
    <w:uiPriority w:val="1"/>
    <w:rsid w:val="000A4A26"/>
    <w:pPr>
      <w:widowControl w:val="0"/>
      <w:autoSpaceDE w:val="0"/>
      <w:autoSpaceDN w:val="0"/>
      <w:spacing w:after="0" w:line="240" w:lineRule="auto"/>
      <w:jc w:val="both"/>
    </w:pPr>
    <w:rPr>
      <w:rFonts w:ascii="Times New Roman" w:eastAsia="Times New Roman" w:hAnsi="Times New Roman" w:cs="Times New Roman"/>
      <w:lang w:val="sq-AL"/>
    </w:rPr>
  </w:style>
  <w:style w:type="paragraph" w:customStyle="1" w:styleId="Body">
    <w:name w:val="Body"/>
    <w:rsid w:val="004B2070"/>
    <w:pPr>
      <w:pBdr>
        <w:top w:val="nil"/>
        <w:left w:val="nil"/>
        <w:bottom w:val="nil"/>
        <w:right w:val="nil"/>
        <w:between w:val="nil"/>
        <w:bar w:val="nil"/>
      </w:pBdr>
    </w:pPr>
    <w:rPr>
      <w:rFonts w:ascii="Calibri" w:eastAsia="Arial Unicode MS" w:hAnsi="Calibri" w:cs="Arial Unicode MS"/>
      <w:color w:val="000000"/>
      <w:u w:color="000000"/>
      <w:bdr w:val="nil"/>
      <w:lang w:val="de-DE" w:eastAsia="sq-AL"/>
      <w14:textOutline w14:w="0" w14:cap="flat" w14:cmpd="sng" w14:algn="ctr">
        <w14:noFill/>
        <w14:prstDash w14:val="solid"/>
        <w14:bevel/>
      </w14:textOutline>
    </w:rPr>
  </w:style>
  <w:style w:type="paragraph" w:customStyle="1" w:styleId="Akti">
    <w:name w:val="Akti"/>
    <w:link w:val="AktiChar"/>
    <w:rsid w:val="00F5655D"/>
    <w:pPr>
      <w:keepNext/>
      <w:widowControl w:val="0"/>
      <w:spacing w:after="0" w:line="240" w:lineRule="auto"/>
      <w:jc w:val="center"/>
      <w:outlineLvl w:val="0"/>
    </w:pPr>
    <w:rPr>
      <w:rFonts w:ascii="Garamond" w:eastAsia="MS Mincho" w:hAnsi="Garamond" w:cs="CG Times"/>
      <w:b/>
      <w:bCs/>
      <w:caps/>
      <w:color w:val="000000"/>
      <w:sz w:val="24"/>
      <w:lang w:val="en-GB"/>
    </w:rPr>
  </w:style>
  <w:style w:type="character" w:customStyle="1" w:styleId="AktiChar">
    <w:name w:val="Akti Char"/>
    <w:basedOn w:val="DefaultParagraphFont"/>
    <w:link w:val="Akti"/>
    <w:rsid w:val="00F5655D"/>
    <w:rPr>
      <w:rFonts w:ascii="Garamond" w:eastAsia="MS Mincho" w:hAnsi="Garamond" w:cs="CG Times"/>
      <w:b/>
      <w:bCs/>
      <w:caps/>
      <w:color w:val="000000"/>
      <w:sz w:val="24"/>
      <w:lang w:val="en-GB"/>
    </w:rPr>
  </w:style>
  <w:style w:type="paragraph" w:customStyle="1" w:styleId="NoSpacing2">
    <w:name w:val="No Spacing2"/>
    <w:uiPriority w:val="1"/>
    <w:rsid w:val="00206D67"/>
    <w:pPr>
      <w:pBdr>
        <w:top w:val="nil"/>
        <w:left w:val="nil"/>
        <w:bottom w:val="nil"/>
        <w:right w:val="nil"/>
        <w:between w:val="nil"/>
        <w:bar w:val="nil"/>
      </w:pBdr>
      <w:spacing w:after="0" w:line="240" w:lineRule="auto"/>
    </w:pPr>
    <w:rPr>
      <w:rFonts w:ascii="Arial" w:eastAsia="Arial" w:hAnsi="Arial" w:cs="Arial"/>
      <w:color w:val="000000"/>
      <w:u w:color="000000"/>
      <w:bdr w:val="nil"/>
      <w:lang w:eastAsia="sq-AL"/>
    </w:rPr>
  </w:style>
  <w:style w:type="character" w:customStyle="1" w:styleId="overflow-hidden">
    <w:name w:val="overflow-hidden"/>
    <w:basedOn w:val="DefaultParagraphFont"/>
    <w:rsid w:val="005649B3"/>
  </w:style>
  <w:style w:type="character" w:customStyle="1" w:styleId="UnresolvedMention3">
    <w:name w:val="Unresolved Mention3"/>
    <w:basedOn w:val="DefaultParagraphFont"/>
    <w:uiPriority w:val="99"/>
    <w:semiHidden/>
    <w:unhideWhenUsed/>
    <w:rsid w:val="0055028F"/>
    <w:rPr>
      <w:color w:val="605E5C"/>
      <w:shd w:val="clear" w:color="auto" w:fill="E1DFDD"/>
    </w:rPr>
  </w:style>
  <w:style w:type="table" w:customStyle="1" w:styleId="TableGridIDEA1">
    <w:name w:val="Table Grid IDEA1"/>
    <w:basedOn w:val="TableNormal"/>
    <w:next w:val="TableGrid"/>
    <w:uiPriority w:val="39"/>
    <w:rsid w:val="00601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i">
    <w:name w:val="Paragrafi"/>
    <w:link w:val="ParagrafiChar"/>
    <w:rsid w:val="002D647C"/>
    <w:pPr>
      <w:widowControl w:val="0"/>
      <w:spacing w:after="0" w:line="240" w:lineRule="auto"/>
      <w:ind w:firstLine="284"/>
      <w:jc w:val="both"/>
    </w:pPr>
    <w:rPr>
      <w:rFonts w:ascii="Garamond" w:eastAsia="MS Mincho" w:hAnsi="Garamond" w:cs="CG Times"/>
      <w:sz w:val="24"/>
    </w:rPr>
  </w:style>
  <w:style w:type="character" w:customStyle="1" w:styleId="ParagrafiChar">
    <w:name w:val="Paragrafi Char"/>
    <w:basedOn w:val="DefaultParagraphFont"/>
    <w:link w:val="Paragrafi"/>
    <w:locked/>
    <w:rsid w:val="002D647C"/>
    <w:rPr>
      <w:rFonts w:ascii="Garamond" w:eastAsia="MS Mincho" w:hAnsi="Garamond" w:cs="CG Times"/>
      <w:sz w:val="24"/>
    </w:rPr>
  </w:style>
  <w:style w:type="character" w:customStyle="1" w:styleId="UnresolvedMention4">
    <w:name w:val="Unresolved Mention4"/>
    <w:basedOn w:val="DefaultParagraphFont"/>
    <w:uiPriority w:val="99"/>
    <w:semiHidden/>
    <w:unhideWhenUsed/>
    <w:rsid w:val="009A3874"/>
    <w:rPr>
      <w:color w:val="605E5C"/>
      <w:shd w:val="clear" w:color="auto" w:fill="E1DFDD"/>
    </w:rPr>
  </w:style>
  <w:style w:type="character" w:styleId="FollowedHyperlink">
    <w:name w:val="FollowedHyperlink"/>
    <w:basedOn w:val="DefaultParagraphFont"/>
    <w:uiPriority w:val="99"/>
    <w:semiHidden/>
    <w:unhideWhenUsed/>
    <w:rsid w:val="001A7CC1"/>
    <w:rPr>
      <w:color w:val="954F72" w:themeColor="followedHyperlink"/>
      <w:u w:val="single"/>
    </w:rPr>
  </w:style>
  <w:style w:type="paragraph" w:styleId="BodyText3">
    <w:name w:val="Body Text 3"/>
    <w:basedOn w:val="Normal"/>
    <w:link w:val="BodyText3Char"/>
    <w:rsid w:val="00A601E4"/>
    <w:pPr>
      <w:spacing w:after="0" w:line="240" w:lineRule="auto"/>
      <w:jc w:val="center"/>
    </w:pPr>
    <w:rPr>
      <w:rFonts w:ascii="Times New Roman" w:eastAsia="MS Mincho" w:hAnsi="Times New Roman" w:cs="Times New Roman"/>
      <w:b/>
      <w:bCs/>
      <w:sz w:val="28"/>
      <w:szCs w:val="20"/>
      <w:lang w:val="en-GB"/>
    </w:rPr>
  </w:style>
  <w:style w:type="character" w:customStyle="1" w:styleId="BodyText3Char">
    <w:name w:val="Body Text 3 Char"/>
    <w:basedOn w:val="DefaultParagraphFont"/>
    <w:link w:val="BodyText3"/>
    <w:rsid w:val="00A601E4"/>
    <w:rPr>
      <w:rFonts w:ascii="Times New Roman" w:eastAsia="MS Mincho" w:hAnsi="Times New Roman" w:cs="Times New Roman"/>
      <w:b/>
      <w:bCs/>
      <w:sz w:val="28"/>
      <w:szCs w:val="20"/>
      <w:lang w:val="en-GB"/>
    </w:rPr>
  </w:style>
  <w:style w:type="character" w:customStyle="1" w:styleId="UnresolvedMention5">
    <w:name w:val="Unresolved Mention5"/>
    <w:basedOn w:val="DefaultParagraphFont"/>
    <w:uiPriority w:val="99"/>
    <w:semiHidden/>
    <w:unhideWhenUsed/>
    <w:rsid w:val="00B242AE"/>
    <w:rPr>
      <w:color w:val="605E5C"/>
      <w:shd w:val="clear" w:color="auto" w:fill="E1DFDD"/>
    </w:rPr>
  </w:style>
  <w:style w:type="numbering" w:customStyle="1" w:styleId="NoList1">
    <w:name w:val="No List1"/>
    <w:next w:val="NoList"/>
    <w:uiPriority w:val="99"/>
    <w:semiHidden/>
    <w:unhideWhenUsed/>
    <w:rsid w:val="001161DE"/>
  </w:style>
  <w:style w:type="table" w:customStyle="1" w:styleId="TableGridIDEA2">
    <w:name w:val="Table Grid IDEA2"/>
    <w:basedOn w:val="TableNormal"/>
    <w:next w:val="TableGrid"/>
    <w:uiPriority w:val="39"/>
    <w:rsid w:val="00116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
    <w:name w:val="Grid Table 1 Light - Accent 61"/>
    <w:basedOn w:val="TableNormal"/>
    <w:next w:val="GridTable1Light-Accent6"/>
    <w:uiPriority w:val="46"/>
    <w:rsid w:val="001161D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IDEA51">
    <w:name w:val="Table Grid IDEA51"/>
    <w:basedOn w:val="TableNormal"/>
    <w:next w:val="TableGrid"/>
    <w:uiPriority w:val="39"/>
    <w:rsid w:val="001161D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IDEA61">
    <w:name w:val="Table Grid IDEA61"/>
    <w:basedOn w:val="TableNormal"/>
    <w:next w:val="TableGrid"/>
    <w:uiPriority w:val="39"/>
    <w:rsid w:val="001161DE"/>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IDEA11">
    <w:name w:val="Table Grid IDEA11"/>
    <w:basedOn w:val="TableNormal"/>
    <w:next w:val="TableGrid"/>
    <w:uiPriority w:val="39"/>
    <w:rsid w:val="00116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IDEA3">
    <w:name w:val="Table Grid IDEA3"/>
    <w:basedOn w:val="TableNormal"/>
    <w:next w:val="TableGrid"/>
    <w:uiPriority w:val="39"/>
    <w:rsid w:val="00CE5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748C9"/>
  </w:style>
  <w:style w:type="table" w:customStyle="1" w:styleId="TableGridIDEA4">
    <w:name w:val="Table Grid IDEA4"/>
    <w:basedOn w:val="TableNormal"/>
    <w:next w:val="TableGrid"/>
    <w:uiPriority w:val="39"/>
    <w:rsid w:val="00374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2">
    <w:name w:val="Grid Table 1 Light - Accent 62"/>
    <w:basedOn w:val="TableNormal"/>
    <w:next w:val="GridTable1Light-Accent6"/>
    <w:uiPriority w:val="46"/>
    <w:rsid w:val="003748C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IDEA52">
    <w:name w:val="Table Grid IDEA52"/>
    <w:basedOn w:val="TableNormal"/>
    <w:next w:val="TableGrid"/>
    <w:uiPriority w:val="39"/>
    <w:rsid w:val="003748C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IDEA62">
    <w:name w:val="Table Grid IDEA62"/>
    <w:basedOn w:val="TableNormal"/>
    <w:next w:val="TableGrid"/>
    <w:uiPriority w:val="39"/>
    <w:rsid w:val="003748C9"/>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IDEA12">
    <w:name w:val="Table Grid IDEA12"/>
    <w:basedOn w:val="TableNormal"/>
    <w:next w:val="TableGrid"/>
    <w:uiPriority w:val="39"/>
    <w:rsid w:val="00374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6E7353"/>
    <w:rPr>
      <w:color w:val="605E5C"/>
      <w:shd w:val="clear" w:color="auto" w:fill="E1DFDD"/>
    </w:rPr>
  </w:style>
  <w:style w:type="character" w:customStyle="1" w:styleId="UnresolvedMention7">
    <w:name w:val="Unresolved Mention7"/>
    <w:basedOn w:val="DefaultParagraphFont"/>
    <w:uiPriority w:val="99"/>
    <w:semiHidden/>
    <w:unhideWhenUsed/>
    <w:rsid w:val="00653C91"/>
    <w:rPr>
      <w:color w:val="605E5C"/>
      <w:shd w:val="clear" w:color="auto" w:fill="E1DFDD"/>
    </w:rPr>
  </w:style>
  <w:style w:type="character" w:customStyle="1" w:styleId="Heading5Char">
    <w:name w:val="Heading 5 Char"/>
    <w:basedOn w:val="DefaultParagraphFont"/>
    <w:link w:val="Heading5"/>
    <w:uiPriority w:val="9"/>
    <w:semiHidden/>
    <w:rsid w:val="00BE133D"/>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BE133D"/>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BE133D"/>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BE133D"/>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BE133D"/>
    <w:rPr>
      <w:rFonts w:asciiTheme="majorHAnsi" w:eastAsiaTheme="majorEastAsia" w:hAnsiTheme="majorHAnsi" w:cstheme="majorBidi"/>
      <w:i/>
      <w:iCs/>
      <w:color w:val="70AD47" w:themeColor="accent6"/>
      <w:sz w:val="20"/>
      <w:szCs w:val="20"/>
    </w:rPr>
  </w:style>
  <w:style w:type="paragraph" w:styleId="Title">
    <w:name w:val="Title"/>
    <w:basedOn w:val="Normal"/>
    <w:next w:val="Normal"/>
    <w:link w:val="TitleChar"/>
    <w:uiPriority w:val="10"/>
    <w:qFormat/>
    <w:rsid w:val="00BE133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E133D"/>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E133D"/>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E133D"/>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BE133D"/>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E133D"/>
    <w:rPr>
      <w:i/>
      <w:iCs/>
      <w:color w:val="262626" w:themeColor="text1" w:themeTint="D9"/>
    </w:rPr>
  </w:style>
  <w:style w:type="paragraph" w:styleId="IntenseQuote">
    <w:name w:val="Intense Quote"/>
    <w:basedOn w:val="Normal"/>
    <w:next w:val="Normal"/>
    <w:link w:val="IntenseQuoteChar"/>
    <w:uiPriority w:val="30"/>
    <w:qFormat/>
    <w:rsid w:val="00BE133D"/>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BE133D"/>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BE133D"/>
    <w:rPr>
      <w:i/>
      <w:iCs/>
    </w:rPr>
  </w:style>
  <w:style w:type="character" w:styleId="IntenseEmphasis">
    <w:name w:val="Intense Emphasis"/>
    <w:basedOn w:val="DefaultParagraphFont"/>
    <w:uiPriority w:val="21"/>
    <w:qFormat/>
    <w:rsid w:val="00BE133D"/>
    <w:rPr>
      <w:b/>
      <w:bCs/>
      <w:i/>
      <w:iCs/>
    </w:rPr>
  </w:style>
  <w:style w:type="character" w:styleId="SubtleReference">
    <w:name w:val="Subtle Reference"/>
    <w:basedOn w:val="DefaultParagraphFont"/>
    <w:uiPriority w:val="31"/>
    <w:qFormat/>
    <w:rsid w:val="00BE133D"/>
    <w:rPr>
      <w:smallCaps/>
      <w:color w:val="595959" w:themeColor="text1" w:themeTint="A6"/>
    </w:rPr>
  </w:style>
  <w:style w:type="character" w:styleId="BookTitle">
    <w:name w:val="Book Title"/>
    <w:basedOn w:val="DefaultParagraphFont"/>
    <w:uiPriority w:val="33"/>
    <w:qFormat/>
    <w:rsid w:val="00BE133D"/>
    <w:rPr>
      <w:b/>
      <w:bCs/>
      <w:caps w:val="0"/>
      <w:smallCaps/>
      <w:spacing w:val="7"/>
      <w:sz w:val="21"/>
      <w:szCs w:val="21"/>
    </w:rPr>
  </w:style>
  <w:style w:type="paragraph" w:customStyle="1" w:styleId="BVIfnrZchnZchn">
    <w:name w:val="BVI fnr Zchn Zchn"/>
    <w:aliases w:val="ftref Zchn Zchn,16 Point Zchn Zchn,Superscript 6 Point Zchn Zchn,nota pié di pagina Zchn Zchn,Footnote symbol Zchn Zchn,Footnote reference number Zchn Zchn,Times 10 Point Zchn Zchn,Exposant 3 Point Zchn Zchn"/>
    <w:basedOn w:val="Normal"/>
    <w:uiPriority w:val="99"/>
    <w:rsid w:val="00C4610A"/>
    <w:pPr>
      <w:spacing w:after="160" w:line="240" w:lineRule="exact"/>
      <w:jc w:val="both"/>
    </w:pPr>
    <w:rPr>
      <w:rFonts w:eastAsiaTheme="minorHAnsi"/>
      <w:sz w:val="22"/>
      <w:szCs w:val="22"/>
      <w:vertAlign w:val="superscript"/>
    </w:rPr>
  </w:style>
  <w:style w:type="table" w:styleId="GridTable2-Accent5">
    <w:name w:val="Grid Table 2 Accent 5"/>
    <w:basedOn w:val="TableNormal"/>
    <w:uiPriority w:val="47"/>
    <w:rsid w:val="00B45558"/>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9866C9"/>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6B3AE5"/>
    <w:pPr>
      <w:spacing w:after="0" w:line="240" w:lineRule="auto"/>
    </w:pPr>
    <w:rPr>
      <w:rFonts w:eastAsiaTheme="minorHAnsi"/>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TEKSTIIII">
    <w:name w:val="TEKSTIIII"/>
    <w:basedOn w:val="Normal"/>
    <w:qFormat/>
    <w:rsid w:val="009D635C"/>
    <w:pPr>
      <w:spacing w:after="0" w:line="240" w:lineRule="auto"/>
      <w:ind w:firstLine="284"/>
      <w:jc w:val="both"/>
    </w:pPr>
    <w:rPr>
      <w:rFonts w:ascii="Garamond" w:eastAsia="Times New Roman" w:hAnsi="Garamond" w:cs="Times New Roman"/>
      <w:sz w:val="24"/>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95">
      <w:bodyDiv w:val="1"/>
      <w:marLeft w:val="0"/>
      <w:marRight w:val="0"/>
      <w:marTop w:val="0"/>
      <w:marBottom w:val="0"/>
      <w:divBdr>
        <w:top w:val="none" w:sz="0" w:space="0" w:color="auto"/>
        <w:left w:val="none" w:sz="0" w:space="0" w:color="auto"/>
        <w:bottom w:val="none" w:sz="0" w:space="0" w:color="auto"/>
        <w:right w:val="none" w:sz="0" w:space="0" w:color="auto"/>
      </w:divBdr>
    </w:div>
    <w:div w:id="22901860">
      <w:bodyDiv w:val="1"/>
      <w:marLeft w:val="0"/>
      <w:marRight w:val="0"/>
      <w:marTop w:val="0"/>
      <w:marBottom w:val="0"/>
      <w:divBdr>
        <w:top w:val="none" w:sz="0" w:space="0" w:color="auto"/>
        <w:left w:val="none" w:sz="0" w:space="0" w:color="auto"/>
        <w:bottom w:val="none" w:sz="0" w:space="0" w:color="auto"/>
        <w:right w:val="none" w:sz="0" w:space="0" w:color="auto"/>
      </w:divBdr>
    </w:div>
    <w:div w:id="25716759">
      <w:bodyDiv w:val="1"/>
      <w:marLeft w:val="0"/>
      <w:marRight w:val="0"/>
      <w:marTop w:val="0"/>
      <w:marBottom w:val="0"/>
      <w:divBdr>
        <w:top w:val="none" w:sz="0" w:space="0" w:color="auto"/>
        <w:left w:val="none" w:sz="0" w:space="0" w:color="auto"/>
        <w:bottom w:val="none" w:sz="0" w:space="0" w:color="auto"/>
        <w:right w:val="none" w:sz="0" w:space="0" w:color="auto"/>
      </w:divBdr>
    </w:div>
    <w:div w:id="37635502">
      <w:bodyDiv w:val="1"/>
      <w:marLeft w:val="0"/>
      <w:marRight w:val="0"/>
      <w:marTop w:val="0"/>
      <w:marBottom w:val="0"/>
      <w:divBdr>
        <w:top w:val="none" w:sz="0" w:space="0" w:color="auto"/>
        <w:left w:val="none" w:sz="0" w:space="0" w:color="auto"/>
        <w:bottom w:val="none" w:sz="0" w:space="0" w:color="auto"/>
        <w:right w:val="none" w:sz="0" w:space="0" w:color="auto"/>
      </w:divBdr>
    </w:div>
    <w:div w:id="43986165">
      <w:bodyDiv w:val="1"/>
      <w:marLeft w:val="0"/>
      <w:marRight w:val="0"/>
      <w:marTop w:val="0"/>
      <w:marBottom w:val="0"/>
      <w:divBdr>
        <w:top w:val="none" w:sz="0" w:space="0" w:color="auto"/>
        <w:left w:val="none" w:sz="0" w:space="0" w:color="auto"/>
        <w:bottom w:val="none" w:sz="0" w:space="0" w:color="auto"/>
        <w:right w:val="none" w:sz="0" w:space="0" w:color="auto"/>
      </w:divBdr>
    </w:div>
    <w:div w:id="54474268">
      <w:bodyDiv w:val="1"/>
      <w:marLeft w:val="0"/>
      <w:marRight w:val="0"/>
      <w:marTop w:val="0"/>
      <w:marBottom w:val="0"/>
      <w:divBdr>
        <w:top w:val="none" w:sz="0" w:space="0" w:color="auto"/>
        <w:left w:val="none" w:sz="0" w:space="0" w:color="auto"/>
        <w:bottom w:val="none" w:sz="0" w:space="0" w:color="auto"/>
        <w:right w:val="none" w:sz="0" w:space="0" w:color="auto"/>
      </w:divBdr>
    </w:div>
    <w:div w:id="59912106">
      <w:bodyDiv w:val="1"/>
      <w:marLeft w:val="0"/>
      <w:marRight w:val="0"/>
      <w:marTop w:val="0"/>
      <w:marBottom w:val="0"/>
      <w:divBdr>
        <w:top w:val="none" w:sz="0" w:space="0" w:color="auto"/>
        <w:left w:val="none" w:sz="0" w:space="0" w:color="auto"/>
        <w:bottom w:val="none" w:sz="0" w:space="0" w:color="auto"/>
        <w:right w:val="none" w:sz="0" w:space="0" w:color="auto"/>
      </w:divBdr>
      <w:divsChild>
        <w:div w:id="1238706546">
          <w:marLeft w:val="446"/>
          <w:marRight w:val="0"/>
          <w:marTop w:val="0"/>
          <w:marBottom w:val="120"/>
          <w:divBdr>
            <w:top w:val="none" w:sz="0" w:space="0" w:color="auto"/>
            <w:left w:val="none" w:sz="0" w:space="0" w:color="auto"/>
            <w:bottom w:val="none" w:sz="0" w:space="0" w:color="auto"/>
            <w:right w:val="none" w:sz="0" w:space="0" w:color="auto"/>
          </w:divBdr>
        </w:div>
      </w:divsChild>
    </w:div>
    <w:div w:id="60057198">
      <w:bodyDiv w:val="1"/>
      <w:marLeft w:val="0"/>
      <w:marRight w:val="0"/>
      <w:marTop w:val="0"/>
      <w:marBottom w:val="0"/>
      <w:divBdr>
        <w:top w:val="none" w:sz="0" w:space="0" w:color="auto"/>
        <w:left w:val="none" w:sz="0" w:space="0" w:color="auto"/>
        <w:bottom w:val="none" w:sz="0" w:space="0" w:color="auto"/>
        <w:right w:val="none" w:sz="0" w:space="0" w:color="auto"/>
      </w:divBdr>
    </w:div>
    <w:div w:id="65807688">
      <w:bodyDiv w:val="1"/>
      <w:marLeft w:val="0"/>
      <w:marRight w:val="0"/>
      <w:marTop w:val="0"/>
      <w:marBottom w:val="0"/>
      <w:divBdr>
        <w:top w:val="none" w:sz="0" w:space="0" w:color="auto"/>
        <w:left w:val="none" w:sz="0" w:space="0" w:color="auto"/>
        <w:bottom w:val="none" w:sz="0" w:space="0" w:color="auto"/>
        <w:right w:val="none" w:sz="0" w:space="0" w:color="auto"/>
      </w:divBdr>
      <w:divsChild>
        <w:div w:id="111637014">
          <w:marLeft w:val="0"/>
          <w:marRight w:val="0"/>
          <w:marTop w:val="0"/>
          <w:marBottom w:val="0"/>
          <w:divBdr>
            <w:top w:val="none" w:sz="0" w:space="0" w:color="auto"/>
            <w:left w:val="none" w:sz="0" w:space="0" w:color="auto"/>
            <w:bottom w:val="none" w:sz="0" w:space="0" w:color="auto"/>
            <w:right w:val="none" w:sz="0" w:space="0" w:color="auto"/>
          </w:divBdr>
        </w:div>
        <w:div w:id="1542671252">
          <w:marLeft w:val="0"/>
          <w:marRight w:val="0"/>
          <w:marTop w:val="0"/>
          <w:marBottom w:val="0"/>
          <w:divBdr>
            <w:top w:val="none" w:sz="0" w:space="0" w:color="auto"/>
            <w:left w:val="none" w:sz="0" w:space="0" w:color="auto"/>
            <w:bottom w:val="none" w:sz="0" w:space="0" w:color="auto"/>
            <w:right w:val="none" w:sz="0" w:space="0" w:color="auto"/>
          </w:divBdr>
        </w:div>
      </w:divsChild>
    </w:div>
    <w:div w:id="72705517">
      <w:bodyDiv w:val="1"/>
      <w:marLeft w:val="0"/>
      <w:marRight w:val="0"/>
      <w:marTop w:val="0"/>
      <w:marBottom w:val="0"/>
      <w:divBdr>
        <w:top w:val="none" w:sz="0" w:space="0" w:color="auto"/>
        <w:left w:val="none" w:sz="0" w:space="0" w:color="auto"/>
        <w:bottom w:val="none" w:sz="0" w:space="0" w:color="auto"/>
        <w:right w:val="none" w:sz="0" w:space="0" w:color="auto"/>
      </w:divBdr>
    </w:div>
    <w:div w:id="127011696">
      <w:bodyDiv w:val="1"/>
      <w:marLeft w:val="0"/>
      <w:marRight w:val="0"/>
      <w:marTop w:val="0"/>
      <w:marBottom w:val="0"/>
      <w:divBdr>
        <w:top w:val="none" w:sz="0" w:space="0" w:color="auto"/>
        <w:left w:val="none" w:sz="0" w:space="0" w:color="auto"/>
        <w:bottom w:val="none" w:sz="0" w:space="0" w:color="auto"/>
        <w:right w:val="none" w:sz="0" w:space="0" w:color="auto"/>
      </w:divBdr>
    </w:div>
    <w:div w:id="160437642">
      <w:bodyDiv w:val="1"/>
      <w:marLeft w:val="0"/>
      <w:marRight w:val="0"/>
      <w:marTop w:val="0"/>
      <w:marBottom w:val="0"/>
      <w:divBdr>
        <w:top w:val="none" w:sz="0" w:space="0" w:color="auto"/>
        <w:left w:val="none" w:sz="0" w:space="0" w:color="auto"/>
        <w:bottom w:val="none" w:sz="0" w:space="0" w:color="auto"/>
        <w:right w:val="none" w:sz="0" w:space="0" w:color="auto"/>
      </w:divBdr>
    </w:div>
    <w:div w:id="165899063">
      <w:bodyDiv w:val="1"/>
      <w:marLeft w:val="0"/>
      <w:marRight w:val="0"/>
      <w:marTop w:val="0"/>
      <w:marBottom w:val="0"/>
      <w:divBdr>
        <w:top w:val="none" w:sz="0" w:space="0" w:color="auto"/>
        <w:left w:val="none" w:sz="0" w:space="0" w:color="auto"/>
        <w:bottom w:val="none" w:sz="0" w:space="0" w:color="auto"/>
        <w:right w:val="none" w:sz="0" w:space="0" w:color="auto"/>
      </w:divBdr>
    </w:div>
    <w:div w:id="177240132">
      <w:bodyDiv w:val="1"/>
      <w:marLeft w:val="0"/>
      <w:marRight w:val="0"/>
      <w:marTop w:val="0"/>
      <w:marBottom w:val="0"/>
      <w:divBdr>
        <w:top w:val="none" w:sz="0" w:space="0" w:color="auto"/>
        <w:left w:val="none" w:sz="0" w:space="0" w:color="auto"/>
        <w:bottom w:val="none" w:sz="0" w:space="0" w:color="auto"/>
        <w:right w:val="none" w:sz="0" w:space="0" w:color="auto"/>
      </w:divBdr>
    </w:div>
    <w:div w:id="181238589">
      <w:bodyDiv w:val="1"/>
      <w:marLeft w:val="0"/>
      <w:marRight w:val="0"/>
      <w:marTop w:val="0"/>
      <w:marBottom w:val="0"/>
      <w:divBdr>
        <w:top w:val="none" w:sz="0" w:space="0" w:color="auto"/>
        <w:left w:val="none" w:sz="0" w:space="0" w:color="auto"/>
        <w:bottom w:val="none" w:sz="0" w:space="0" w:color="auto"/>
        <w:right w:val="none" w:sz="0" w:space="0" w:color="auto"/>
      </w:divBdr>
    </w:div>
    <w:div w:id="186678541">
      <w:bodyDiv w:val="1"/>
      <w:marLeft w:val="0"/>
      <w:marRight w:val="0"/>
      <w:marTop w:val="0"/>
      <w:marBottom w:val="0"/>
      <w:divBdr>
        <w:top w:val="none" w:sz="0" w:space="0" w:color="auto"/>
        <w:left w:val="none" w:sz="0" w:space="0" w:color="auto"/>
        <w:bottom w:val="none" w:sz="0" w:space="0" w:color="auto"/>
        <w:right w:val="none" w:sz="0" w:space="0" w:color="auto"/>
      </w:divBdr>
    </w:div>
    <w:div w:id="252982098">
      <w:bodyDiv w:val="1"/>
      <w:marLeft w:val="0"/>
      <w:marRight w:val="0"/>
      <w:marTop w:val="0"/>
      <w:marBottom w:val="0"/>
      <w:divBdr>
        <w:top w:val="none" w:sz="0" w:space="0" w:color="auto"/>
        <w:left w:val="none" w:sz="0" w:space="0" w:color="auto"/>
        <w:bottom w:val="none" w:sz="0" w:space="0" w:color="auto"/>
        <w:right w:val="none" w:sz="0" w:space="0" w:color="auto"/>
      </w:divBdr>
    </w:div>
    <w:div w:id="281887560">
      <w:bodyDiv w:val="1"/>
      <w:marLeft w:val="0"/>
      <w:marRight w:val="0"/>
      <w:marTop w:val="0"/>
      <w:marBottom w:val="0"/>
      <w:divBdr>
        <w:top w:val="none" w:sz="0" w:space="0" w:color="auto"/>
        <w:left w:val="none" w:sz="0" w:space="0" w:color="auto"/>
        <w:bottom w:val="none" w:sz="0" w:space="0" w:color="auto"/>
        <w:right w:val="none" w:sz="0" w:space="0" w:color="auto"/>
      </w:divBdr>
    </w:div>
    <w:div w:id="311764197">
      <w:bodyDiv w:val="1"/>
      <w:marLeft w:val="0"/>
      <w:marRight w:val="0"/>
      <w:marTop w:val="0"/>
      <w:marBottom w:val="0"/>
      <w:divBdr>
        <w:top w:val="none" w:sz="0" w:space="0" w:color="auto"/>
        <w:left w:val="none" w:sz="0" w:space="0" w:color="auto"/>
        <w:bottom w:val="none" w:sz="0" w:space="0" w:color="auto"/>
        <w:right w:val="none" w:sz="0" w:space="0" w:color="auto"/>
      </w:divBdr>
      <w:divsChild>
        <w:div w:id="1310472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3293188">
      <w:bodyDiv w:val="1"/>
      <w:marLeft w:val="0"/>
      <w:marRight w:val="0"/>
      <w:marTop w:val="0"/>
      <w:marBottom w:val="0"/>
      <w:divBdr>
        <w:top w:val="none" w:sz="0" w:space="0" w:color="auto"/>
        <w:left w:val="none" w:sz="0" w:space="0" w:color="auto"/>
        <w:bottom w:val="none" w:sz="0" w:space="0" w:color="auto"/>
        <w:right w:val="none" w:sz="0" w:space="0" w:color="auto"/>
      </w:divBdr>
    </w:div>
    <w:div w:id="314183043">
      <w:bodyDiv w:val="1"/>
      <w:marLeft w:val="0"/>
      <w:marRight w:val="0"/>
      <w:marTop w:val="0"/>
      <w:marBottom w:val="0"/>
      <w:divBdr>
        <w:top w:val="none" w:sz="0" w:space="0" w:color="auto"/>
        <w:left w:val="none" w:sz="0" w:space="0" w:color="auto"/>
        <w:bottom w:val="none" w:sz="0" w:space="0" w:color="auto"/>
        <w:right w:val="none" w:sz="0" w:space="0" w:color="auto"/>
      </w:divBdr>
    </w:div>
    <w:div w:id="341015012">
      <w:bodyDiv w:val="1"/>
      <w:marLeft w:val="0"/>
      <w:marRight w:val="0"/>
      <w:marTop w:val="0"/>
      <w:marBottom w:val="0"/>
      <w:divBdr>
        <w:top w:val="none" w:sz="0" w:space="0" w:color="auto"/>
        <w:left w:val="none" w:sz="0" w:space="0" w:color="auto"/>
        <w:bottom w:val="none" w:sz="0" w:space="0" w:color="auto"/>
        <w:right w:val="none" w:sz="0" w:space="0" w:color="auto"/>
      </w:divBdr>
      <w:divsChild>
        <w:div w:id="1473132982">
          <w:marLeft w:val="0"/>
          <w:marRight w:val="0"/>
          <w:marTop w:val="0"/>
          <w:marBottom w:val="0"/>
          <w:divBdr>
            <w:top w:val="none" w:sz="0" w:space="0" w:color="auto"/>
            <w:left w:val="none" w:sz="0" w:space="0" w:color="auto"/>
            <w:bottom w:val="none" w:sz="0" w:space="0" w:color="auto"/>
            <w:right w:val="none" w:sz="0" w:space="0" w:color="auto"/>
          </w:divBdr>
        </w:div>
      </w:divsChild>
    </w:div>
    <w:div w:id="357851492">
      <w:bodyDiv w:val="1"/>
      <w:marLeft w:val="0"/>
      <w:marRight w:val="0"/>
      <w:marTop w:val="0"/>
      <w:marBottom w:val="0"/>
      <w:divBdr>
        <w:top w:val="none" w:sz="0" w:space="0" w:color="auto"/>
        <w:left w:val="none" w:sz="0" w:space="0" w:color="auto"/>
        <w:bottom w:val="none" w:sz="0" w:space="0" w:color="auto"/>
        <w:right w:val="none" w:sz="0" w:space="0" w:color="auto"/>
      </w:divBdr>
    </w:div>
    <w:div w:id="391074900">
      <w:bodyDiv w:val="1"/>
      <w:marLeft w:val="0"/>
      <w:marRight w:val="0"/>
      <w:marTop w:val="0"/>
      <w:marBottom w:val="0"/>
      <w:divBdr>
        <w:top w:val="none" w:sz="0" w:space="0" w:color="auto"/>
        <w:left w:val="none" w:sz="0" w:space="0" w:color="auto"/>
        <w:bottom w:val="none" w:sz="0" w:space="0" w:color="auto"/>
        <w:right w:val="none" w:sz="0" w:space="0" w:color="auto"/>
      </w:divBdr>
    </w:div>
    <w:div w:id="391856661">
      <w:bodyDiv w:val="1"/>
      <w:marLeft w:val="0"/>
      <w:marRight w:val="0"/>
      <w:marTop w:val="0"/>
      <w:marBottom w:val="0"/>
      <w:divBdr>
        <w:top w:val="none" w:sz="0" w:space="0" w:color="auto"/>
        <w:left w:val="none" w:sz="0" w:space="0" w:color="auto"/>
        <w:bottom w:val="none" w:sz="0" w:space="0" w:color="auto"/>
        <w:right w:val="none" w:sz="0" w:space="0" w:color="auto"/>
      </w:divBdr>
    </w:div>
    <w:div w:id="397746041">
      <w:bodyDiv w:val="1"/>
      <w:marLeft w:val="0"/>
      <w:marRight w:val="0"/>
      <w:marTop w:val="0"/>
      <w:marBottom w:val="0"/>
      <w:divBdr>
        <w:top w:val="none" w:sz="0" w:space="0" w:color="auto"/>
        <w:left w:val="none" w:sz="0" w:space="0" w:color="auto"/>
        <w:bottom w:val="none" w:sz="0" w:space="0" w:color="auto"/>
        <w:right w:val="none" w:sz="0" w:space="0" w:color="auto"/>
      </w:divBdr>
    </w:div>
    <w:div w:id="413207575">
      <w:bodyDiv w:val="1"/>
      <w:marLeft w:val="0"/>
      <w:marRight w:val="0"/>
      <w:marTop w:val="0"/>
      <w:marBottom w:val="0"/>
      <w:divBdr>
        <w:top w:val="none" w:sz="0" w:space="0" w:color="auto"/>
        <w:left w:val="none" w:sz="0" w:space="0" w:color="auto"/>
        <w:bottom w:val="none" w:sz="0" w:space="0" w:color="auto"/>
        <w:right w:val="none" w:sz="0" w:space="0" w:color="auto"/>
      </w:divBdr>
    </w:div>
    <w:div w:id="413281193">
      <w:bodyDiv w:val="1"/>
      <w:marLeft w:val="0"/>
      <w:marRight w:val="0"/>
      <w:marTop w:val="0"/>
      <w:marBottom w:val="0"/>
      <w:divBdr>
        <w:top w:val="none" w:sz="0" w:space="0" w:color="auto"/>
        <w:left w:val="none" w:sz="0" w:space="0" w:color="auto"/>
        <w:bottom w:val="none" w:sz="0" w:space="0" w:color="auto"/>
        <w:right w:val="none" w:sz="0" w:space="0" w:color="auto"/>
      </w:divBdr>
    </w:div>
    <w:div w:id="423765241">
      <w:bodyDiv w:val="1"/>
      <w:marLeft w:val="0"/>
      <w:marRight w:val="0"/>
      <w:marTop w:val="0"/>
      <w:marBottom w:val="0"/>
      <w:divBdr>
        <w:top w:val="none" w:sz="0" w:space="0" w:color="auto"/>
        <w:left w:val="none" w:sz="0" w:space="0" w:color="auto"/>
        <w:bottom w:val="none" w:sz="0" w:space="0" w:color="auto"/>
        <w:right w:val="none" w:sz="0" w:space="0" w:color="auto"/>
      </w:divBdr>
    </w:div>
    <w:div w:id="505558661">
      <w:bodyDiv w:val="1"/>
      <w:marLeft w:val="0"/>
      <w:marRight w:val="0"/>
      <w:marTop w:val="0"/>
      <w:marBottom w:val="0"/>
      <w:divBdr>
        <w:top w:val="none" w:sz="0" w:space="0" w:color="auto"/>
        <w:left w:val="none" w:sz="0" w:space="0" w:color="auto"/>
        <w:bottom w:val="none" w:sz="0" w:space="0" w:color="auto"/>
        <w:right w:val="none" w:sz="0" w:space="0" w:color="auto"/>
      </w:divBdr>
      <w:divsChild>
        <w:div w:id="738794496">
          <w:marLeft w:val="0"/>
          <w:marRight w:val="0"/>
          <w:marTop w:val="0"/>
          <w:marBottom w:val="0"/>
          <w:divBdr>
            <w:top w:val="single" w:sz="2" w:space="0" w:color="D9D9E3"/>
            <w:left w:val="single" w:sz="2" w:space="0" w:color="D9D9E3"/>
            <w:bottom w:val="single" w:sz="2" w:space="0" w:color="D9D9E3"/>
            <w:right w:val="single" w:sz="2" w:space="0" w:color="D9D9E3"/>
          </w:divBdr>
          <w:divsChild>
            <w:div w:id="1231580265">
              <w:marLeft w:val="0"/>
              <w:marRight w:val="0"/>
              <w:marTop w:val="100"/>
              <w:marBottom w:val="100"/>
              <w:divBdr>
                <w:top w:val="single" w:sz="2" w:space="0" w:color="D9D9E3"/>
                <w:left w:val="single" w:sz="2" w:space="0" w:color="D9D9E3"/>
                <w:bottom w:val="single" w:sz="2" w:space="0" w:color="D9D9E3"/>
                <w:right w:val="single" w:sz="2" w:space="0" w:color="D9D9E3"/>
              </w:divBdr>
              <w:divsChild>
                <w:div w:id="751586668">
                  <w:marLeft w:val="0"/>
                  <w:marRight w:val="0"/>
                  <w:marTop w:val="0"/>
                  <w:marBottom w:val="0"/>
                  <w:divBdr>
                    <w:top w:val="single" w:sz="2" w:space="0" w:color="D9D9E3"/>
                    <w:left w:val="single" w:sz="2" w:space="0" w:color="D9D9E3"/>
                    <w:bottom w:val="single" w:sz="2" w:space="0" w:color="D9D9E3"/>
                    <w:right w:val="single" w:sz="2" w:space="0" w:color="D9D9E3"/>
                  </w:divBdr>
                  <w:divsChild>
                    <w:div w:id="1294826612">
                      <w:marLeft w:val="0"/>
                      <w:marRight w:val="0"/>
                      <w:marTop w:val="0"/>
                      <w:marBottom w:val="0"/>
                      <w:divBdr>
                        <w:top w:val="single" w:sz="2" w:space="0" w:color="D9D9E3"/>
                        <w:left w:val="single" w:sz="2" w:space="0" w:color="D9D9E3"/>
                        <w:bottom w:val="single" w:sz="2" w:space="0" w:color="D9D9E3"/>
                        <w:right w:val="single" w:sz="2" w:space="0" w:color="D9D9E3"/>
                      </w:divBdr>
                      <w:divsChild>
                        <w:div w:id="1466848467">
                          <w:marLeft w:val="0"/>
                          <w:marRight w:val="0"/>
                          <w:marTop w:val="0"/>
                          <w:marBottom w:val="0"/>
                          <w:divBdr>
                            <w:top w:val="single" w:sz="2" w:space="0" w:color="D9D9E3"/>
                            <w:left w:val="single" w:sz="2" w:space="0" w:color="D9D9E3"/>
                            <w:bottom w:val="single" w:sz="2" w:space="0" w:color="D9D9E3"/>
                            <w:right w:val="single" w:sz="2" w:space="0" w:color="D9D9E3"/>
                          </w:divBdr>
                          <w:divsChild>
                            <w:div w:id="864947406">
                              <w:marLeft w:val="0"/>
                              <w:marRight w:val="0"/>
                              <w:marTop w:val="0"/>
                              <w:marBottom w:val="0"/>
                              <w:divBdr>
                                <w:top w:val="single" w:sz="2" w:space="0" w:color="D9D9E3"/>
                                <w:left w:val="single" w:sz="2" w:space="0" w:color="D9D9E3"/>
                                <w:bottom w:val="single" w:sz="2" w:space="0" w:color="D9D9E3"/>
                                <w:right w:val="single" w:sz="2" w:space="0" w:color="D9D9E3"/>
                              </w:divBdr>
                              <w:divsChild>
                                <w:div w:id="92827941">
                                  <w:marLeft w:val="0"/>
                                  <w:marRight w:val="0"/>
                                  <w:marTop w:val="0"/>
                                  <w:marBottom w:val="0"/>
                                  <w:divBdr>
                                    <w:top w:val="single" w:sz="2" w:space="0" w:color="D9D9E3"/>
                                    <w:left w:val="single" w:sz="2" w:space="0" w:color="D9D9E3"/>
                                    <w:bottom w:val="single" w:sz="2" w:space="0" w:color="D9D9E3"/>
                                    <w:right w:val="single" w:sz="2" w:space="0" w:color="D9D9E3"/>
                                  </w:divBdr>
                                  <w:divsChild>
                                    <w:div w:id="7770267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16699297">
      <w:bodyDiv w:val="1"/>
      <w:marLeft w:val="0"/>
      <w:marRight w:val="0"/>
      <w:marTop w:val="0"/>
      <w:marBottom w:val="0"/>
      <w:divBdr>
        <w:top w:val="none" w:sz="0" w:space="0" w:color="auto"/>
        <w:left w:val="none" w:sz="0" w:space="0" w:color="auto"/>
        <w:bottom w:val="none" w:sz="0" w:space="0" w:color="auto"/>
        <w:right w:val="none" w:sz="0" w:space="0" w:color="auto"/>
      </w:divBdr>
    </w:div>
    <w:div w:id="516962768">
      <w:bodyDiv w:val="1"/>
      <w:marLeft w:val="0"/>
      <w:marRight w:val="0"/>
      <w:marTop w:val="0"/>
      <w:marBottom w:val="0"/>
      <w:divBdr>
        <w:top w:val="none" w:sz="0" w:space="0" w:color="auto"/>
        <w:left w:val="none" w:sz="0" w:space="0" w:color="auto"/>
        <w:bottom w:val="none" w:sz="0" w:space="0" w:color="auto"/>
        <w:right w:val="none" w:sz="0" w:space="0" w:color="auto"/>
      </w:divBdr>
    </w:div>
    <w:div w:id="519903203">
      <w:bodyDiv w:val="1"/>
      <w:marLeft w:val="0"/>
      <w:marRight w:val="0"/>
      <w:marTop w:val="0"/>
      <w:marBottom w:val="0"/>
      <w:divBdr>
        <w:top w:val="none" w:sz="0" w:space="0" w:color="auto"/>
        <w:left w:val="none" w:sz="0" w:space="0" w:color="auto"/>
        <w:bottom w:val="none" w:sz="0" w:space="0" w:color="auto"/>
        <w:right w:val="none" w:sz="0" w:space="0" w:color="auto"/>
      </w:divBdr>
    </w:div>
    <w:div w:id="527372522">
      <w:bodyDiv w:val="1"/>
      <w:marLeft w:val="0"/>
      <w:marRight w:val="0"/>
      <w:marTop w:val="0"/>
      <w:marBottom w:val="0"/>
      <w:divBdr>
        <w:top w:val="none" w:sz="0" w:space="0" w:color="auto"/>
        <w:left w:val="none" w:sz="0" w:space="0" w:color="auto"/>
        <w:bottom w:val="none" w:sz="0" w:space="0" w:color="auto"/>
        <w:right w:val="none" w:sz="0" w:space="0" w:color="auto"/>
      </w:divBdr>
    </w:div>
    <w:div w:id="534120293">
      <w:bodyDiv w:val="1"/>
      <w:marLeft w:val="0"/>
      <w:marRight w:val="0"/>
      <w:marTop w:val="0"/>
      <w:marBottom w:val="0"/>
      <w:divBdr>
        <w:top w:val="none" w:sz="0" w:space="0" w:color="auto"/>
        <w:left w:val="none" w:sz="0" w:space="0" w:color="auto"/>
        <w:bottom w:val="none" w:sz="0" w:space="0" w:color="auto"/>
        <w:right w:val="none" w:sz="0" w:space="0" w:color="auto"/>
      </w:divBdr>
    </w:div>
    <w:div w:id="537670044">
      <w:bodyDiv w:val="1"/>
      <w:marLeft w:val="0"/>
      <w:marRight w:val="0"/>
      <w:marTop w:val="0"/>
      <w:marBottom w:val="0"/>
      <w:divBdr>
        <w:top w:val="none" w:sz="0" w:space="0" w:color="auto"/>
        <w:left w:val="none" w:sz="0" w:space="0" w:color="auto"/>
        <w:bottom w:val="none" w:sz="0" w:space="0" w:color="auto"/>
        <w:right w:val="none" w:sz="0" w:space="0" w:color="auto"/>
      </w:divBdr>
    </w:div>
    <w:div w:id="546377767">
      <w:bodyDiv w:val="1"/>
      <w:marLeft w:val="0"/>
      <w:marRight w:val="0"/>
      <w:marTop w:val="0"/>
      <w:marBottom w:val="0"/>
      <w:divBdr>
        <w:top w:val="none" w:sz="0" w:space="0" w:color="auto"/>
        <w:left w:val="none" w:sz="0" w:space="0" w:color="auto"/>
        <w:bottom w:val="none" w:sz="0" w:space="0" w:color="auto"/>
        <w:right w:val="none" w:sz="0" w:space="0" w:color="auto"/>
      </w:divBdr>
    </w:div>
    <w:div w:id="547111071">
      <w:bodyDiv w:val="1"/>
      <w:marLeft w:val="0"/>
      <w:marRight w:val="0"/>
      <w:marTop w:val="0"/>
      <w:marBottom w:val="0"/>
      <w:divBdr>
        <w:top w:val="none" w:sz="0" w:space="0" w:color="auto"/>
        <w:left w:val="none" w:sz="0" w:space="0" w:color="auto"/>
        <w:bottom w:val="none" w:sz="0" w:space="0" w:color="auto"/>
        <w:right w:val="none" w:sz="0" w:space="0" w:color="auto"/>
      </w:divBdr>
    </w:div>
    <w:div w:id="550262631">
      <w:bodyDiv w:val="1"/>
      <w:marLeft w:val="0"/>
      <w:marRight w:val="0"/>
      <w:marTop w:val="0"/>
      <w:marBottom w:val="0"/>
      <w:divBdr>
        <w:top w:val="none" w:sz="0" w:space="0" w:color="auto"/>
        <w:left w:val="none" w:sz="0" w:space="0" w:color="auto"/>
        <w:bottom w:val="none" w:sz="0" w:space="0" w:color="auto"/>
        <w:right w:val="none" w:sz="0" w:space="0" w:color="auto"/>
      </w:divBdr>
      <w:divsChild>
        <w:div w:id="1122185987">
          <w:marLeft w:val="0"/>
          <w:marRight w:val="0"/>
          <w:marTop w:val="0"/>
          <w:marBottom w:val="0"/>
          <w:divBdr>
            <w:top w:val="none" w:sz="0" w:space="0" w:color="auto"/>
            <w:left w:val="none" w:sz="0" w:space="0" w:color="auto"/>
            <w:bottom w:val="none" w:sz="0" w:space="0" w:color="auto"/>
            <w:right w:val="none" w:sz="0" w:space="0" w:color="auto"/>
          </w:divBdr>
          <w:divsChild>
            <w:div w:id="1397359624">
              <w:marLeft w:val="0"/>
              <w:marRight w:val="0"/>
              <w:marTop w:val="0"/>
              <w:marBottom w:val="0"/>
              <w:divBdr>
                <w:top w:val="none" w:sz="0" w:space="0" w:color="auto"/>
                <w:left w:val="none" w:sz="0" w:space="0" w:color="auto"/>
                <w:bottom w:val="none" w:sz="0" w:space="0" w:color="auto"/>
                <w:right w:val="none" w:sz="0" w:space="0" w:color="auto"/>
              </w:divBdr>
              <w:divsChild>
                <w:div w:id="1083642626">
                  <w:marLeft w:val="0"/>
                  <w:marRight w:val="0"/>
                  <w:marTop w:val="0"/>
                  <w:marBottom w:val="0"/>
                  <w:divBdr>
                    <w:top w:val="none" w:sz="0" w:space="0" w:color="auto"/>
                    <w:left w:val="none" w:sz="0" w:space="0" w:color="auto"/>
                    <w:bottom w:val="none" w:sz="0" w:space="0" w:color="auto"/>
                    <w:right w:val="none" w:sz="0" w:space="0" w:color="auto"/>
                  </w:divBdr>
                  <w:divsChild>
                    <w:div w:id="15902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864458">
          <w:marLeft w:val="0"/>
          <w:marRight w:val="0"/>
          <w:marTop w:val="0"/>
          <w:marBottom w:val="0"/>
          <w:divBdr>
            <w:top w:val="none" w:sz="0" w:space="0" w:color="auto"/>
            <w:left w:val="none" w:sz="0" w:space="0" w:color="auto"/>
            <w:bottom w:val="none" w:sz="0" w:space="0" w:color="auto"/>
            <w:right w:val="none" w:sz="0" w:space="0" w:color="auto"/>
          </w:divBdr>
          <w:divsChild>
            <w:div w:id="722489609">
              <w:marLeft w:val="0"/>
              <w:marRight w:val="0"/>
              <w:marTop w:val="0"/>
              <w:marBottom w:val="0"/>
              <w:divBdr>
                <w:top w:val="none" w:sz="0" w:space="0" w:color="auto"/>
                <w:left w:val="none" w:sz="0" w:space="0" w:color="auto"/>
                <w:bottom w:val="none" w:sz="0" w:space="0" w:color="auto"/>
                <w:right w:val="none" w:sz="0" w:space="0" w:color="auto"/>
              </w:divBdr>
              <w:divsChild>
                <w:div w:id="1797213130">
                  <w:marLeft w:val="0"/>
                  <w:marRight w:val="0"/>
                  <w:marTop w:val="0"/>
                  <w:marBottom w:val="0"/>
                  <w:divBdr>
                    <w:top w:val="none" w:sz="0" w:space="0" w:color="auto"/>
                    <w:left w:val="none" w:sz="0" w:space="0" w:color="auto"/>
                    <w:bottom w:val="none" w:sz="0" w:space="0" w:color="auto"/>
                    <w:right w:val="none" w:sz="0" w:space="0" w:color="auto"/>
                  </w:divBdr>
                  <w:divsChild>
                    <w:div w:id="15469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597304">
      <w:bodyDiv w:val="1"/>
      <w:marLeft w:val="0"/>
      <w:marRight w:val="0"/>
      <w:marTop w:val="0"/>
      <w:marBottom w:val="0"/>
      <w:divBdr>
        <w:top w:val="none" w:sz="0" w:space="0" w:color="auto"/>
        <w:left w:val="none" w:sz="0" w:space="0" w:color="auto"/>
        <w:bottom w:val="none" w:sz="0" w:space="0" w:color="auto"/>
        <w:right w:val="none" w:sz="0" w:space="0" w:color="auto"/>
      </w:divBdr>
    </w:div>
    <w:div w:id="565065632">
      <w:bodyDiv w:val="1"/>
      <w:marLeft w:val="0"/>
      <w:marRight w:val="0"/>
      <w:marTop w:val="0"/>
      <w:marBottom w:val="0"/>
      <w:divBdr>
        <w:top w:val="none" w:sz="0" w:space="0" w:color="auto"/>
        <w:left w:val="none" w:sz="0" w:space="0" w:color="auto"/>
        <w:bottom w:val="none" w:sz="0" w:space="0" w:color="auto"/>
        <w:right w:val="none" w:sz="0" w:space="0" w:color="auto"/>
      </w:divBdr>
    </w:div>
    <w:div w:id="612135894">
      <w:bodyDiv w:val="1"/>
      <w:marLeft w:val="0"/>
      <w:marRight w:val="0"/>
      <w:marTop w:val="0"/>
      <w:marBottom w:val="0"/>
      <w:divBdr>
        <w:top w:val="none" w:sz="0" w:space="0" w:color="auto"/>
        <w:left w:val="none" w:sz="0" w:space="0" w:color="auto"/>
        <w:bottom w:val="none" w:sz="0" w:space="0" w:color="auto"/>
        <w:right w:val="none" w:sz="0" w:space="0" w:color="auto"/>
      </w:divBdr>
    </w:div>
    <w:div w:id="621807609">
      <w:bodyDiv w:val="1"/>
      <w:marLeft w:val="0"/>
      <w:marRight w:val="0"/>
      <w:marTop w:val="0"/>
      <w:marBottom w:val="0"/>
      <w:divBdr>
        <w:top w:val="none" w:sz="0" w:space="0" w:color="auto"/>
        <w:left w:val="none" w:sz="0" w:space="0" w:color="auto"/>
        <w:bottom w:val="none" w:sz="0" w:space="0" w:color="auto"/>
        <w:right w:val="none" w:sz="0" w:space="0" w:color="auto"/>
      </w:divBdr>
    </w:div>
    <w:div w:id="628051485">
      <w:bodyDiv w:val="1"/>
      <w:marLeft w:val="0"/>
      <w:marRight w:val="0"/>
      <w:marTop w:val="0"/>
      <w:marBottom w:val="0"/>
      <w:divBdr>
        <w:top w:val="none" w:sz="0" w:space="0" w:color="auto"/>
        <w:left w:val="none" w:sz="0" w:space="0" w:color="auto"/>
        <w:bottom w:val="none" w:sz="0" w:space="0" w:color="auto"/>
        <w:right w:val="none" w:sz="0" w:space="0" w:color="auto"/>
      </w:divBdr>
    </w:div>
    <w:div w:id="633874440">
      <w:bodyDiv w:val="1"/>
      <w:marLeft w:val="0"/>
      <w:marRight w:val="0"/>
      <w:marTop w:val="0"/>
      <w:marBottom w:val="0"/>
      <w:divBdr>
        <w:top w:val="none" w:sz="0" w:space="0" w:color="auto"/>
        <w:left w:val="none" w:sz="0" w:space="0" w:color="auto"/>
        <w:bottom w:val="none" w:sz="0" w:space="0" w:color="auto"/>
        <w:right w:val="none" w:sz="0" w:space="0" w:color="auto"/>
      </w:divBdr>
    </w:div>
    <w:div w:id="648560878">
      <w:bodyDiv w:val="1"/>
      <w:marLeft w:val="0"/>
      <w:marRight w:val="0"/>
      <w:marTop w:val="0"/>
      <w:marBottom w:val="0"/>
      <w:divBdr>
        <w:top w:val="none" w:sz="0" w:space="0" w:color="auto"/>
        <w:left w:val="none" w:sz="0" w:space="0" w:color="auto"/>
        <w:bottom w:val="none" w:sz="0" w:space="0" w:color="auto"/>
        <w:right w:val="none" w:sz="0" w:space="0" w:color="auto"/>
      </w:divBdr>
    </w:div>
    <w:div w:id="676268067">
      <w:bodyDiv w:val="1"/>
      <w:marLeft w:val="0"/>
      <w:marRight w:val="0"/>
      <w:marTop w:val="0"/>
      <w:marBottom w:val="0"/>
      <w:divBdr>
        <w:top w:val="none" w:sz="0" w:space="0" w:color="auto"/>
        <w:left w:val="none" w:sz="0" w:space="0" w:color="auto"/>
        <w:bottom w:val="none" w:sz="0" w:space="0" w:color="auto"/>
        <w:right w:val="none" w:sz="0" w:space="0" w:color="auto"/>
      </w:divBdr>
    </w:div>
    <w:div w:id="685982309">
      <w:bodyDiv w:val="1"/>
      <w:marLeft w:val="0"/>
      <w:marRight w:val="0"/>
      <w:marTop w:val="0"/>
      <w:marBottom w:val="0"/>
      <w:divBdr>
        <w:top w:val="none" w:sz="0" w:space="0" w:color="auto"/>
        <w:left w:val="none" w:sz="0" w:space="0" w:color="auto"/>
        <w:bottom w:val="none" w:sz="0" w:space="0" w:color="auto"/>
        <w:right w:val="none" w:sz="0" w:space="0" w:color="auto"/>
      </w:divBdr>
    </w:div>
    <w:div w:id="710568460">
      <w:bodyDiv w:val="1"/>
      <w:marLeft w:val="0"/>
      <w:marRight w:val="0"/>
      <w:marTop w:val="0"/>
      <w:marBottom w:val="0"/>
      <w:divBdr>
        <w:top w:val="none" w:sz="0" w:space="0" w:color="auto"/>
        <w:left w:val="none" w:sz="0" w:space="0" w:color="auto"/>
        <w:bottom w:val="none" w:sz="0" w:space="0" w:color="auto"/>
        <w:right w:val="none" w:sz="0" w:space="0" w:color="auto"/>
      </w:divBdr>
    </w:div>
    <w:div w:id="710962493">
      <w:bodyDiv w:val="1"/>
      <w:marLeft w:val="0"/>
      <w:marRight w:val="0"/>
      <w:marTop w:val="0"/>
      <w:marBottom w:val="0"/>
      <w:divBdr>
        <w:top w:val="none" w:sz="0" w:space="0" w:color="auto"/>
        <w:left w:val="none" w:sz="0" w:space="0" w:color="auto"/>
        <w:bottom w:val="none" w:sz="0" w:space="0" w:color="auto"/>
        <w:right w:val="none" w:sz="0" w:space="0" w:color="auto"/>
      </w:divBdr>
    </w:div>
    <w:div w:id="714280529">
      <w:bodyDiv w:val="1"/>
      <w:marLeft w:val="0"/>
      <w:marRight w:val="0"/>
      <w:marTop w:val="0"/>
      <w:marBottom w:val="0"/>
      <w:divBdr>
        <w:top w:val="none" w:sz="0" w:space="0" w:color="auto"/>
        <w:left w:val="none" w:sz="0" w:space="0" w:color="auto"/>
        <w:bottom w:val="none" w:sz="0" w:space="0" w:color="auto"/>
        <w:right w:val="none" w:sz="0" w:space="0" w:color="auto"/>
      </w:divBdr>
    </w:div>
    <w:div w:id="725110648">
      <w:bodyDiv w:val="1"/>
      <w:marLeft w:val="0"/>
      <w:marRight w:val="0"/>
      <w:marTop w:val="0"/>
      <w:marBottom w:val="0"/>
      <w:divBdr>
        <w:top w:val="none" w:sz="0" w:space="0" w:color="auto"/>
        <w:left w:val="none" w:sz="0" w:space="0" w:color="auto"/>
        <w:bottom w:val="none" w:sz="0" w:space="0" w:color="auto"/>
        <w:right w:val="none" w:sz="0" w:space="0" w:color="auto"/>
      </w:divBdr>
    </w:div>
    <w:div w:id="731388269">
      <w:bodyDiv w:val="1"/>
      <w:marLeft w:val="0"/>
      <w:marRight w:val="0"/>
      <w:marTop w:val="0"/>
      <w:marBottom w:val="0"/>
      <w:divBdr>
        <w:top w:val="none" w:sz="0" w:space="0" w:color="auto"/>
        <w:left w:val="none" w:sz="0" w:space="0" w:color="auto"/>
        <w:bottom w:val="none" w:sz="0" w:space="0" w:color="auto"/>
        <w:right w:val="none" w:sz="0" w:space="0" w:color="auto"/>
      </w:divBdr>
    </w:div>
    <w:div w:id="737705749">
      <w:bodyDiv w:val="1"/>
      <w:marLeft w:val="0"/>
      <w:marRight w:val="0"/>
      <w:marTop w:val="0"/>
      <w:marBottom w:val="0"/>
      <w:divBdr>
        <w:top w:val="none" w:sz="0" w:space="0" w:color="auto"/>
        <w:left w:val="none" w:sz="0" w:space="0" w:color="auto"/>
        <w:bottom w:val="none" w:sz="0" w:space="0" w:color="auto"/>
        <w:right w:val="none" w:sz="0" w:space="0" w:color="auto"/>
      </w:divBdr>
      <w:divsChild>
        <w:div w:id="724640655">
          <w:marLeft w:val="0"/>
          <w:marRight w:val="0"/>
          <w:marTop w:val="0"/>
          <w:marBottom w:val="0"/>
          <w:divBdr>
            <w:top w:val="none" w:sz="0" w:space="0" w:color="auto"/>
            <w:left w:val="none" w:sz="0" w:space="0" w:color="auto"/>
            <w:bottom w:val="none" w:sz="0" w:space="0" w:color="auto"/>
            <w:right w:val="none" w:sz="0" w:space="0" w:color="auto"/>
          </w:divBdr>
        </w:div>
        <w:div w:id="842159716">
          <w:marLeft w:val="0"/>
          <w:marRight w:val="0"/>
          <w:marTop w:val="0"/>
          <w:marBottom w:val="0"/>
          <w:divBdr>
            <w:top w:val="single" w:sz="2" w:space="0" w:color="D9D9E3"/>
            <w:left w:val="single" w:sz="2" w:space="0" w:color="D9D9E3"/>
            <w:bottom w:val="single" w:sz="2" w:space="0" w:color="D9D9E3"/>
            <w:right w:val="single" w:sz="2" w:space="0" w:color="D9D9E3"/>
          </w:divBdr>
          <w:divsChild>
            <w:div w:id="122845674">
              <w:marLeft w:val="0"/>
              <w:marRight w:val="0"/>
              <w:marTop w:val="0"/>
              <w:marBottom w:val="0"/>
              <w:divBdr>
                <w:top w:val="single" w:sz="2" w:space="0" w:color="D9D9E3"/>
                <w:left w:val="single" w:sz="2" w:space="0" w:color="D9D9E3"/>
                <w:bottom w:val="single" w:sz="2" w:space="0" w:color="D9D9E3"/>
                <w:right w:val="single" w:sz="2" w:space="0" w:color="D9D9E3"/>
              </w:divBdr>
              <w:divsChild>
                <w:div w:id="2049142011">
                  <w:marLeft w:val="0"/>
                  <w:marRight w:val="0"/>
                  <w:marTop w:val="0"/>
                  <w:marBottom w:val="0"/>
                  <w:divBdr>
                    <w:top w:val="single" w:sz="2" w:space="0" w:color="D9D9E3"/>
                    <w:left w:val="single" w:sz="2" w:space="0" w:color="D9D9E3"/>
                    <w:bottom w:val="single" w:sz="2" w:space="0" w:color="D9D9E3"/>
                    <w:right w:val="single" w:sz="2" w:space="0" w:color="D9D9E3"/>
                  </w:divBdr>
                  <w:divsChild>
                    <w:div w:id="466514451">
                      <w:marLeft w:val="0"/>
                      <w:marRight w:val="0"/>
                      <w:marTop w:val="0"/>
                      <w:marBottom w:val="0"/>
                      <w:divBdr>
                        <w:top w:val="single" w:sz="2" w:space="0" w:color="D9D9E3"/>
                        <w:left w:val="single" w:sz="2" w:space="0" w:color="D9D9E3"/>
                        <w:bottom w:val="single" w:sz="2" w:space="0" w:color="D9D9E3"/>
                        <w:right w:val="single" w:sz="2" w:space="0" w:color="D9D9E3"/>
                      </w:divBdr>
                      <w:divsChild>
                        <w:div w:id="1323581195">
                          <w:marLeft w:val="0"/>
                          <w:marRight w:val="0"/>
                          <w:marTop w:val="0"/>
                          <w:marBottom w:val="0"/>
                          <w:divBdr>
                            <w:top w:val="single" w:sz="2" w:space="0" w:color="D9D9E3"/>
                            <w:left w:val="single" w:sz="2" w:space="0" w:color="D9D9E3"/>
                            <w:bottom w:val="single" w:sz="2" w:space="0" w:color="D9D9E3"/>
                            <w:right w:val="single" w:sz="2" w:space="0" w:color="D9D9E3"/>
                          </w:divBdr>
                          <w:divsChild>
                            <w:div w:id="1309703449">
                              <w:marLeft w:val="0"/>
                              <w:marRight w:val="0"/>
                              <w:marTop w:val="100"/>
                              <w:marBottom w:val="100"/>
                              <w:divBdr>
                                <w:top w:val="single" w:sz="2" w:space="0" w:color="D9D9E3"/>
                                <w:left w:val="single" w:sz="2" w:space="0" w:color="D9D9E3"/>
                                <w:bottom w:val="single" w:sz="2" w:space="0" w:color="D9D9E3"/>
                                <w:right w:val="single" w:sz="2" w:space="0" w:color="D9D9E3"/>
                              </w:divBdr>
                              <w:divsChild>
                                <w:div w:id="1418864665">
                                  <w:marLeft w:val="0"/>
                                  <w:marRight w:val="0"/>
                                  <w:marTop w:val="0"/>
                                  <w:marBottom w:val="0"/>
                                  <w:divBdr>
                                    <w:top w:val="single" w:sz="2" w:space="0" w:color="D9D9E3"/>
                                    <w:left w:val="single" w:sz="2" w:space="0" w:color="D9D9E3"/>
                                    <w:bottom w:val="single" w:sz="2" w:space="0" w:color="D9D9E3"/>
                                    <w:right w:val="single" w:sz="2" w:space="0" w:color="D9D9E3"/>
                                  </w:divBdr>
                                  <w:divsChild>
                                    <w:div w:id="58746075">
                                      <w:marLeft w:val="0"/>
                                      <w:marRight w:val="0"/>
                                      <w:marTop w:val="0"/>
                                      <w:marBottom w:val="0"/>
                                      <w:divBdr>
                                        <w:top w:val="single" w:sz="2" w:space="0" w:color="D9D9E3"/>
                                        <w:left w:val="single" w:sz="2" w:space="0" w:color="D9D9E3"/>
                                        <w:bottom w:val="single" w:sz="2" w:space="0" w:color="D9D9E3"/>
                                        <w:right w:val="single" w:sz="2" w:space="0" w:color="D9D9E3"/>
                                      </w:divBdr>
                                      <w:divsChild>
                                        <w:div w:id="1251430112">
                                          <w:marLeft w:val="0"/>
                                          <w:marRight w:val="0"/>
                                          <w:marTop w:val="0"/>
                                          <w:marBottom w:val="0"/>
                                          <w:divBdr>
                                            <w:top w:val="single" w:sz="2" w:space="0" w:color="D9D9E3"/>
                                            <w:left w:val="single" w:sz="2" w:space="0" w:color="D9D9E3"/>
                                            <w:bottom w:val="single" w:sz="2" w:space="0" w:color="D9D9E3"/>
                                            <w:right w:val="single" w:sz="2" w:space="0" w:color="D9D9E3"/>
                                          </w:divBdr>
                                          <w:divsChild>
                                            <w:div w:id="1010640083">
                                              <w:marLeft w:val="0"/>
                                              <w:marRight w:val="0"/>
                                              <w:marTop w:val="0"/>
                                              <w:marBottom w:val="0"/>
                                              <w:divBdr>
                                                <w:top w:val="single" w:sz="2" w:space="0" w:color="D9D9E3"/>
                                                <w:left w:val="single" w:sz="2" w:space="0" w:color="D9D9E3"/>
                                                <w:bottom w:val="single" w:sz="2" w:space="0" w:color="D9D9E3"/>
                                                <w:right w:val="single" w:sz="2" w:space="0" w:color="D9D9E3"/>
                                              </w:divBdr>
                                              <w:divsChild>
                                                <w:div w:id="1117337405">
                                                  <w:marLeft w:val="0"/>
                                                  <w:marRight w:val="0"/>
                                                  <w:marTop w:val="0"/>
                                                  <w:marBottom w:val="0"/>
                                                  <w:divBdr>
                                                    <w:top w:val="single" w:sz="2" w:space="0" w:color="D9D9E3"/>
                                                    <w:left w:val="single" w:sz="2" w:space="0" w:color="D9D9E3"/>
                                                    <w:bottom w:val="single" w:sz="2" w:space="0" w:color="D9D9E3"/>
                                                    <w:right w:val="single" w:sz="2" w:space="0" w:color="D9D9E3"/>
                                                  </w:divBdr>
                                                  <w:divsChild>
                                                    <w:div w:id="1887375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752897145">
      <w:bodyDiv w:val="1"/>
      <w:marLeft w:val="0"/>
      <w:marRight w:val="0"/>
      <w:marTop w:val="0"/>
      <w:marBottom w:val="0"/>
      <w:divBdr>
        <w:top w:val="none" w:sz="0" w:space="0" w:color="auto"/>
        <w:left w:val="none" w:sz="0" w:space="0" w:color="auto"/>
        <w:bottom w:val="none" w:sz="0" w:space="0" w:color="auto"/>
        <w:right w:val="none" w:sz="0" w:space="0" w:color="auto"/>
      </w:divBdr>
    </w:div>
    <w:div w:id="753864588">
      <w:bodyDiv w:val="1"/>
      <w:marLeft w:val="0"/>
      <w:marRight w:val="0"/>
      <w:marTop w:val="0"/>
      <w:marBottom w:val="0"/>
      <w:divBdr>
        <w:top w:val="none" w:sz="0" w:space="0" w:color="auto"/>
        <w:left w:val="none" w:sz="0" w:space="0" w:color="auto"/>
        <w:bottom w:val="none" w:sz="0" w:space="0" w:color="auto"/>
        <w:right w:val="none" w:sz="0" w:space="0" w:color="auto"/>
      </w:divBdr>
      <w:divsChild>
        <w:div w:id="265119133">
          <w:marLeft w:val="0"/>
          <w:marRight w:val="0"/>
          <w:marTop w:val="0"/>
          <w:marBottom w:val="0"/>
          <w:divBdr>
            <w:top w:val="none" w:sz="0" w:space="0" w:color="auto"/>
            <w:left w:val="none" w:sz="0" w:space="0" w:color="auto"/>
            <w:bottom w:val="none" w:sz="0" w:space="0" w:color="auto"/>
            <w:right w:val="none" w:sz="0" w:space="0" w:color="auto"/>
          </w:divBdr>
        </w:div>
        <w:div w:id="704326936">
          <w:marLeft w:val="0"/>
          <w:marRight w:val="0"/>
          <w:marTop w:val="0"/>
          <w:marBottom w:val="0"/>
          <w:divBdr>
            <w:top w:val="none" w:sz="0" w:space="0" w:color="auto"/>
            <w:left w:val="none" w:sz="0" w:space="0" w:color="auto"/>
            <w:bottom w:val="none" w:sz="0" w:space="0" w:color="auto"/>
            <w:right w:val="none" w:sz="0" w:space="0" w:color="auto"/>
          </w:divBdr>
        </w:div>
        <w:div w:id="1051265288">
          <w:marLeft w:val="0"/>
          <w:marRight w:val="0"/>
          <w:marTop w:val="0"/>
          <w:marBottom w:val="0"/>
          <w:divBdr>
            <w:top w:val="none" w:sz="0" w:space="0" w:color="auto"/>
            <w:left w:val="none" w:sz="0" w:space="0" w:color="auto"/>
            <w:bottom w:val="none" w:sz="0" w:space="0" w:color="auto"/>
            <w:right w:val="none" w:sz="0" w:space="0" w:color="auto"/>
          </w:divBdr>
        </w:div>
        <w:div w:id="1292056975">
          <w:marLeft w:val="0"/>
          <w:marRight w:val="0"/>
          <w:marTop w:val="0"/>
          <w:marBottom w:val="0"/>
          <w:divBdr>
            <w:top w:val="none" w:sz="0" w:space="0" w:color="auto"/>
            <w:left w:val="none" w:sz="0" w:space="0" w:color="auto"/>
            <w:bottom w:val="none" w:sz="0" w:space="0" w:color="auto"/>
            <w:right w:val="none" w:sz="0" w:space="0" w:color="auto"/>
          </w:divBdr>
        </w:div>
        <w:div w:id="2139492544">
          <w:marLeft w:val="0"/>
          <w:marRight w:val="0"/>
          <w:marTop w:val="0"/>
          <w:marBottom w:val="0"/>
          <w:divBdr>
            <w:top w:val="none" w:sz="0" w:space="0" w:color="auto"/>
            <w:left w:val="none" w:sz="0" w:space="0" w:color="auto"/>
            <w:bottom w:val="none" w:sz="0" w:space="0" w:color="auto"/>
            <w:right w:val="none" w:sz="0" w:space="0" w:color="auto"/>
          </w:divBdr>
        </w:div>
      </w:divsChild>
    </w:div>
    <w:div w:id="757023188">
      <w:bodyDiv w:val="1"/>
      <w:marLeft w:val="0"/>
      <w:marRight w:val="0"/>
      <w:marTop w:val="0"/>
      <w:marBottom w:val="0"/>
      <w:divBdr>
        <w:top w:val="none" w:sz="0" w:space="0" w:color="auto"/>
        <w:left w:val="none" w:sz="0" w:space="0" w:color="auto"/>
        <w:bottom w:val="none" w:sz="0" w:space="0" w:color="auto"/>
        <w:right w:val="none" w:sz="0" w:space="0" w:color="auto"/>
      </w:divBdr>
    </w:div>
    <w:div w:id="780761396">
      <w:bodyDiv w:val="1"/>
      <w:marLeft w:val="0"/>
      <w:marRight w:val="0"/>
      <w:marTop w:val="0"/>
      <w:marBottom w:val="0"/>
      <w:divBdr>
        <w:top w:val="none" w:sz="0" w:space="0" w:color="auto"/>
        <w:left w:val="none" w:sz="0" w:space="0" w:color="auto"/>
        <w:bottom w:val="none" w:sz="0" w:space="0" w:color="auto"/>
        <w:right w:val="none" w:sz="0" w:space="0" w:color="auto"/>
      </w:divBdr>
    </w:div>
    <w:div w:id="787625020">
      <w:bodyDiv w:val="1"/>
      <w:marLeft w:val="0"/>
      <w:marRight w:val="0"/>
      <w:marTop w:val="0"/>
      <w:marBottom w:val="0"/>
      <w:divBdr>
        <w:top w:val="none" w:sz="0" w:space="0" w:color="auto"/>
        <w:left w:val="none" w:sz="0" w:space="0" w:color="auto"/>
        <w:bottom w:val="none" w:sz="0" w:space="0" w:color="auto"/>
        <w:right w:val="none" w:sz="0" w:space="0" w:color="auto"/>
      </w:divBdr>
      <w:divsChild>
        <w:div w:id="4339451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8426940">
      <w:bodyDiv w:val="1"/>
      <w:marLeft w:val="0"/>
      <w:marRight w:val="0"/>
      <w:marTop w:val="0"/>
      <w:marBottom w:val="0"/>
      <w:divBdr>
        <w:top w:val="none" w:sz="0" w:space="0" w:color="auto"/>
        <w:left w:val="none" w:sz="0" w:space="0" w:color="auto"/>
        <w:bottom w:val="none" w:sz="0" w:space="0" w:color="auto"/>
        <w:right w:val="none" w:sz="0" w:space="0" w:color="auto"/>
      </w:divBdr>
    </w:div>
    <w:div w:id="806556169">
      <w:bodyDiv w:val="1"/>
      <w:marLeft w:val="0"/>
      <w:marRight w:val="0"/>
      <w:marTop w:val="0"/>
      <w:marBottom w:val="0"/>
      <w:divBdr>
        <w:top w:val="none" w:sz="0" w:space="0" w:color="auto"/>
        <w:left w:val="none" w:sz="0" w:space="0" w:color="auto"/>
        <w:bottom w:val="none" w:sz="0" w:space="0" w:color="auto"/>
        <w:right w:val="none" w:sz="0" w:space="0" w:color="auto"/>
      </w:divBdr>
    </w:div>
    <w:div w:id="809252014">
      <w:bodyDiv w:val="1"/>
      <w:marLeft w:val="0"/>
      <w:marRight w:val="0"/>
      <w:marTop w:val="0"/>
      <w:marBottom w:val="0"/>
      <w:divBdr>
        <w:top w:val="none" w:sz="0" w:space="0" w:color="auto"/>
        <w:left w:val="none" w:sz="0" w:space="0" w:color="auto"/>
        <w:bottom w:val="none" w:sz="0" w:space="0" w:color="auto"/>
        <w:right w:val="none" w:sz="0" w:space="0" w:color="auto"/>
      </w:divBdr>
    </w:div>
    <w:div w:id="846870238">
      <w:bodyDiv w:val="1"/>
      <w:marLeft w:val="0"/>
      <w:marRight w:val="0"/>
      <w:marTop w:val="0"/>
      <w:marBottom w:val="0"/>
      <w:divBdr>
        <w:top w:val="none" w:sz="0" w:space="0" w:color="auto"/>
        <w:left w:val="none" w:sz="0" w:space="0" w:color="auto"/>
        <w:bottom w:val="none" w:sz="0" w:space="0" w:color="auto"/>
        <w:right w:val="none" w:sz="0" w:space="0" w:color="auto"/>
      </w:divBdr>
    </w:div>
    <w:div w:id="867335823">
      <w:bodyDiv w:val="1"/>
      <w:marLeft w:val="0"/>
      <w:marRight w:val="0"/>
      <w:marTop w:val="0"/>
      <w:marBottom w:val="0"/>
      <w:divBdr>
        <w:top w:val="none" w:sz="0" w:space="0" w:color="auto"/>
        <w:left w:val="none" w:sz="0" w:space="0" w:color="auto"/>
        <w:bottom w:val="none" w:sz="0" w:space="0" w:color="auto"/>
        <w:right w:val="none" w:sz="0" w:space="0" w:color="auto"/>
      </w:divBdr>
    </w:div>
    <w:div w:id="888223273">
      <w:bodyDiv w:val="1"/>
      <w:marLeft w:val="0"/>
      <w:marRight w:val="0"/>
      <w:marTop w:val="0"/>
      <w:marBottom w:val="0"/>
      <w:divBdr>
        <w:top w:val="none" w:sz="0" w:space="0" w:color="auto"/>
        <w:left w:val="none" w:sz="0" w:space="0" w:color="auto"/>
        <w:bottom w:val="none" w:sz="0" w:space="0" w:color="auto"/>
        <w:right w:val="none" w:sz="0" w:space="0" w:color="auto"/>
      </w:divBdr>
      <w:divsChild>
        <w:div w:id="95059885">
          <w:marLeft w:val="0"/>
          <w:marRight w:val="0"/>
          <w:marTop w:val="240"/>
          <w:marBottom w:val="240"/>
          <w:divBdr>
            <w:top w:val="none" w:sz="0" w:space="0" w:color="auto"/>
            <w:left w:val="none" w:sz="0" w:space="0" w:color="auto"/>
            <w:bottom w:val="none" w:sz="0" w:space="0" w:color="auto"/>
            <w:right w:val="none" w:sz="0" w:space="0" w:color="auto"/>
          </w:divBdr>
        </w:div>
        <w:div w:id="1121531504">
          <w:marLeft w:val="0"/>
          <w:marRight w:val="0"/>
          <w:marTop w:val="240"/>
          <w:marBottom w:val="240"/>
          <w:divBdr>
            <w:top w:val="none" w:sz="0" w:space="0" w:color="auto"/>
            <w:left w:val="none" w:sz="0" w:space="0" w:color="auto"/>
            <w:bottom w:val="none" w:sz="0" w:space="0" w:color="auto"/>
            <w:right w:val="none" w:sz="0" w:space="0" w:color="auto"/>
          </w:divBdr>
        </w:div>
        <w:div w:id="1935823904">
          <w:marLeft w:val="0"/>
          <w:marRight w:val="0"/>
          <w:marTop w:val="240"/>
          <w:marBottom w:val="240"/>
          <w:divBdr>
            <w:top w:val="none" w:sz="0" w:space="0" w:color="auto"/>
            <w:left w:val="none" w:sz="0" w:space="0" w:color="auto"/>
            <w:bottom w:val="none" w:sz="0" w:space="0" w:color="auto"/>
            <w:right w:val="none" w:sz="0" w:space="0" w:color="auto"/>
          </w:divBdr>
        </w:div>
        <w:div w:id="1648121974">
          <w:marLeft w:val="0"/>
          <w:marRight w:val="0"/>
          <w:marTop w:val="240"/>
          <w:marBottom w:val="240"/>
          <w:divBdr>
            <w:top w:val="none" w:sz="0" w:space="0" w:color="auto"/>
            <w:left w:val="none" w:sz="0" w:space="0" w:color="auto"/>
            <w:bottom w:val="none" w:sz="0" w:space="0" w:color="auto"/>
            <w:right w:val="none" w:sz="0" w:space="0" w:color="auto"/>
          </w:divBdr>
        </w:div>
        <w:div w:id="1457529219">
          <w:marLeft w:val="0"/>
          <w:marRight w:val="0"/>
          <w:marTop w:val="240"/>
          <w:marBottom w:val="240"/>
          <w:divBdr>
            <w:top w:val="none" w:sz="0" w:space="0" w:color="auto"/>
            <w:left w:val="none" w:sz="0" w:space="0" w:color="auto"/>
            <w:bottom w:val="none" w:sz="0" w:space="0" w:color="auto"/>
            <w:right w:val="none" w:sz="0" w:space="0" w:color="auto"/>
          </w:divBdr>
        </w:div>
        <w:div w:id="754404735">
          <w:marLeft w:val="0"/>
          <w:marRight w:val="0"/>
          <w:marTop w:val="240"/>
          <w:marBottom w:val="240"/>
          <w:divBdr>
            <w:top w:val="none" w:sz="0" w:space="0" w:color="auto"/>
            <w:left w:val="none" w:sz="0" w:space="0" w:color="auto"/>
            <w:bottom w:val="none" w:sz="0" w:space="0" w:color="auto"/>
            <w:right w:val="none" w:sz="0" w:space="0" w:color="auto"/>
          </w:divBdr>
        </w:div>
        <w:div w:id="753403649">
          <w:marLeft w:val="0"/>
          <w:marRight w:val="0"/>
          <w:marTop w:val="240"/>
          <w:marBottom w:val="240"/>
          <w:divBdr>
            <w:top w:val="none" w:sz="0" w:space="0" w:color="auto"/>
            <w:left w:val="none" w:sz="0" w:space="0" w:color="auto"/>
            <w:bottom w:val="none" w:sz="0" w:space="0" w:color="auto"/>
            <w:right w:val="none" w:sz="0" w:space="0" w:color="auto"/>
          </w:divBdr>
        </w:div>
      </w:divsChild>
    </w:div>
    <w:div w:id="892422492">
      <w:bodyDiv w:val="1"/>
      <w:marLeft w:val="0"/>
      <w:marRight w:val="0"/>
      <w:marTop w:val="0"/>
      <w:marBottom w:val="0"/>
      <w:divBdr>
        <w:top w:val="none" w:sz="0" w:space="0" w:color="auto"/>
        <w:left w:val="none" w:sz="0" w:space="0" w:color="auto"/>
        <w:bottom w:val="none" w:sz="0" w:space="0" w:color="auto"/>
        <w:right w:val="none" w:sz="0" w:space="0" w:color="auto"/>
      </w:divBdr>
    </w:div>
    <w:div w:id="897126552">
      <w:bodyDiv w:val="1"/>
      <w:marLeft w:val="0"/>
      <w:marRight w:val="0"/>
      <w:marTop w:val="0"/>
      <w:marBottom w:val="0"/>
      <w:divBdr>
        <w:top w:val="none" w:sz="0" w:space="0" w:color="auto"/>
        <w:left w:val="none" w:sz="0" w:space="0" w:color="auto"/>
        <w:bottom w:val="none" w:sz="0" w:space="0" w:color="auto"/>
        <w:right w:val="none" w:sz="0" w:space="0" w:color="auto"/>
      </w:divBdr>
    </w:div>
    <w:div w:id="908003717">
      <w:bodyDiv w:val="1"/>
      <w:marLeft w:val="0"/>
      <w:marRight w:val="0"/>
      <w:marTop w:val="0"/>
      <w:marBottom w:val="0"/>
      <w:divBdr>
        <w:top w:val="none" w:sz="0" w:space="0" w:color="auto"/>
        <w:left w:val="none" w:sz="0" w:space="0" w:color="auto"/>
        <w:bottom w:val="none" w:sz="0" w:space="0" w:color="auto"/>
        <w:right w:val="none" w:sz="0" w:space="0" w:color="auto"/>
      </w:divBdr>
    </w:div>
    <w:div w:id="914507588">
      <w:bodyDiv w:val="1"/>
      <w:marLeft w:val="0"/>
      <w:marRight w:val="0"/>
      <w:marTop w:val="0"/>
      <w:marBottom w:val="0"/>
      <w:divBdr>
        <w:top w:val="none" w:sz="0" w:space="0" w:color="auto"/>
        <w:left w:val="none" w:sz="0" w:space="0" w:color="auto"/>
        <w:bottom w:val="none" w:sz="0" w:space="0" w:color="auto"/>
        <w:right w:val="none" w:sz="0" w:space="0" w:color="auto"/>
      </w:divBdr>
    </w:div>
    <w:div w:id="914781981">
      <w:bodyDiv w:val="1"/>
      <w:marLeft w:val="0"/>
      <w:marRight w:val="0"/>
      <w:marTop w:val="0"/>
      <w:marBottom w:val="0"/>
      <w:divBdr>
        <w:top w:val="none" w:sz="0" w:space="0" w:color="auto"/>
        <w:left w:val="none" w:sz="0" w:space="0" w:color="auto"/>
        <w:bottom w:val="none" w:sz="0" w:space="0" w:color="auto"/>
        <w:right w:val="none" w:sz="0" w:space="0" w:color="auto"/>
      </w:divBdr>
    </w:div>
    <w:div w:id="926692060">
      <w:bodyDiv w:val="1"/>
      <w:marLeft w:val="0"/>
      <w:marRight w:val="0"/>
      <w:marTop w:val="0"/>
      <w:marBottom w:val="0"/>
      <w:divBdr>
        <w:top w:val="none" w:sz="0" w:space="0" w:color="auto"/>
        <w:left w:val="none" w:sz="0" w:space="0" w:color="auto"/>
        <w:bottom w:val="none" w:sz="0" w:space="0" w:color="auto"/>
        <w:right w:val="none" w:sz="0" w:space="0" w:color="auto"/>
      </w:divBdr>
    </w:div>
    <w:div w:id="927539845">
      <w:bodyDiv w:val="1"/>
      <w:marLeft w:val="0"/>
      <w:marRight w:val="0"/>
      <w:marTop w:val="0"/>
      <w:marBottom w:val="0"/>
      <w:divBdr>
        <w:top w:val="none" w:sz="0" w:space="0" w:color="auto"/>
        <w:left w:val="none" w:sz="0" w:space="0" w:color="auto"/>
        <w:bottom w:val="none" w:sz="0" w:space="0" w:color="auto"/>
        <w:right w:val="none" w:sz="0" w:space="0" w:color="auto"/>
      </w:divBdr>
    </w:div>
    <w:div w:id="943541809">
      <w:bodyDiv w:val="1"/>
      <w:marLeft w:val="0"/>
      <w:marRight w:val="0"/>
      <w:marTop w:val="0"/>
      <w:marBottom w:val="0"/>
      <w:divBdr>
        <w:top w:val="none" w:sz="0" w:space="0" w:color="auto"/>
        <w:left w:val="none" w:sz="0" w:space="0" w:color="auto"/>
        <w:bottom w:val="none" w:sz="0" w:space="0" w:color="auto"/>
        <w:right w:val="none" w:sz="0" w:space="0" w:color="auto"/>
      </w:divBdr>
    </w:div>
    <w:div w:id="977567094">
      <w:bodyDiv w:val="1"/>
      <w:marLeft w:val="0"/>
      <w:marRight w:val="0"/>
      <w:marTop w:val="0"/>
      <w:marBottom w:val="0"/>
      <w:divBdr>
        <w:top w:val="none" w:sz="0" w:space="0" w:color="auto"/>
        <w:left w:val="none" w:sz="0" w:space="0" w:color="auto"/>
        <w:bottom w:val="none" w:sz="0" w:space="0" w:color="auto"/>
        <w:right w:val="none" w:sz="0" w:space="0" w:color="auto"/>
      </w:divBdr>
    </w:div>
    <w:div w:id="987131860">
      <w:bodyDiv w:val="1"/>
      <w:marLeft w:val="0"/>
      <w:marRight w:val="0"/>
      <w:marTop w:val="0"/>
      <w:marBottom w:val="0"/>
      <w:divBdr>
        <w:top w:val="none" w:sz="0" w:space="0" w:color="auto"/>
        <w:left w:val="none" w:sz="0" w:space="0" w:color="auto"/>
        <w:bottom w:val="none" w:sz="0" w:space="0" w:color="auto"/>
        <w:right w:val="none" w:sz="0" w:space="0" w:color="auto"/>
      </w:divBdr>
    </w:div>
    <w:div w:id="1012802498">
      <w:bodyDiv w:val="1"/>
      <w:marLeft w:val="0"/>
      <w:marRight w:val="0"/>
      <w:marTop w:val="0"/>
      <w:marBottom w:val="0"/>
      <w:divBdr>
        <w:top w:val="none" w:sz="0" w:space="0" w:color="auto"/>
        <w:left w:val="none" w:sz="0" w:space="0" w:color="auto"/>
        <w:bottom w:val="none" w:sz="0" w:space="0" w:color="auto"/>
        <w:right w:val="none" w:sz="0" w:space="0" w:color="auto"/>
      </w:divBdr>
    </w:div>
    <w:div w:id="1025062914">
      <w:bodyDiv w:val="1"/>
      <w:marLeft w:val="0"/>
      <w:marRight w:val="0"/>
      <w:marTop w:val="0"/>
      <w:marBottom w:val="0"/>
      <w:divBdr>
        <w:top w:val="none" w:sz="0" w:space="0" w:color="auto"/>
        <w:left w:val="none" w:sz="0" w:space="0" w:color="auto"/>
        <w:bottom w:val="none" w:sz="0" w:space="0" w:color="auto"/>
        <w:right w:val="none" w:sz="0" w:space="0" w:color="auto"/>
      </w:divBdr>
    </w:div>
    <w:div w:id="1077241959">
      <w:bodyDiv w:val="1"/>
      <w:marLeft w:val="0"/>
      <w:marRight w:val="0"/>
      <w:marTop w:val="0"/>
      <w:marBottom w:val="0"/>
      <w:divBdr>
        <w:top w:val="none" w:sz="0" w:space="0" w:color="auto"/>
        <w:left w:val="none" w:sz="0" w:space="0" w:color="auto"/>
        <w:bottom w:val="none" w:sz="0" w:space="0" w:color="auto"/>
        <w:right w:val="none" w:sz="0" w:space="0" w:color="auto"/>
      </w:divBdr>
    </w:div>
    <w:div w:id="1085492902">
      <w:bodyDiv w:val="1"/>
      <w:marLeft w:val="0"/>
      <w:marRight w:val="0"/>
      <w:marTop w:val="0"/>
      <w:marBottom w:val="0"/>
      <w:divBdr>
        <w:top w:val="none" w:sz="0" w:space="0" w:color="auto"/>
        <w:left w:val="none" w:sz="0" w:space="0" w:color="auto"/>
        <w:bottom w:val="none" w:sz="0" w:space="0" w:color="auto"/>
        <w:right w:val="none" w:sz="0" w:space="0" w:color="auto"/>
      </w:divBdr>
    </w:div>
    <w:div w:id="1088379910">
      <w:bodyDiv w:val="1"/>
      <w:marLeft w:val="0"/>
      <w:marRight w:val="0"/>
      <w:marTop w:val="0"/>
      <w:marBottom w:val="0"/>
      <w:divBdr>
        <w:top w:val="none" w:sz="0" w:space="0" w:color="auto"/>
        <w:left w:val="none" w:sz="0" w:space="0" w:color="auto"/>
        <w:bottom w:val="none" w:sz="0" w:space="0" w:color="auto"/>
        <w:right w:val="none" w:sz="0" w:space="0" w:color="auto"/>
      </w:divBdr>
    </w:div>
    <w:div w:id="1092161719">
      <w:bodyDiv w:val="1"/>
      <w:marLeft w:val="0"/>
      <w:marRight w:val="0"/>
      <w:marTop w:val="0"/>
      <w:marBottom w:val="0"/>
      <w:divBdr>
        <w:top w:val="none" w:sz="0" w:space="0" w:color="auto"/>
        <w:left w:val="none" w:sz="0" w:space="0" w:color="auto"/>
        <w:bottom w:val="none" w:sz="0" w:space="0" w:color="auto"/>
        <w:right w:val="none" w:sz="0" w:space="0" w:color="auto"/>
      </w:divBdr>
    </w:div>
    <w:div w:id="1098986989">
      <w:bodyDiv w:val="1"/>
      <w:marLeft w:val="0"/>
      <w:marRight w:val="0"/>
      <w:marTop w:val="0"/>
      <w:marBottom w:val="0"/>
      <w:divBdr>
        <w:top w:val="none" w:sz="0" w:space="0" w:color="auto"/>
        <w:left w:val="none" w:sz="0" w:space="0" w:color="auto"/>
        <w:bottom w:val="none" w:sz="0" w:space="0" w:color="auto"/>
        <w:right w:val="none" w:sz="0" w:space="0" w:color="auto"/>
      </w:divBdr>
    </w:div>
    <w:div w:id="1107196501">
      <w:bodyDiv w:val="1"/>
      <w:marLeft w:val="0"/>
      <w:marRight w:val="0"/>
      <w:marTop w:val="0"/>
      <w:marBottom w:val="0"/>
      <w:divBdr>
        <w:top w:val="none" w:sz="0" w:space="0" w:color="auto"/>
        <w:left w:val="none" w:sz="0" w:space="0" w:color="auto"/>
        <w:bottom w:val="none" w:sz="0" w:space="0" w:color="auto"/>
        <w:right w:val="none" w:sz="0" w:space="0" w:color="auto"/>
      </w:divBdr>
    </w:div>
    <w:div w:id="1113940624">
      <w:bodyDiv w:val="1"/>
      <w:marLeft w:val="0"/>
      <w:marRight w:val="0"/>
      <w:marTop w:val="0"/>
      <w:marBottom w:val="0"/>
      <w:divBdr>
        <w:top w:val="none" w:sz="0" w:space="0" w:color="auto"/>
        <w:left w:val="none" w:sz="0" w:space="0" w:color="auto"/>
        <w:bottom w:val="none" w:sz="0" w:space="0" w:color="auto"/>
        <w:right w:val="none" w:sz="0" w:space="0" w:color="auto"/>
      </w:divBdr>
    </w:div>
    <w:div w:id="1114907365">
      <w:bodyDiv w:val="1"/>
      <w:marLeft w:val="0"/>
      <w:marRight w:val="0"/>
      <w:marTop w:val="0"/>
      <w:marBottom w:val="0"/>
      <w:divBdr>
        <w:top w:val="none" w:sz="0" w:space="0" w:color="auto"/>
        <w:left w:val="none" w:sz="0" w:space="0" w:color="auto"/>
        <w:bottom w:val="none" w:sz="0" w:space="0" w:color="auto"/>
        <w:right w:val="none" w:sz="0" w:space="0" w:color="auto"/>
      </w:divBdr>
    </w:div>
    <w:div w:id="1131438057">
      <w:bodyDiv w:val="1"/>
      <w:marLeft w:val="0"/>
      <w:marRight w:val="0"/>
      <w:marTop w:val="0"/>
      <w:marBottom w:val="0"/>
      <w:divBdr>
        <w:top w:val="none" w:sz="0" w:space="0" w:color="auto"/>
        <w:left w:val="none" w:sz="0" w:space="0" w:color="auto"/>
        <w:bottom w:val="none" w:sz="0" w:space="0" w:color="auto"/>
        <w:right w:val="none" w:sz="0" w:space="0" w:color="auto"/>
      </w:divBdr>
    </w:div>
    <w:div w:id="1153522543">
      <w:bodyDiv w:val="1"/>
      <w:marLeft w:val="0"/>
      <w:marRight w:val="0"/>
      <w:marTop w:val="0"/>
      <w:marBottom w:val="0"/>
      <w:divBdr>
        <w:top w:val="none" w:sz="0" w:space="0" w:color="auto"/>
        <w:left w:val="none" w:sz="0" w:space="0" w:color="auto"/>
        <w:bottom w:val="none" w:sz="0" w:space="0" w:color="auto"/>
        <w:right w:val="none" w:sz="0" w:space="0" w:color="auto"/>
      </w:divBdr>
    </w:div>
    <w:div w:id="1172330709">
      <w:bodyDiv w:val="1"/>
      <w:marLeft w:val="0"/>
      <w:marRight w:val="0"/>
      <w:marTop w:val="0"/>
      <w:marBottom w:val="0"/>
      <w:divBdr>
        <w:top w:val="none" w:sz="0" w:space="0" w:color="auto"/>
        <w:left w:val="none" w:sz="0" w:space="0" w:color="auto"/>
        <w:bottom w:val="none" w:sz="0" w:space="0" w:color="auto"/>
        <w:right w:val="none" w:sz="0" w:space="0" w:color="auto"/>
      </w:divBdr>
    </w:div>
    <w:div w:id="1178036269">
      <w:bodyDiv w:val="1"/>
      <w:marLeft w:val="0"/>
      <w:marRight w:val="0"/>
      <w:marTop w:val="0"/>
      <w:marBottom w:val="0"/>
      <w:divBdr>
        <w:top w:val="none" w:sz="0" w:space="0" w:color="auto"/>
        <w:left w:val="none" w:sz="0" w:space="0" w:color="auto"/>
        <w:bottom w:val="none" w:sz="0" w:space="0" w:color="auto"/>
        <w:right w:val="none" w:sz="0" w:space="0" w:color="auto"/>
      </w:divBdr>
      <w:divsChild>
        <w:div w:id="58331477">
          <w:marLeft w:val="0"/>
          <w:marRight w:val="0"/>
          <w:marTop w:val="0"/>
          <w:marBottom w:val="0"/>
          <w:divBdr>
            <w:top w:val="none" w:sz="0" w:space="0" w:color="auto"/>
            <w:left w:val="none" w:sz="0" w:space="0" w:color="auto"/>
            <w:bottom w:val="none" w:sz="0" w:space="0" w:color="auto"/>
            <w:right w:val="none" w:sz="0" w:space="0" w:color="auto"/>
          </w:divBdr>
        </w:div>
        <w:div w:id="2081825389">
          <w:marLeft w:val="0"/>
          <w:marRight w:val="0"/>
          <w:marTop w:val="0"/>
          <w:marBottom w:val="0"/>
          <w:divBdr>
            <w:top w:val="none" w:sz="0" w:space="0" w:color="auto"/>
            <w:left w:val="none" w:sz="0" w:space="0" w:color="auto"/>
            <w:bottom w:val="none" w:sz="0" w:space="0" w:color="auto"/>
            <w:right w:val="none" w:sz="0" w:space="0" w:color="auto"/>
          </w:divBdr>
        </w:div>
      </w:divsChild>
    </w:div>
    <w:div w:id="1178036722">
      <w:bodyDiv w:val="1"/>
      <w:marLeft w:val="0"/>
      <w:marRight w:val="0"/>
      <w:marTop w:val="0"/>
      <w:marBottom w:val="0"/>
      <w:divBdr>
        <w:top w:val="none" w:sz="0" w:space="0" w:color="auto"/>
        <w:left w:val="none" w:sz="0" w:space="0" w:color="auto"/>
        <w:bottom w:val="none" w:sz="0" w:space="0" w:color="auto"/>
        <w:right w:val="none" w:sz="0" w:space="0" w:color="auto"/>
      </w:divBdr>
    </w:div>
    <w:div w:id="1181041324">
      <w:bodyDiv w:val="1"/>
      <w:marLeft w:val="0"/>
      <w:marRight w:val="0"/>
      <w:marTop w:val="0"/>
      <w:marBottom w:val="0"/>
      <w:divBdr>
        <w:top w:val="none" w:sz="0" w:space="0" w:color="auto"/>
        <w:left w:val="none" w:sz="0" w:space="0" w:color="auto"/>
        <w:bottom w:val="none" w:sz="0" w:space="0" w:color="auto"/>
        <w:right w:val="none" w:sz="0" w:space="0" w:color="auto"/>
      </w:divBdr>
      <w:divsChild>
        <w:div w:id="856887532">
          <w:marLeft w:val="0"/>
          <w:marRight w:val="0"/>
          <w:marTop w:val="0"/>
          <w:marBottom w:val="0"/>
          <w:divBdr>
            <w:top w:val="none" w:sz="0" w:space="0" w:color="auto"/>
            <w:left w:val="none" w:sz="0" w:space="0" w:color="auto"/>
            <w:bottom w:val="none" w:sz="0" w:space="0" w:color="auto"/>
            <w:right w:val="none" w:sz="0" w:space="0" w:color="auto"/>
          </w:divBdr>
        </w:div>
        <w:div w:id="1261255502">
          <w:marLeft w:val="0"/>
          <w:marRight w:val="0"/>
          <w:marTop w:val="0"/>
          <w:marBottom w:val="0"/>
          <w:divBdr>
            <w:top w:val="none" w:sz="0" w:space="0" w:color="auto"/>
            <w:left w:val="none" w:sz="0" w:space="0" w:color="auto"/>
            <w:bottom w:val="none" w:sz="0" w:space="0" w:color="auto"/>
            <w:right w:val="none" w:sz="0" w:space="0" w:color="auto"/>
          </w:divBdr>
        </w:div>
      </w:divsChild>
    </w:div>
    <w:div w:id="1214466722">
      <w:bodyDiv w:val="1"/>
      <w:marLeft w:val="0"/>
      <w:marRight w:val="0"/>
      <w:marTop w:val="0"/>
      <w:marBottom w:val="0"/>
      <w:divBdr>
        <w:top w:val="none" w:sz="0" w:space="0" w:color="auto"/>
        <w:left w:val="none" w:sz="0" w:space="0" w:color="auto"/>
        <w:bottom w:val="none" w:sz="0" w:space="0" w:color="auto"/>
        <w:right w:val="none" w:sz="0" w:space="0" w:color="auto"/>
      </w:divBdr>
    </w:div>
    <w:div w:id="1227687465">
      <w:bodyDiv w:val="1"/>
      <w:marLeft w:val="0"/>
      <w:marRight w:val="0"/>
      <w:marTop w:val="0"/>
      <w:marBottom w:val="0"/>
      <w:divBdr>
        <w:top w:val="none" w:sz="0" w:space="0" w:color="auto"/>
        <w:left w:val="none" w:sz="0" w:space="0" w:color="auto"/>
        <w:bottom w:val="none" w:sz="0" w:space="0" w:color="auto"/>
        <w:right w:val="none" w:sz="0" w:space="0" w:color="auto"/>
      </w:divBdr>
    </w:div>
    <w:div w:id="1228876730">
      <w:bodyDiv w:val="1"/>
      <w:marLeft w:val="0"/>
      <w:marRight w:val="0"/>
      <w:marTop w:val="0"/>
      <w:marBottom w:val="0"/>
      <w:divBdr>
        <w:top w:val="none" w:sz="0" w:space="0" w:color="auto"/>
        <w:left w:val="none" w:sz="0" w:space="0" w:color="auto"/>
        <w:bottom w:val="none" w:sz="0" w:space="0" w:color="auto"/>
        <w:right w:val="none" w:sz="0" w:space="0" w:color="auto"/>
      </w:divBdr>
      <w:divsChild>
        <w:div w:id="293676962">
          <w:marLeft w:val="0"/>
          <w:marRight w:val="0"/>
          <w:marTop w:val="0"/>
          <w:marBottom w:val="0"/>
          <w:divBdr>
            <w:top w:val="none" w:sz="0" w:space="0" w:color="auto"/>
            <w:left w:val="none" w:sz="0" w:space="0" w:color="auto"/>
            <w:bottom w:val="none" w:sz="0" w:space="0" w:color="auto"/>
            <w:right w:val="none" w:sz="0" w:space="0" w:color="auto"/>
          </w:divBdr>
        </w:div>
        <w:div w:id="1933470549">
          <w:marLeft w:val="0"/>
          <w:marRight w:val="0"/>
          <w:marTop w:val="0"/>
          <w:marBottom w:val="0"/>
          <w:divBdr>
            <w:top w:val="none" w:sz="0" w:space="0" w:color="auto"/>
            <w:left w:val="none" w:sz="0" w:space="0" w:color="auto"/>
            <w:bottom w:val="none" w:sz="0" w:space="0" w:color="auto"/>
            <w:right w:val="none" w:sz="0" w:space="0" w:color="auto"/>
          </w:divBdr>
        </w:div>
      </w:divsChild>
    </w:div>
    <w:div w:id="1298879372">
      <w:bodyDiv w:val="1"/>
      <w:marLeft w:val="0"/>
      <w:marRight w:val="0"/>
      <w:marTop w:val="0"/>
      <w:marBottom w:val="0"/>
      <w:divBdr>
        <w:top w:val="none" w:sz="0" w:space="0" w:color="auto"/>
        <w:left w:val="none" w:sz="0" w:space="0" w:color="auto"/>
        <w:bottom w:val="none" w:sz="0" w:space="0" w:color="auto"/>
        <w:right w:val="none" w:sz="0" w:space="0" w:color="auto"/>
      </w:divBdr>
    </w:div>
    <w:div w:id="1336571010">
      <w:bodyDiv w:val="1"/>
      <w:marLeft w:val="0"/>
      <w:marRight w:val="0"/>
      <w:marTop w:val="0"/>
      <w:marBottom w:val="0"/>
      <w:divBdr>
        <w:top w:val="none" w:sz="0" w:space="0" w:color="auto"/>
        <w:left w:val="none" w:sz="0" w:space="0" w:color="auto"/>
        <w:bottom w:val="none" w:sz="0" w:space="0" w:color="auto"/>
        <w:right w:val="none" w:sz="0" w:space="0" w:color="auto"/>
      </w:divBdr>
    </w:div>
    <w:div w:id="1343506282">
      <w:bodyDiv w:val="1"/>
      <w:marLeft w:val="0"/>
      <w:marRight w:val="0"/>
      <w:marTop w:val="0"/>
      <w:marBottom w:val="0"/>
      <w:divBdr>
        <w:top w:val="none" w:sz="0" w:space="0" w:color="auto"/>
        <w:left w:val="none" w:sz="0" w:space="0" w:color="auto"/>
        <w:bottom w:val="none" w:sz="0" w:space="0" w:color="auto"/>
        <w:right w:val="none" w:sz="0" w:space="0" w:color="auto"/>
      </w:divBdr>
    </w:div>
    <w:div w:id="1344166961">
      <w:bodyDiv w:val="1"/>
      <w:marLeft w:val="0"/>
      <w:marRight w:val="0"/>
      <w:marTop w:val="0"/>
      <w:marBottom w:val="0"/>
      <w:divBdr>
        <w:top w:val="none" w:sz="0" w:space="0" w:color="auto"/>
        <w:left w:val="none" w:sz="0" w:space="0" w:color="auto"/>
        <w:bottom w:val="none" w:sz="0" w:space="0" w:color="auto"/>
        <w:right w:val="none" w:sz="0" w:space="0" w:color="auto"/>
      </w:divBdr>
    </w:div>
    <w:div w:id="1350840602">
      <w:bodyDiv w:val="1"/>
      <w:marLeft w:val="0"/>
      <w:marRight w:val="0"/>
      <w:marTop w:val="0"/>
      <w:marBottom w:val="0"/>
      <w:divBdr>
        <w:top w:val="none" w:sz="0" w:space="0" w:color="auto"/>
        <w:left w:val="none" w:sz="0" w:space="0" w:color="auto"/>
        <w:bottom w:val="none" w:sz="0" w:space="0" w:color="auto"/>
        <w:right w:val="none" w:sz="0" w:space="0" w:color="auto"/>
      </w:divBdr>
    </w:div>
    <w:div w:id="1367173554">
      <w:bodyDiv w:val="1"/>
      <w:marLeft w:val="0"/>
      <w:marRight w:val="0"/>
      <w:marTop w:val="0"/>
      <w:marBottom w:val="0"/>
      <w:divBdr>
        <w:top w:val="none" w:sz="0" w:space="0" w:color="auto"/>
        <w:left w:val="none" w:sz="0" w:space="0" w:color="auto"/>
        <w:bottom w:val="none" w:sz="0" w:space="0" w:color="auto"/>
        <w:right w:val="none" w:sz="0" w:space="0" w:color="auto"/>
      </w:divBdr>
    </w:div>
    <w:div w:id="1375233095">
      <w:bodyDiv w:val="1"/>
      <w:marLeft w:val="0"/>
      <w:marRight w:val="0"/>
      <w:marTop w:val="0"/>
      <w:marBottom w:val="0"/>
      <w:divBdr>
        <w:top w:val="none" w:sz="0" w:space="0" w:color="auto"/>
        <w:left w:val="none" w:sz="0" w:space="0" w:color="auto"/>
        <w:bottom w:val="none" w:sz="0" w:space="0" w:color="auto"/>
        <w:right w:val="none" w:sz="0" w:space="0" w:color="auto"/>
      </w:divBdr>
    </w:div>
    <w:div w:id="1376006413">
      <w:bodyDiv w:val="1"/>
      <w:marLeft w:val="0"/>
      <w:marRight w:val="0"/>
      <w:marTop w:val="0"/>
      <w:marBottom w:val="0"/>
      <w:divBdr>
        <w:top w:val="none" w:sz="0" w:space="0" w:color="auto"/>
        <w:left w:val="none" w:sz="0" w:space="0" w:color="auto"/>
        <w:bottom w:val="none" w:sz="0" w:space="0" w:color="auto"/>
        <w:right w:val="none" w:sz="0" w:space="0" w:color="auto"/>
      </w:divBdr>
      <w:divsChild>
        <w:div w:id="399519089">
          <w:marLeft w:val="0"/>
          <w:marRight w:val="0"/>
          <w:marTop w:val="0"/>
          <w:marBottom w:val="0"/>
          <w:divBdr>
            <w:top w:val="none" w:sz="0" w:space="0" w:color="auto"/>
            <w:left w:val="none" w:sz="0" w:space="0" w:color="auto"/>
            <w:bottom w:val="none" w:sz="0" w:space="0" w:color="auto"/>
            <w:right w:val="none" w:sz="0" w:space="0" w:color="auto"/>
          </w:divBdr>
          <w:divsChild>
            <w:div w:id="649405807">
              <w:marLeft w:val="0"/>
              <w:marRight w:val="0"/>
              <w:marTop w:val="0"/>
              <w:marBottom w:val="0"/>
              <w:divBdr>
                <w:top w:val="none" w:sz="0" w:space="0" w:color="auto"/>
                <w:left w:val="none" w:sz="0" w:space="0" w:color="auto"/>
                <w:bottom w:val="none" w:sz="0" w:space="0" w:color="auto"/>
                <w:right w:val="none" w:sz="0" w:space="0" w:color="auto"/>
              </w:divBdr>
              <w:divsChild>
                <w:div w:id="1213806760">
                  <w:marLeft w:val="0"/>
                  <w:marRight w:val="0"/>
                  <w:marTop w:val="0"/>
                  <w:marBottom w:val="0"/>
                  <w:divBdr>
                    <w:top w:val="none" w:sz="0" w:space="0" w:color="auto"/>
                    <w:left w:val="none" w:sz="0" w:space="0" w:color="auto"/>
                    <w:bottom w:val="none" w:sz="0" w:space="0" w:color="auto"/>
                    <w:right w:val="none" w:sz="0" w:space="0" w:color="auto"/>
                  </w:divBdr>
                  <w:divsChild>
                    <w:div w:id="1066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617121">
      <w:bodyDiv w:val="1"/>
      <w:marLeft w:val="0"/>
      <w:marRight w:val="0"/>
      <w:marTop w:val="0"/>
      <w:marBottom w:val="0"/>
      <w:divBdr>
        <w:top w:val="none" w:sz="0" w:space="0" w:color="auto"/>
        <w:left w:val="none" w:sz="0" w:space="0" w:color="auto"/>
        <w:bottom w:val="none" w:sz="0" w:space="0" w:color="auto"/>
        <w:right w:val="none" w:sz="0" w:space="0" w:color="auto"/>
      </w:divBdr>
      <w:divsChild>
        <w:div w:id="412508897">
          <w:marLeft w:val="0"/>
          <w:marRight w:val="0"/>
          <w:marTop w:val="240"/>
          <w:marBottom w:val="240"/>
          <w:divBdr>
            <w:top w:val="none" w:sz="0" w:space="0" w:color="auto"/>
            <w:left w:val="none" w:sz="0" w:space="0" w:color="auto"/>
            <w:bottom w:val="none" w:sz="0" w:space="0" w:color="auto"/>
            <w:right w:val="none" w:sz="0" w:space="0" w:color="auto"/>
          </w:divBdr>
        </w:div>
        <w:div w:id="1985155426">
          <w:marLeft w:val="0"/>
          <w:marRight w:val="0"/>
          <w:marTop w:val="240"/>
          <w:marBottom w:val="240"/>
          <w:divBdr>
            <w:top w:val="none" w:sz="0" w:space="0" w:color="auto"/>
            <w:left w:val="none" w:sz="0" w:space="0" w:color="auto"/>
            <w:bottom w:val="none" w:sz="0" w:space="0" w:color="auto"/>
            <w:right w:val="none" w:sz="0" w:space="0" w:color="auto"/>
          </w:divBdr>
        </w:div>
        <w:div w:id="1702121106">
          <w:marLeft w:val="0"/>
          <w:marRight w:val="0"/>
          <w:marTop w:val="240"/>
          <w:marBottom w:val="240"/>
          <w:divBdr>
            <w:top w:val="none" w:sz="0" w:space="0" w:color="auto"/>
            <w:left w:val="none" w:sz="0" w:space="0" w:color="auto"/>
            <w:bottom w:val="none" w:sz="0" w:space="0" w:color="auto"/>
            <w:right w:val="none" w:sz="0" w:space="0" w:color="auto"/>
          </w:divBdr>
        </w:div>
        <w:div w:id="1421172535">
          <w:marLeft w:val="0"/>
          <w:marRight w:val="0"/>
          <w:marTop w:val="240"/>
          <w:marBottom w:val="240"/>
          <w:divBdr>
            <w:top w:val="none" w:sz="0" w:space="0" w:color="auto"/>
            <w:left w:val="none" w:sz="0" w:space="0" w:color="auto"/>
            <w:bottom w:val="none" w:sz="0" w:space="0" w:color="auto"/>
            <w:right w:val="none" w:sz="0" w:space="0" w:color="auto"/>
          </w:divBdr>
        </w:div>
        <w:div w:id="1536188896">
          <w:marLeft w:val="0"/>
          <w:marRight w:val="0"/>
          <w:marTop w:val="240"/>
          <w:marBottom w:val="240"/>
          <w:divBdr>
            <w:top w:val="none" w:sz="0" w:space="0" w:color="auto"/>
            <w:left w:val="none" w:sz="0" w:space="0" w:color="auto"/>
            <w:bottom w:val="none" w:sz="0" w:space="0" w:color="auto"/>
            <w:right w:val="none" w:sz="0" w:space="0" w:color="auto"/>
          </w:divBdr>
        </w:div>
        <w:div w:id="1855336761">
          <w:marLeft w:val="0"/>
          <w:marRight w:val="0"/>
          <w:marTop w:val="240"/>
          <w:marBottom w:val="240"/>
          <w:divBdr>
            <w:top w:val="none" w:sz="0" w:space="0" w:color="auto"/>
            <w:left w:val="none" w:sz="0" w:space="0" w:color="auto"/>
            <w:bottom w:val="none" w:sz="0" w:space="0" w:color="auto"/>
            <w:right w:val="none" w:sz="0" w:space="0" w:color="auto"/>
          </w:divBdr>
        </w:div>
        <w:div w:id="1685747659">
          <w:marLeft w:val="0"/>
          <w:marRight w:val="0"/>
          <w:marTop w:val="240"/>
          <w:marBottom w:val="240"/>
          <w:divBdr>
            <w:top w:val="none" w:sz="0" w:space="0" w:color="auto"/>
            <w:left w:val="none" w:sz="0" w:space="0" w:color="auto"/>
            <w:bottom w:val="none" w:sz="0" w:space="0" w:color="auto"/>
            <w:right w:val="none" w:sz="0" w:space="0" w:color="auto"/>
          </w:divBdr>
        </w:div>
      </w:divsChild>
    </w:div>
    <w:div w:id="1419329867">
      <w:bodyDiv w:val="1"/>
      <w:marLeft w:val="0"/>
      <w:marRight w:val="0"/>
      <w:marTop w:val="0"/>
      <w:marBottom w:val="0"/>
      <w:divBdr>
        <w:top w:val="none" w:sz="0" w:space="0" w:color="auto"/>
        <w:left w:val="none" w:sz="0" w:space="0" w:color="auto"/>
        <w:bottom w:val="none" w:sz="0" w:space="0" w:color="auto"/>
        <w:right w:val="none" w:sz="0" w:space="0" w:color="auto"/>
      </w:divBdr>
    </w:div>
    <w:div w:id="1424836714">
      <w:bodyDiv w:val="1"/>
      <w:marLeft w:val="0"/>
      <w:marRight w:val="0"/>
      <w:marTop w:val="0"/>
      <w:marBottom w:val="0"/>
      <w:divBdr>
        <w:top w:val="none" w:sz="0" w:space="0" w:color="auto"/>
        <w:left w:val="none" w:sz="0" w:space="0" w:color="auto"/>
        <w:bottom w:val="none" w:sz="0" w:space="0" w:color="auto"/>
        <w:right w:val="none" w:sz="0" w:space="0" w:color="auto"/>
      </w:divBdr>
    </w:div>
    <w:div w:id="1433625313">
      <w:bodyDiv w:val="1"/>
      <w:marLeft w:val="0"/>
      <w:marRight w:val="0"/>
      <w:marTop w:val="0"/>
      <w:marBottom w:val="0"/>
      <w:divBdr>
        <w:top w:val="none" w:sz="0" w:space="0" w:color="auto"/>
        <w:left w:val="none" w:sz="0" w:space="0" w:color="auto"/>
        <w:bottom w:val="none" w:sz="0" w:space="0" w:color="auto"/>
        <w:right w:val="none" w:sz="0" w:space="0" w:color="auto"/>
      </w:divBdr>
    </w:div>
    <w:div w:id="1459757777">
      <w:bodyDiv w:val="1"/>
      <w:marLeft w:val="0"/>
      <w:marRight w:val="0"/>
      <w:marTop w:val="0"/>
      <w:marBottom w:val="0"/>
      <w:divBdr>
        <w:top w:val="none" w:sz="0" w:space="0" w:color="auto"/>
        <w:left w:val="none" w:sz="0" w:space="0" w:color="auto"/>
        <w:bottom w:val="none" w:sz="0" w:space="0" w:color="auto"/>
        <w:right w:val="none" w:sz="0" w:space="0" w:color="auto"/>
      </w:divBdr>
      <w:divsChild>
        <w:div w:id="1400786054">
          <w:marLeft w:val="0"/>
          <w:marRight w:val="0"/>
          <w:marTop w:val="0"/>
          <w:marBottom w:val="0"/>
          <w:divBdr>
            <w:top w:val="none" w:sz="0" w:space="0" w:color="auto"/>
            <w:left w:val="none" w:sz="0" w:space="0" w:color="auto"/>
            <w:bottom w:val="none" w:sz="0" w:space="0" w:color="auto"/>
            <w:right w:val="none" w:sz="0" w:space="0" w:color="auto"/>
          </w:divBdr>
          <w:divsChild>
            <w:div w:id="1604920304">
              <w:marLeft w:val="0"/>
              <w:marRight w:val="0"/>
              <w:marTop w:val="0"/>
              <w:marBottom w:val="0"/>
              <w:divBdr>
                <w:top w:val="none" w:sz="0" w:space="0" w:color="auto"/>
                <w:left w:val="none" w:sz="0" w:space="0" w:color="auto"/>
                <w:bottom w:val="none" w:sz="0" w:space="0" w:color="auto"/>
                <w:right w:val="none" w:sz="0" w:space="0" w:color="auto"/>
              </w:divBdr>
              <w:divsChild>
                <w:div w:id="2053382592">
                  <w:marLeft w:val="0"/>
                  <w:marRight w:val="0"/>
                  <w:marTop w:val="0"/>
                  <w:marBottom w:val="0"/>
                  <w:divBdr>
                    <w:top w:val="none" w:sz="0" w:space="0" w:color="auto"/>
                    <w:left w:val="none" w:sz="0" w:space="0" w:color="auto"/>
                    <w:bottom w:val="none" w:sz="0" w:space="0" w:color="auto"/>
                    <w:right w:val="none" w:sz="0" w:space="0" w:color="auto"/>
                  </w:divBdr>
                  <w:divsChild>
                    <w:div w:id="19631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161266">
      <w:bodyDiv w:val="1"/>
      <w:marLeft w:val="0"/>
      <w:marRight w:val="0"/>
      <w:marTop w:val="0"/>
      <w:marBottom w:val="0"/>
      <w:divBdr>
        <w:top w:val="none" w:sz="0" w:space="0" w:color="auto"/>
        <w:left w:val="none" w:sz="0" w:space="0" w:color="auto"/>
        <w:bottom w:val="none" w:sz="0" w:space="0" w:color="auto"/>
        <w:right w:val="none" w:sz="0" w:space="0" w:color="auto"/>
      </w:divBdr>
    </w:div>
    <w:div w:id="1492942557">
      <w:bodyDiv w:val="1"/>
      <w:marLeft w:val="0"/>
      <w:marRight w:val="0"/>
      <w:marTop w:val="0"/>
      <w:marBottom w:val="0"/>
      <w:divBdr>
        <w:top w:val="none" w:sz="0" w:space="0" w:color="auto"/>
        <w:left w:val="none" w:sz="0" w:space="0" w:color="auto"/>
        <w:bottom w:val="none" w:sz="0" w:space="0" w:color="auto"/>
        <w:right w:val="none" w:sz="0" w:space="0" w:color="auto"/>
      </w:divBdr>
    </w:div>
    <w:div w:id="1500385968">
      <w:bodyDiv w:val="1"/>
      <w:marLeft w:val="0"/>
      <w:marRight w:val="0"/>
      <w:marTop w:val="0"/>
      <w:marBottom w:val="0"/>
      <w:divBdr>
        <w:top w:val="none" w:sz="0" w:space="0" w:color="auto"/>
        <w:left w:val="none" w:sz="0" w:space="0" w:color="auto"/>
        <w:bottom w:val="none" w:sz="0" w:space="0" w:color="auto"/>
        <w:right w:val="none" w:sz="0" w:space="0" w:color="auto"/>
      </w:divBdr>
    </w:div>
    <w:div w:id="1507938855">
      <w:bodyDiv w:val="1"/>
      <w:marLeft w:val="0"/>
      <w:marRight w:val="0"/>
      <w:marTop w:val="0"/>
      <w:marBottom w:val="0"/>
      <w:divBdr>
        <w:top w:val="none" w:sz="0" w:space="0" w:color="auto"/>
        <w:left w:val="none" w:sz="0" w:space="0" w:color="auto"/>
        <w:bottom w:val="none" w:sz="0" w:space="0" w:color="auto"/>
        <w:right w:val="none" w:sz="0" w:space="0" w:color="auto"/>
      </w:divBdr>
    </w:div>
    <w:div w:id="1537043406">
      <w:bodyDiv w:val="1"/>
      <w:marLeft w:val="0"/>
      <w:marRight w:val="0"/>
      <w:marTop w:val="0"/>
      <w:marBottom w:val="0"/>
      <w:divBdr>
        <w:top w:val="none" w:sz="0" w:space="0" w:color="auto"/>
        <w:left w:val="none" w:sz="0" w:space="0" w:color="auto"/>
        <w:bottom w:val="none" w:sz="0" w:space="0" w:color="auto"/>
        <w:right w:val="none" w:sz="0" w:space="0" w:color="auto"/>
      </w:divBdr>
    </w:div>
    <w:div w:id="1537884817">
      <w:bodyDiv w:val="1"/>
      <w:marLeft w:val="0"/>
      <w:marRight w:val="0"/>
      <w:marTop w:val="0"/>
      <w:marBottom w:val="0"/>
      <w:divBdr>
        <w:top w:val="none" w:sz="0" w:space="0" w:color="auto"/>
        <w:left w:val="none" w:sz="0" w:space="0" w:color="auto"/>
        <w:bottom w:val="none" w:sz="0" w:space="0" w:color="auto"/>
        <w:right w:val="none" w:sz="0" w:space="0" w:color="auto"/>
      </w:divBdr>
    </w:div>
    <w:div w:id="1546016104">
      <w:bodyDiv w:val="1"/>
      <w:marLeft w:val="0"/>
      <w:marRight w:val="0"/>
      <w:marTop w:val="0"/>
      <w:marBottom w:val="0"/>
      <w:divBdr>
        <w:top w:val="none" w:sz="0" w:space="0" w:color="auto"/>
        <w:left w:val="none" w:sz="0" w:space="0" w:color="auto"/>
        <w:bottom w:val="none" w:sz="0" w:space="0" w:color="auto"/>
        <w:right w:val="none" w:sz="0" w:space="0" w:color="auto"/>
      </w:divBdr>
      <w:divsChild>
        <w:div w:id="683409826">
          <w:marLeft w:val="0"/>
          <w:marRight w:val="0"/>
          <w:marTop w:val="0"/>
          <w:marBottom w:val="0"/>
          <w:divBdr>
            <w:top w:val="none" w:sz="0" w:space="0" w:color="auto"/>
            <w:left w:val="none" w:sz="0" w:space="0" w:color="auto"/>
            <w:bottom w:val="none" w:sz="0" w:space="0" w:color="auto"/>
            <w:right w:val="none" w:sz="0" w:space="0" w:color="auto"/>
          </w:divBdr>
          <w:divsChild>
            <w:div w:id="1139111358">
              <w:marLeft w:val="0"/>
              <w:marRight w:val="0"/>
              <w:marTop w:val="0"/>
              <w:marBottom w:val="0"/>
              <w:divBdr>
                <w:top w:val="none" w:sz="0" w:space="0" w:color="auto"/>
                <w:left w:val="none" w:sz="0" w:space="0" w:color="auto"/>
                <w:bottom w:val="none" w:sz="0" w:space="0" w:color="auto"/>
                <w:right w:val="none" w:sz="0" w:space="0" w:color="auto"/>
              </w:divBdr>
              <w:divsChild>
                <w:div w:id="1076365551">
                  <w:marLeft w:val="0"/>
                  <w:marRight w:val="0"/>
                  <w:marTop w:val="0"/>
                  <w:marBottom w:val="0"/>
                  <w:divBdr>
                    <w:top w:val="none" w:sz="0" w:space="0" w:color="auto"/>
                    <w:left w:val="none" w:sz="0" w:space="0" w:color="auto"/>
                    <w:bottom w:val="none" w:sz="0" w:space="0" w:color="auto"/>
                    <w:right w:val="none" w:sz="0" w:space="0" w:color="auto"/>
                  </w:divBdr>
                  <w:divsChild>
                    <w:div w:id="20857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894">
          <w:marLeft w:val="0"/>
          <w:marRight w:val="0"/>
          <w:marTop w:val="0"/>
          <w:marBottom w:val="0"/>
          <w:divBdr>
            <w:top w:val="none" w:sz="0" w:space="0" w:color="auto"/>
            <w:left w:val="none" w:sz="0" w:space="0" w:color="auto"/>
            <w:bottom w:val="none" w:sz="0" w:space="0" w:color="auto"/>
            <w:right w:val="none" w:sz="0" w:space="0" w:color="auto"/>
          </w:divBdr>
          <w:divsChild>
            <w:div w:id="125509369">
              <w:marLeft w:val="0"/>
              <w:marRight w:val="0"/>
              <w:marTop w:val="0"/>
              <w:marBottom w:val="0"/>
              <w:divBdr>
                <w:top w:val="none" w:sz="0" w:space="0" w:color="auto"/>
                <w:left w:val="none" w:sz="0" w:space="0" w:color="auto"/>
                <w:bottom w:val="none" w:sz="0" w:space="0" w:color="auto"/>
                <w:right w:val="none" w:sz="0" w:space="0" w:color="auto"/>
              </w:divBdr>
              <w:divsChild>
                <w:div w:id="1235315640">
                  <w:marLeft w:val="0"/>
                  <w:marRight w:val="0"/>
                  <w:marTop w:val="0"/>
                  <w:marBottom w:val="0"/>
                  <w:divBdr>
                    <w:top w:val="none" w:sz="0" w:space="0" w:color="auto"/>
                    <w:left w:val="none" w:sz="0" w:space="0" w:color="auto"/>
                    <w:bottom w:val="none" w:sz="0" w:space="0" w:color="auto"/>
                    <w:right w:val="none" w:sz="0" w:space="0" w:color="auto"/>
                  </w:divBdr>
                  <w:divsChild>
                    <w:div w:id="5990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025540">
      <w:bodyDiv w:val="1"/>
      <w:marLeft w:val="0"/>
      <w:marRight w:val="0"/>
      <w:marTop w:val="0"/>
      <w:marBottom w:val="0"/>
      <w:divBdr>
        <w:top w:val="none" w:sz="0" w:space="0" w:color="auto"/>
        <w:left w:val="none" w:sz="0" w:space="0" w:color="auto"/>
        <w:bottom w:val="none" w:sz="0" w:space="0" w:color="auto"/>
        <w:right w:val="none" w:sz="0" w:space="0" w:color="auto"/>
      </w:divBdr>
    </w:div>
    <w:div w:id="1600484196">
      <w:bodyDiv w:val="1"/>
      <w:marLeft w:val="0"/>
      <w:marRight w:val="0"/>
      <w:marTop w:val="0"/>
      <w:marBottom w:val="0"/>
      <w:divBdr>
        <w:top w:val="none" w:sz="0" w:space="0" w:color="auto"/>
        <w:left w:val="none" w:sz="0" w:space="0" w:color="auto"/>
        <w:bottom w:val="none" w:sz="0" w:space="0" w:color="auto"/>
        <w:right w:val="none" w:sz="0" w:space="0" w:color="auto"/>
      </w:divBdr>
    </w:div>
    <w:div w:id="1624578411">
      <w:bodyDiv w:val="1"/>
      <w:marLeft w:val="0"/>
      <w:marRight w:val="0"/>
      <w:marTop w:val="0"/>
      <w:marBottom w:val="0"/>
      <w:divBdr>
        <w:top w:val="none" w:sz="0" w:space="0" w:color="auto"/>
        <w:left w:val="none" w:sz="0" w:space="0" w:color="auto"/>
        <w:bottom w:val="none" w:sz="0" w:space="0" w:color="auto"/>
        <w:right w:val="none" w:sz="0" w:space="0" w:color="auto"/>
      </w:divBdr>
    </w:div>
    <w:div w:id="1627151804">
      <w:bodyDiv w:val="1"/>
      <w:marLeft w:val="0"/>
      <w:marRight w:val="0"/>
      <w:marTop w:val="0"/>
      <w:marBottom w:val="0"/>
      <w:divBdr>
        <w:top w:val="none" w:sz="0" w:space="0" w:color="auto"/>
        <w:left w:val="none" w:sz="0" w:space="0" w:color="auto"/>
        <w:bottom w:val="none" w:sz="0" w:space="0" w:color="auto"/>
        <w:right w:val="none" w:sz="0" w:space="0" w:color="auto"/>
      </w:divBdr>
      <w:divsChild>
        <w:div w:id="1994330683">
          <w:marLeft w:val="0"/>
          <w:marRight w:val="0"/>
          <w:marTop w:val="0"/>
          <w:marBottom w:val="0"/>
          <w:divBdr>
            <w:top w:val="none" w:sz="0" w:space="0" w:color="auto"/>
            <w:left w:val="none" w:sz="0" w:space="0" w:color="auto"/>
            <w:bottom w:val="none" w:sz="0" w:space="0" w:color="auto"/>
            <w:right w:val="none" w:sz="0" w:space="0" w:color="auto"/>
          </w:divBdr>
          <w:divsChild>
            <w:div w:id="1260137144">
              <w:marLeft w:val="0"/>
              <w:marRight w:val="0"/>
              <w:marTop w:val="0"/>
              <w:marBottom w:val="0"/>
              <w:divBdr>
                <w:top w:val="none" w:sz="0" w:space="0" w:color="auto"/>
                <w:left w:val="none" w:sz="0" w:space="0" w:color="auto"/>
                <w:bottom w:val="none" w:sz="0" w:space="0" w:color="auto"/>
                <w:right w:val="none" w:sz="0" w:space="0" w:color="auto"/>
              </w:divBdr>
              <w:divsChild>
                <w:div w:id="1363555337">
                  <w:marLeft w:val="0"/>
                  <w:marRight w:val="0"/>
                  <w:marTop w:val="0"/>
                  <w:marBottom w:val="0"/>
                  <w:divBdr>
                    <w:top w:val="none" w:sz="0" w:space="0" w:color="auto"/>
                    <w:left w:val="none" w:sz="0" w:space="0" w:color="auto"/>
                    <w:bottom w:val="none" w:sz="0" w:space="0" w:color="auto"/>
                    <w:right w:val="none" w:sz="0" w:space="0" w:color="auto"/>
                  </w:divBdr>
                  <w:divsChild>
                    <w:div w:id="1064792811">
                      <w:marLeft w:val="0"/>
                      <w:marRight w:val="0"/>
                      <w:marTop w:val="0"/>
                      <w:marBottom w:val="0"/>
                      <w:divBdr>
                        <w:top w:val="none" w:sz="0" w:space="0" w:color="auto"/>
                        <w:left w:val="none" w:sz="0" w:space="0" w:color="auto"/>
                        <w:bottom w:val="none" w:sz="0" w:space="0" w:color="auto"/>
                        <w:right w:val="none" w:sz="0" w:space="0" w:color="auto"/>
                      </w:divBdr>
                      <w:divsChild>
                        <w:div w:id="1462921402">
                          <w:marLeft w:val="0"/>
                          <w:marRight w:val="0"/>
                          <w:marTop w:val="0"/>
                          <w:marBottom w:val="0"/>
                          <w:divBdr>
                            <w:top w:val="none" w:sz="0" w:space="0" w:color="auto"/>
                            <w:left w:val="none" w:sz="0" w:space="0" w:color="auto"/>
                            <w:bottom w:val="none" w:sz="0" w:space="0" w:color="auto"/>
                            <w:right w:val="none" w:sz="0" w:space="0" w:color="auto"/>
                          </w:divBdr>
                          <w:divsChild>
                            <w:div w:id="144272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09945">
      <w:bodyDiv w:val="1"/>
      <w:marLeft w:val="0"/>
      <w:marRight w:val="0"/>
      <w:marTop w:val="0"/>
      <w:marBottom w:val="0"/>
      <w:divBdr>
        <w:top w:val="none" w:sz="0" w:space="0" w:color="auto"/>
        <w:left w:val="none" w:sz="0" w:space="0" w:color="auto"/>
        <w:bottom w:val="none" w:sz="0" w:space="0" w:color="auto"/>
        <w:right w:val="none" w:sz="0" w:space="0" w:color="auto"/>
      </w:divBdr>
    </w:div>
    <w:div w:id="1653171668">
      <w:bodyDiv w:val="1"/>
      <w:marLeft w:val="0"/>
      <w:marRight w:val="0"/>
      <w:marTop w:val="0"/>
      <w:marBottom w:val="0"/>
      <w:divBdr>
        <w:top w:val="none" w:sz="0" w:space="0" w:color="auto"/>
        <w:left w:val="none" w:sz="0" w:space="0" w:color="auto"/>
        <w:bottom w:val="none" w:sz="0" w:space="0" w:color="auto"/>
        <w:right w:val="none" w:sz="0" w:space="0" w:color="auto"/>
      </w:divBdr>
    </w:div>
    <w:div w:id="1653295093">
      <w:bodyDiv w:val="1"/>
      <w:marLeft w:val="0"/>
      <w:marRight w:val="0"/>
      <w:marTop w:val="0"/>
      <w:marBottom w:val="0"/>
      <w:divBdr>
        <w:top w:val="none" w:sz="0" w:space="0" w:color="auto"/>
        <w:left w:val="none" w:sz="0" w:space="0" w:color="auto"/>
        <w:bottom w:val="none" w:sz="0" w:space="0" w:color="auto"/>
        <w:right w:val="none" w:sz="0" w:space="0" w:color="auto"/>
      </w:divBdr>
    </w:div>
    <w:div w:id="1654869471">
      <w:bodyDiv w:val="1"/>
      <w:marLeft w:val="0"/>
      <w:marRight w:val="0"/>
      <w:marTop w:val="0"/>
      <w:marBottom w:val="0"/>
      <w:divBdr>
        <w:top w:val="none" w:sz="0" w:space="0" w:color="auto"/>
        <w:left w:val="none" w:sz="0" w:space="0" w:color="auto"/>
        <w:bottom w:val="none" w:sz="0" w:space="0" w:color="auto"/>
        <w:right w:val="none" w:sz="0" w:space="0" w:color="auto"/>
      </w:divBdr>
    </w:div>
    <w:div w:id="1655598246">
      <w:bodyDiv w:val="1"/>
      <w:marLeft w:val="0"/>
      <w:marRight w:val="0"/>
      <w:marTop w:val="0"/>
      <w:marBottom w:val="0"/>
      <w:divBdr>
        <w:top w:val="none" w:sz="0" w:space="0" w:color="auto"/>
        <w:left w:val="none" w:sz="0" w:space="0" w:color="auto"/>
        <w:bottom w:val="none" w:sz="0" w:space="0" w:color="auto"/>
        <w:right w:val="none" w:sz="0" w:space="0" w:color="auto"/>
      </w:divBdr>
    </w:div>
    <w:div w:id="1664820382">
      <w:bodyDiv w:val="1"/>
      <w:marLeft w:val="0"/>
      <w:marRight w:val="0"/>
      <w:marTop w:val="0"/>
      <w:marBottom w:val="0"/>
      <w:divBdr>
        <w:top w:val="none" w:sz="0" w:space="0" w:color="auto"/>
        <w:left w:val="none" w:sz="0" w:space="0" w:color="auto"/>
        <w:bottom w:val="none" w:sz="0" w:space="0" w:color="auto"/>
        <w:right w:val="none" w:sz="0" w:space="0" w:color="auto"/>
      </w:divBdr>
    </w:div>
    <w:div w:id="1680960033">
      <w:bodyDiv w:val="1"/>
      <w:marLeft w:val="0"/>
      <w:marRight w:val="0"/>
      <w:marTop w:val="0"/>
      <w:marBottom w:val="0"/>
      <w:divBdr>
        <w:top w:val="none" w:sz="0" w:space="0" w:color="auto"/>
        <w:left w:val="none" w:sz="0" w:space="0" w:color="auto"/>
        <w:bottom w:val="none" w:sz="0" w:space="0" w:color="auto"/>
        <w:right w:val="none" w:sz="0" w:space="0" w:color="auto"/>
      </w:divBdr>
    </w:div>
    <w:div w:id="1693143903">
      <w:bodyDiv w:val="1"/>
      <w:marLeft w:val="0"/>
      <w:marRight w:val="0"/>
      <w:marTop w:val="0"/>
      <w:marBottom w:val="0"/>
      <w:divBdr>
        <w:top w:val="none" w:sz="0" w:space="0" w:color="auto"/>
        <w:left w:val="none" w:sz="0" w:space="0" w:color="auto"/>
        <w:bottom w:val="none" w:sz="0" w:space="0" w:color="auto"/>
        <w:right w:val="none" w:sz="0" w:space="0" w:color="auto"/>
      </w:divBdr>
    </w:div>
    <w:div w:id="1709992677">
      <w:bodyDiv w:val="1"/>
      <w:marLeft w:val="0"/>
      <w:marRight w:val="0"/>
      <w:marTop w:val="0"/>
      <w:marBottom w:val="0"/>
      <w:divBdr>
        <w:top w:val="none" w:sz="0" w:space="0" w:color="auto"/>
        <w:left w:val="none" w:sz="0" w:space="0" w:color="auto"/>
        <w:bottom w:val="none" w:sz="0" w:space="0" w:color="auto"/>
        <w:right w:val="none" w:sz="0" w:space="0" w:color="auto"/>
      </w:divBdr>
    </w:div>
    <w:div w:id="1721174638">
      <w:bodyDiv w:val="1"/>
      <w:marLeft w:val="0"/>
      <w:marRight w:val="0"/>
      <w:marTop w:val="0"/>
      <w:marBottom w:val="0"/>
      <w:divBdr>
        <w:top w:val="none" w:sz="0" w:space="0" w:color="auto"/>
        <w:left w:val="none" w:sz="0" w:space="0" w:color="auto"/>
        <w:bottom w:val="none" w:sz="0" w:space="0" w:color="auto"/>
        <w:right w:val="none" w:sz="0" w:space="0" w:color="auto"/>
      </w:divBdr>
    </w:div>
    <w:div w:id="1723484961">
      <w:bodyDiv w:val="1"/>
      <w:marLeft w:val="0"/>
      <w:marRight w:val="0"/>
      <w:marTop w:val="0"/>
      <w:marBottom w:val="0"/>
      <w:divBdr>
        <w:top w:val="none" w:sz="0" w:space="0" w:color="auto"/>
        <w:left w:val="none" w:sz="0" w:space="0" w:color="auto"/>
        <w:bottom w:val="none" w:sz="0" w:space="0" w:color="auto"/>
        <w:right w:val="none" w:sz="0" w:space="0" w:color="auto"/>
      </w:divBdr>
    </w:div>
    <w:div w:id="1736586302">
      <w:bodyDiv w:val="1"/>
      <w:marLeft w:val="0"/>
      <w:marRight w:val="0"/>
      <w:marTop w:val="0"/>
      <w:marBottom w:val="0"/>
      <w:divBdr>
        <w:top w:val="none" w:sz="0" w:space="0" w:color="auto"/>
        <w:left w:val="none" w:sz="0" w:space="0" w:color="auto"/>
        <w:bottom w:val="none" w:sz="0" w:space="0" w:color="auto"/>
        <w:right w:val="none" w:sz="0" w:space="0" w:color="auto"/>
      </w:divBdr>
      <w:divsChild>
        <w:div w:id="28382917">
          <w:marLeft w:val="0"/>
          <w:marRight w:val="0"/>
          <w:marTop w:val="0"/>
          <w:marBottom w:val="0"/>
          <w:divBdr>
            <w:top w:val="none" w:sz="0" w:space="0" w:color="auto"/>
            <w:left w:val="none" w:sz="0" w:space="0" w:color="auto"/>
            <w:bottom w:val="none" w:sz="0" w:space="0" w:color="auto"/>
            <w:right w:val="none" w:sz="0" w:space="0" w:color="auto"/>
          </w:divBdr>
        </w:div>
        <w:div w:id="87890951">
          <w:marLeft w:val="0"/>
          <w:marRight w:val="0"/>
          <w:marTop w:val="0"/>
          <w:marBottom w:val="0"/>
          <w:divBdr>
            <w:top w:val="none" w:sz="0" w:space="0" w:color="auto"/>
            <w:left w:val="none" w:sz="0" w:space="0" w:color="auto"/>
            <w:bottom w:val="none" w:sz="0" w:space="0" w:color="auto"/>
            <w:right w:val="none" w:sz="0" w:space="0" w:color="auto"/>
          </w:divBdr>
        </w:div>
        <w:div w:id="266236534">
          <w:marLeft w:val="0"/>
          <w:marRight w:val="0"/>
          <w:marTop w:val="0"/>
          <w:marBottom w:val="0"/>
          <w:divBdr>
            <w:top w:val="none" w:sz="0" w:space="0" w:color="auto"/>
            <w:left w:val="none" w:sz="0" w:space="0" w:color="auto"/>
            <w:bottom w:val="none" w:sz="0" w:space="0" w:color="auto"/>
            <w:right w:val="none" w:sz="0" w:space="0" w:color="auto"/>
          </w:divBdr>
        </w:div>
        <w:div w:id="937174442">
          <w:marLeft w:val="0"/>
          <w:marRight w:val="0"/>
          <w:marTop w:val="0"/>
          <w:marBottom w:val="0"/>
          <w:divBdr>
            <w:top w:val="none" w:sz="0" w:space="0" w:color="auto"/>
            <w:left w:val="none" w:sz="0" w:space="0" w:color="auto"/>
            <w:bottom w:val="none" w:sz="0" w:space="0" w:color="auto"/>
            <w:right w:val="none" w:sz="0" w:space="0" w:color="auto"/>
          </w:divBdr>
        </w:div>
        <w:div w:id="976255761">
          <w:marLeft w:val="0"/>
          <w:marRight w:val="0"/>
          <w:marTop w:val="0"/>
          <w:marBottom w:val="0"/>
          <w:divBdr>
            <w:top w:val="none" w:sz="0" w:space="0" w:color="auto"/>
            <w:left w:val="none" w:sz="0" w:space="0" w:color="auto"/>
            <w:bottom w:val="none" w:sz="0" w:space="0" w:color="auto"/>
            <w:right w:val="none" w:sz="0" w:space="0" w:color="auto"/>
          </w:divBdr>
        </w:div>
      </w:divsChild>
    </w:div>
    <w:div w:id="1764102526">
      <w:bodyDiv w:val="1"/>
      <w:marLeft w:val="0"/>
      <w:marRight w:val="0"/>
      <w:marTop w:val="0"/>
      <w:marBottom w:val="0"/>
      <w:divBdr>
        <w:top w:val="none" w:sz="0" w:space="0" w:color="auto"/>
        <w:left w:val="none" w:sz="0" w:space="0" w:color="auto"/>
        <w:bottom w:val="none" w:sz="0" w:space="0" w:color="auto"/>
        <w:right w:val="none" w:sz="0" w:space="0" w:color="auto"/>
      </w:divBdr>
    </w:div>
    <w:div w:id="1768692585">
      <w:bodyDiv w:val="1"/>
      <w:marLeft w:val="0"/>
      <w:marRight w:val="0"/>
      <w:marTop w:val="0"/>
      <w:marBottom w:val="0"/>
      <w:divBdr>
        <w:top w:val="none" w:sz="0" w:space="0" w:color="auto"/>
        <w:left w:val="none" w:sz="0" w:space="0" w:color="auto"/>
        <w:bottom w:val="none" w:sz="0" w:space="0" w:color="auto"/>
        <w:right w:val="none" w:sz="0" w:space="0" w:color="auto"/>
      </w:divBdr>
    </w:div>
    <w:div w:id="1782261475">
      <w:bodyDiv w:val="1"/>
      <w:marLeft w:val="0"/>
      <w:marRight w:val="0"/>
      <w:marTop w:val="0"/>
      <w:marBottom w:val="0"/>
      <w:divBdr>
        <w:top w:val="none" w:sz="0" w:space="0" w:color="auto"/>
        <w:left w:val="none" w:sz="0" w:space="0" w:color="auto"/>
        <w:bottom w:val="none" w:sz="0" w:space="0" w:color="auto"/>
        <w:right w:val="none" w:sz="0" w:space="0" w:color="auto"/>
      </w:divBdr>
    </w:div>
    <w:div w:id="1782410430">
      <w:bodyDiv w:val="1"/>
      <w:marLeft w:val="0"/>
      <w:marRight w:val="0"/>
      <w:marTop w:val="0"/>
      <w:marBottom w:val="0"/>
      <w:divBdr>
        <w:top w:val="none" w:sz="0" w:space="0" w:color="auto"/>
        <w:left w:val="none" w:sz="0" w:space="0" w:color="auto"/>
        <w:bottom w:val="none" w:sz="0" w:space="0" w:color="auto"/>
        <w:right w:val="none" w:sz="0" w:space="0" w:color="auto"/>
      </w:divBdr>
      <w:divsChild>
        <w:div w:id="115948353">
          <w:marLeft w:val="0"/>
          <w:marRight w:val="0"/>
          <w:marTop w:val="0"/>
          <w:marBottom w:val="0"/>
          <w:divBdr>
            <w:top w:val="single" w:sz="2" w:space="0" w:color="D9D9E3"/>
            <w:left w:val="single" w:sz="2" w:space="0" w:color="D9D9E3"/>
            <w:bottom w:val="single" w:sz="2" w:space="0" w:color="D9D9E3"/>
            <w:right w:val="single" w:sz="2" w:space="0" w:color="D9D9E3"/>
          </w:divBdr>
          <w:divsChild>
            <w:div w:id="15609019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46123685">
                  <w:marLeft w:val="0"/>
                  <w:marRight w:val="0"/>
                  <w:marTop w:val="0"/>
                  <w:marBottom w:val="0"/>
                  <w:divBdr>
                    <w:top w:val="single" w:sz="2" w:space="0" w:color="D9D9E3"/>
                    <w:left w:val="single" w:sz="2" w:space="0" w:color="D9D9E3"/>
                    <w:bottom w:val="single" w:sz="2" w:space="0" w:color="D9D9E3"/>
                    <w:right w:val="single" w:sz="2" w:space="0" w:color="D9D9E3"/>
                  </w:divBdr>
                  <w:divsChild>
                    <w:div w:id="407961865">
                      <w:marLeft w:val="0"/>
                      <w:marRight w:val="0"/>
                      <w:marTop w:val="0"/>
                      <w:marBottom w:val="0"/>
                      <w:divBdr>
                        <w:top w:val="single" w:sz="2" w:space="0" w:color="D9D9E3"/>
                        <w:left w:val="single" w:sz="2" w:space="0" w:color="D9D9E3"/>
                        <w:bottom w:val="single" w:sz="2" w:space="0" w:color="D9D9E3"/>
                        <w:right w:val="single" w:sz="2" w:space="0" w:color="D9D9E3"/>
                      </w:divBdr>
                      <w:divsChild>
                        <w:div w:id="494103156">
                          <w:marLeft w:val="0"/>
                          <w:marRight w:val="0"/>
                          <w:marTop w:val="0"/>
                          <w:marBottom w:val="0"/>
                          <w:divBdr>
                            <w:top w:val="single" w:sz="2" w:space="0" w:color="D9D9E3"/>
                            <w:left w:val="single" w:sz="2" w:space="0" w:color="D9D9E3"/>
                            <w:bottom w:val="single" w:sz="2" w:space="0" w:color="D9D9E3"/>
                            <w:right w:val="single" w:sz="2" w:space="0" w:color="D9D9E3"/>
                          </w:divBdr>
                          <w:divsChild>
                            <w:div w:id="623079876">
                              <w:marLeft w:val="0"/>
                              <w:marRight w:val="0"/>
                              <w:marTop w:val="0"/>
                              <w:marBottom w:val="0"/>
                              <w:divBdr>
                                <w:top w:val="single" w:sz="2" w:space="0" w:color="D9D9E3"/>
                                <w:left w:val="single" w:sz="2" w:space="0" w:color="D9D9E3"/>
                                <w:bottom w:val="single" w:sz="2" w:space="0" w:color="D9D9E3"/>
                                <w:right w:val="single" w:sz="2" w:space="0" w:color="D9D9E3"/>
                              </w:divBdr>
                              <w:divsChild>
                                <w:div w:id="1326207139">
                                  <w:marLeft w:val="0"/>
                                  <w:marRight w:val="0"/>
                                  <w:marTop w:val="0"/>
                                  <w:marBottom w:val="0"/>
                                  <w:divBdr>
                                    <w:top w:val="single" w:sz="2" w:space="0" w:color="D9D9E3"/>
                                    <w:left w:val="single" w:sz="2" w:space="0" w:color="D9D9E3"/>
                                    <w:bottom w:val="single" w:sz="2" w:space="0" w:color="D9D9E3"/>
                                    <w:right w:val="single" w:sz="2" w:space="0" w:color="D9D9E3"/>
                                  </w:divBdr>
                                  <w:divsChild>
                                    <w:div w:id="13310605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83650722">
      <w:bodyDiv w:val="1"/>
      <w:marLeft w:val="0"/>
      <w:marRight w:val="0"/>
      <w:marTop w:val="0"/>
      <w:marBottom w:val="0"/>
      <w:divBdr>
        <w:top w:val="none" w:sz="0" w:space="0" w:color="auto"/>
        <w:left w:val="none" w:sz="0" w:space="0" w:color="auto"/>
        <w:bottom w:val="none" w:sz="0" w:space="0" w:color="auto"/>
        <w:right w:val="none" w:sz="0" w:space="0" w:color="auto"/>
      </w:divBdr>
    </w:div>
    <w:div w:id="1786270576">
      <w:bodyDiv w:val="1"/>
      <w:marLeft w:val="0"/>
      <w:marRight w:val="0"/>
      <w:marTop w:val="0"/>
      <w:marBottom w:val="0"/>
      <w:divBdr>
        <w:top w:val="none" w:sz="0" w:space="0" w:color="auto"/>
        <w:left w:val="none" w:sz="0" w:space="0" w:color="auto"/>
        <w:bottom w:val="none" w:sz="0" w:space="0" w:color="auto"/>
        <w:right w:val="none" w:sz="0" w:space="0" w:color="auto"/>
      </w:divBdr>
    </w:div>
    <w:div w:id="1787002003">
      <w:bodyDiv w:val="1"/>
      <w:marLeft w:val="0"/>
      <w:marRight w:val="0"/>
      <w:marTop w:val="0"/>
      <w:marBottom w:val="0"/>
      <w:divBdr>
        <w:top w:val="none" w:sz="0" w:space="0" w:color="auto"/>
        <w:left w:val="none" w:sz="0" w:space="0" w:color="auto"/>
        <w:bottom w:val="none" w:sz="0" w:space="0" w:color="auto"/>
        <w:right w:val="none" w:sz="0" w:space="0" w:color="auto"/>
      </w:divBdr>
      <w:divsChild>
        <w:div w:id="56318645">
          <w:marLeft w:val="0"/>
          <w:marRight w:val="0"/>
          <w:marTop w:val="0"/>
          <w:marBottom w:val="0"/>
          <w:divBdr>
            <w:top w:val="none" w:sz="0" w:space="0" w:color="auto"/>
            <w:left w:val="none" w:sz="0" w:space="0" w:color="auto"/>
            <w:bottom w:val="none" w:sz="0" w:space="0" w:color="auto"/>
            <w:right w:val="none" w:sz="0" w:space="0" w:color="auto"/>
          </w:divBdr>
          <w:divsChild>
            <w:div w:id="364529209">
              <w:marLeft w:val="0"/>
              <w:marRight w:val="0"/>
              <w:marTop w:val="0"/>
              <w:marBottom w:val="0"/>
              <w:divBdr>
                <w:top w:val="none" w:sz="0" w:space="0" w:color="auto"/>
                <w:left w:val="none" w:sz="0" w:space="0" w:color="auto"/>
                <w:bottom w:val="none" w:sz="0" w:space="0" w:color="auto"/>
                <w:right w:val="none" w:sz="0" w:space="0" w:color="auto"/>
              </w:divBdr>
              <w:divsChild>
                <w:div w:id="492531874">
                  <w:marLeft w:val="0"/>
                  <w:marRight w:val="0"/>
                  <w:marTop w:val="0"/>
                  <w:marBottom w:val="0"/>
                  <w:divBdr>
                    <w:top w:val="none" w:sz="0" w:space="0" w:color="auto"/>
                    <w:left w:val="none" w:sz="0" w:space="0" w:color="auto"/>
                    <w:bottom w:val="none" w:sz="0" w:space="0" w:color="auto"/>
                    <w:right w:val="none" w:sz="0" w:space="0" w:color="auto"/>
                  </w:divBdr>
                  <w:divsChild>
                    <w:div w:id="1357804222">
                      <w:marLeft w:val="0"/>
                      <w:marRight w:val="0"/>
                      <w:marTop w:val="0"/>
                      <w:marBottom w:val="0"/>
                      <w:divBdr>
                        <w:top w:val="none" w:sz="0" w:space="0" w:color="auto"/>
                        <w:left w:val="none" w:sz="0" w:space="0" w:color="auto"/>
                        <w:bottom w:val="none" w:sz="0" w:space="0" w:color="auto"/>
                        <w:right w:val="none" w:sz="0" w:space="0" w:color="auto"/>
                      </w:divBdr>
                      <w:divsChild>
                        <w:div w:id="1672442657">
                          <w:marLeft w:val="0"/>
                          <w:marRight w:val="0"/>
                          <w:marTop w:val="0"/>
                          <w:marBottom w:val="0"/>
                          <w:divBdr>
                            <w:top w:val="none" w:sz="0" w:space="0" w:color="auto"/>
                            <w:left w:val="none" w:sz="0" w:space="0" w:color="auto"/>
                            <w:bottom w:val="none" w:sz="0" w:space="0" w:color="auto"/>
                            <w:right w:val="none" w:sz="0" w:space="0" w:color="auto"/>
                          </w:divBdr>
                          <w:divsChild>
                            <w:div w:id="11617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494426">
      <w:bodyDiv w:val="1"/>
      <w:marLeft w:val="0"/>
      <w:marRight w:val="0"/>
      <w:marTop w:val="0"/>
      <w:marBottom w:val="0"/>
      <w:divBdr>
        <w:top w:val="none" w:sz="0" w:space="0" w:color="auto"/>
        <w:left w:val="none" w:sz="0" w:space="0" w:color="auto"/>
        <w:bottom w:val="none" w:sz="0" w:space="0" w:color="auto"/>
        <w:right w:val="none" w:sz="0" w:space="0" w:color="auto"/>
      </w:divBdr>
    </w:div>
    <w:div w:id="1846163061">
      <w:bodyDiv w:val="1"/>
      <w:marLeft w:val="0"/>
      <w:marRight w:val="0"/>
      <w:marTop w:val="0"/>
      <w:marBottom w:val="0"/>
      <w:divBdr>
        <w:top w:val="none" w:sz="0" w:space="0" w:color="auto"/>
        <w:left w:val="none" w:sz="0" w:space="0" w:color="auto"/>
        <w:bottom w:val="none" w:sz="0" w:space="0" w:color="auto"/>
        <w:right w:val="none" w:sz="0" w:space="0" w:color="auto"/>
      </w:divBdr>
    </w:div>
    <w:div w:id="1921940162">
      <w:bodyDiv w:val="1"/>
      <w:marLeft w:val="0"/>
      <w:marRight w:val="0"/>
      <w:marTop w:val="0"/>
      <w:marBottom w:val="0"/>
      <w:divBdr>
        <w:top w:val="none" w:sz="0" w:space="0" w:color="auto"/>
        <w:left w:val="none" w:sz="0" w:space="0" w:color="auto"/>
        <w:bottom w:val="none" w:sz="0" w:space="0" w:color="auto"/>
        <w:right w:val="none" w:sz="0" w:space="0" w:color="auto"/>
      </w:divBdr>
      <w:divsChild>
        <w:div w:id="810438371">
          <w:marLeft w:val="0"/>
          <w:marRight w:val="0"/>
          <w:marTop w:val="0"/>
          <w:marBottom w:val="0"/>
          <w:divBdr>
            <w:top w:val="none" w:sz="0" w:space="0" w:color="auto"/>
            <w:left w:val="none" w:sz="0" w:space="0" w:color="auto"/>
            <w:bottom w:val="none" w:sz="0" w:space="0" w:color="auto"/>
            <w:right w:val="none" w:sz="0" w:space="0" w:color="auto"/>
          </w:divBdr>
          <w:divsChild>
            <w:div w:id="1761677094">
              <w:marLeft w:val="0"/>
              <w:marRight w:val="0"/>
              <w:marTop w:val="0"/>
              <w:marBottom w:val="0"/>
              <w:divBdr>
                <w:top w:val="none" w:sz="0" w:space="0" w:color="auto"/>
                <w:left w:val="none" w:sz="0" w:space="0" w:color="auto"/>
                <w:bottom w:val="none" w:sz="0" w:space="0" w:color="auto"/>
                <w:right w:val="none" w:sz="0" w:space="0" w:color="auto"/>
              </w:divBdr>
              <w:divsChild>
                <w:div w:id="589582234">
                  <w:marLeft w:val="0"/>
                  <w:marRight w:val="0"/>
                  <w:marTop w:val="0"/>
                  <w:marBottom w:val="0"/>
                  <w:divBdr>
                    <w:top w:val="none" w:sz="0" w:space="0" w:color="auto"/>
                    <w:left w:val="none" w:sz="0" w:space="0" w:color="auto"/>
                    <w:bottom w:val="none" w:sz="0" w:space="0" w:color="auto"/>
                    <w:right w:val="none" w:sz="0" w:space="0" w:color="auto"/>
                  </w:divBdr>
                  <w:divsChild>
                    <w:div w:id="1307007954">
                      <w:marLeft w:val="0"/>
                      <w:marRight w:val="0"/>
                      <w:marTop w:val="0"/>
                      <w:marBottom w:val="0"/>
                      <w:divBdr>
                        <w:top w:val="none" w:sz="0" w:space="0" w:color="auto"/>
                        <w:left w:val="none" w:sz="0" w:space="0" w:color="auto"/>
                        <w:bottom w:val="none" w:sz="0" w:space="0" w:color="auto"/>
                        <w:right w:val="none" w:sz="0" w:space="0" w:color="auto"/>
                      </w:divBdr>
                      <w:divsChild>
                        <w:div w:id="146290934">
                          <w:marLeft w:val="0"/>
                          <w:marRight w:val="0"/>
                          <w:marTop w:val="0"/>
                          <w:marBottom w:val="0"/>
                          <w:divBdr>
                            <w:top w:val="none" w:sz="0" w:space="0" w:color="auto"/>
                            <w:left w:val="none" w:sz="0" w:space="0" w:color="auto"/>
                            <w:bottom w:val="none" w:sz="0" w:space="0" w:color="auto"/>
                            <w:right w:val="none" w:sz="0" w:space="0" w:color="auto"/>
                          </w:divBdr>
                          <w:divsChild>
                            <w:div w:id="1510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424562">
      <w:bodyDiv w:val="1"/>
      <w:marLeft w:val="0"/>
      <w:marRight w:val="0"/>
      <w:marTop w:val="0"/>
      <w:marBottom w:val="0"/>
      <w:divBdr>
        <w:top w:val="none" w:sz="0" w:space="0" w:color="auto"/>
        <w:left w:val="none" w:sz="0" w:space="0" w:color="auto"/>
        <w:bottom w:val="none" w:sz="0" w:space="0" w:color="auto"/>
        <w:right w:val="none" w:sz="0" w:space="0" w:color="auto"/>
      </w:divBdr>
    </w:div>
    <w:div w:id="1949581876">
      <w:bodyDiv w:val="1"/>
      <w:marLeft w:val="0"/>
      <w:marRight w:val="0"/>
      <w:marTop w:val="0"/>
      <w:marBottom w:val="0"/>
      <w:divBdr>
        <w:top w:val="none" w:sz="0" w:space="0" w:color="auto"/>
        <w:left w:val="none" w:sz="0" w:space="0" w:color="auto"/>
        <w:bottom w:val="none" w:sz="0" w:space="0" w:color="auto"/>
        <w:right w:val="none" w:sz="0" w:space="0" w:color="auto"/>
      </w:divBdr>
    </w:div>
    <w:div w:id="1966278715">
      <w:bodyDiv w:val="1"/>
      <w:marLeft w:val="0"/>
      <w:marRight w:val="0"/>
      <w:marTop w:val="0"/>
      <w:marBottom w:val="0"/>
      <w:divBdr>
        <w:top w:val="none" w:sz="0" w:space="0" w:color="auto"/>
        <w:left w:val="none" w:sz="0" w:space="0" w:color="auto"/>
        <w:bottom w:val="none" w:sz="0" w:space="0" w:color="auto"/>
        <w:right w:val="none" w:sz="0" w:space="0" w:color="auto"/>
      </w:divBdr>
    </w:div>
    <w:div w:id="1995454060">
      <w:bodyDiv w:val="1"/>
      <w:marLeft w:val="0"/>
      <w:marRight w:val="0"/>
      <w:marTop w:val="0"/>
      <w:marBottom w:val="0"/>
      <w:divBdr>
        <w:top w:val="none" w:sz="0" w:space="0" w:color="auto"/>
        <w:left w:val="none" w:sz="0" w:space="0" w:color="auto"/>
        <w:bottom w:val="none" w:sz="0" w:space="0" w:color="auto"/>
        <w:right w:val="none" w:sz="0" w:space="0" w:color="auto"/>
      </w:divBdr>
      <w:divsChild>
        <w:div w:id="234361673">
          <w:marLeft w:val="547"/>
          <w:marRight w:val="0"/>
          <w:marTop w:val="0"/>
          <w:marBottom w:val="0"/>
          <w:divBdr>
            <w:top w:val="none" w:sz="0" w:space="0" w:color="auto"/>
            <w:left w:val="none" w:sz="0" w:space="0" w:color="auto"/>
            <w:bottom w:val="none" w:sz="0" w:space="0" w:color="auto"/>
            <w:right w:val="none" w:sz="0" w:space="0" w:color="auto"/>
          </w:divBdr>
        </w:div>
      </w:divsChild>
    </w:div>
    <w:div w:id="1996837376">
      <w:bodyDiv w:val="1"/>
      <w:marLeft w:val="0"/>
      <w:marRight w:val="0"/>
      <w:marTop w:val="0"/>
      <w:marBottom w:val="0"/>
      <w:divBdr>
        <w:top w:val="none" w:sz="0" w:space="0" w:color="auto"/>
        <w:left w:val="none" w:sz="0" w:space="0" w:color="auto"/>
        <w:bottom w:val="none" w:sz="0" w:space="0" w:color="auto"/>
        <w:right w:val="none" w:sz="0" w:space="0" w:color="auto"/>
      </w:divBdr>
    </w:div>
    <w:div w:id="2002391068">
      <w:bodyDiv w:val="1"/>
      <w:marLeft w:val="0"/>
      <w:marRight w:val="0"/>
      <w:marTop w:val="0"/>
      <w:marBottom w:val="0"/>
      <w:divBdr>
        <w:top w:val="none" w:sz="0" w:space="0" w:color="auto"/>
        <w:left w:val="none" w:sz="0" w:space="0" w:color="auto"/>
        <w:bottom w:val="none" w:sz="0" w:space="0" w:color="auto"/>
        <w:right w:val="none" w:sz="0" w:space="0" w:color="auto"/>
      </w:divBdr>
    </w:div>
    <w:div w:id="2029213988">
      <w:bodyDiv w:val="1"/>
      <w:marLeft w:val="0"/>
      <w:marRight w:val="0"/>
      <w:marTop w:val="0"/>
      <w:marBottom w:val="0"/>
      <w:divBdr>
        <w:top w:val="none" w:sz="0" w:space="0" w:color="auto"/>
        <w:left w:val="none" w:sz="0" w:space="0" w:color="auto"/>
        <w:bottom w:val="none" w:sz="0" w:space="0" w:color="auto"/>
        <w:right w:val="none" w:sz="0" w:space="0" w:color="auto"/>
      </w:divBdr>
    </w:div>
    <w:div w:id="2038507049">
      <w:bodyDiv w:val="1"/>
      <w:marLeft w:val="0"/>
      <w:marRight w:val="0"/>
      <w:marTop w:val="0"/>
      <w:marBottom w:val="0"/>
      <w:divBdr>
        <w:top w:val="none" w:sz="0" w:space="0" w:color="auto"/>
        <w:left w:val="none" w:sz="0" w:space="0" w:color="auto"/>
        <w:bottom w:val="none" w:sz="0" w:space="0" w:color="auto"/>
        <w:right w:val="none" w:sz="0" w:space="0" w:color="auto"/>
      </w:divBdr>
      <w:divsChild>
        <w:div w:id="329064979">
          <w:marLeft w:val="0"/>
          <w:marRight w:val="0"/>
          <w:marTop w:val="0"/>
          <w:marBottom w:val="0"/>
          <w:divBdr>
            <w:top w:val="none" w:sz="0" w:space="0" w:color="auto"/>
            <w:left w:val="none" w:sz="0" w:space="0" w:color="auto"/>
            <w:bottom w:val="none" w:sz="0" w:space="0" w:color="auto"/>
            <w:right w:val="none" w:sz="0" w:space="0" w:color="auto"/>
          </w:divBdr>
        </w:div>
        <w:div w:id="723795113">
          <w:marLeft w:val="0"/>
          <w:marRight w:val="0"/>
          <w:marTop w:val="0"/>
          <w:marBottom w:val="0"/>
          <w:divBdr>
            <w:top w:val="none" w:sz="0" w:space="0" w:color="auto"/>
            <w:left w:val="none" w:sz="0" w:space="0" w:color="auto"/>
            <w:bottom w:val="none" w:sz="0" w:space="0" w:color="auto"/>
            <w:right w:val="none" w:sz="0" w:space="0" w:color="auto"/>
          </w:divBdr>
        </w:div>
        <w:div w:id="843394461">
          <w:marLeft w:val="0"/>
          <w:marRight w:val="0"/>
          <w:marTop w:val="0"/>
          <w:marBottom w:val="0"/>
          <w:divBdr>
            <w:top w:val="none" w:sz="0" w:space="0" w:color="auto"/>
            <w:left w:val="none" w:sz="0" w:space="0" w:color="auto"/>
            <w:bottom w:val="none" w:sz="0" w:space="0" w:color="auto"/>
            <w:right w:val="none" w:sz="0" w:space="0" w:color="auto"/>
          </w:divBdr>
        </w:div>
        <w:div w:id="1378118404">
          <w:marLeft w:val="0"/>
          <w:marRight w:val="0"/>
          <w:marTop w:val="0"/>
          <w:marBottom w:val="0"/>
          <w:divBdr>
            <w:top w:val="none" w:sz="0" w:space="0" w:color="auto"/>
            <w:left w:val="none" w:sz="0" w:space="0" w:color="auto"/>
            <w:bottom w:val="none" w:sz="0" w:space="0" w:color="auto"/>
            <w:right w:val="none" w:sz="0" w:space="0" w:color="auto"/>
          </w:divBdr>
        </w:div>
      </w:divsChild>
    </w:div>
    <w:div w:id="2068330991">
      <w:bodyDiv w:val="1"/>
      <w:marLeft w:val="0"/>
      <w:marRight w:val="0"/>
      <w:marTop w:val="0"/>
      <w:marBottom w:val="0"/>
      <w:divBdr>
        <w:top w:val="none" w:sz="0" w:space="0" w:color="auto"/>
        <w:left w:val="none" w:sz="0" w:space="0" w:color="auto"/>
        <w:bottom w:val="none" w:sz="0" w:space="0" w:color="auto"/>
        <w:right w:val="none" w:sz="0" w:space="0" w:color="auto"/>
      </w:divBdr>
    </w:div>
    <w:div w:id="2070878092">
      <w:bodyDiv w:val="1"/>
      <w:marLeft w:val="0"/>
      <w:marRight w:val="0"/>
      <w:marTop w:val="0"/>
      <w:marBottom w:val="0"/>
      <w:divBdr>
        <w:top w:val="none" w:sz="0" w:space="0" w:color="auto"/>
        <w:left w:val="none" w:sz="0" w:space="0" w:color="auto"/>
        <w:bottom w:val="none" w:sz="0" w:space="0" w:color="auto"/>
        <w:right w:val="none" w:sz="0" w:space="0" w:color="auto"/>
      </w:divBdr>
    </w:div>
    <w:div w:id="2073043658">
      <w:bodyDiv w:val="1"/>
      <w:marLeft w:val="0"/>
      <w:marRight w:val="0"/>
      <w:marTop w:val="0"/>
      <w:marBottom w:val="0"/>
      <w:divBdr>
        <w:top w:val="none" w:sz="0" w:space="0" w:color="auto"/>
        <w:left w:val="none" w:sz="0" w:space="0" w:color="auto"/>
        <w:bottom w:val="none" w:sz="0" w:space="0" w:color="auto"/>
        <w:right w:val="none" w:sz="0" w:space="0" w:color="auto"/>
      </w:divBdr>
    </w:div>
    <w:div w:id="2093889050">
      <w:bodyDiv w:val="1"/>
      <w:marLeft w:val="0"/>
      <w:marRight w:val="0"/>
      <w:marTop w:val="0"/>
      <w:marBottom w:val="0"/>
      <w:divBdr>
        <w:top w:val="none" w:sz="0" w:space="0" w:color="auto"/>
        <w:left w:val="none" w:sz="0" w:space="0" w:color="auto"/>
        <w:bottom w:val="none" w:sz="0" w:space="0" w:color="auto"/>
        <w:right w:val="none" w:sz="0" w:space="0" w:color="auto"/>
      </w:divBdr>
      <w:divsChild>
        <w:div w:id="958029293">
          <w:marLeft w:val="0"/>
          <w:marRight w:val="0"/>
          <w:marTop w:val="0"/>
          <w:marBottom w:val="0"/>
          <w:divBdr>
            <w:top w:val="none" w:sz="0" w:space="0" w:color="auto"/>
            <w:left w:val="none" w:sz="0" w:space="0" w:color="auto"/>
            <w:bottom w:val="none" w:sz="0" w:space="0" w:color="auto"/>
            <w:right w:val="none" w:sz="0" w:space="0" w:color="auto"/>
          </w:divBdr>
          <w:divsChild>
            <w:div w:id="255598162">
              <w:marLeft w:val="0"/>
              <w:marRight w:val="0"/>
              <w:marTop w:val="0"/>
              <w:marBottom w:val="0"/>
              <w:divBdr>
                <w:top w:val="none" w:sz="0" w:space="0" w:color="auto"/>
                <w:left w:val="none" w:sz="0" w:space="0" w:color="auto"/>
                <w:bottom w:val="none" w:sz="0" w:space="0" w:color="auto"/>
                <w:right w:val="none" w:sz="0" w:space="0" w:color="auto"/>
              </w:divBdr>
              <w:divsChild>
                <w:div w:id="1205025513">
                  <w:marLeft w:val="0"/>
                  <w:marRight w:val="0"/>
                  <w:marTop w:val="0"/>
                  <w:marBottom w:val="0"/>
                  <w:divBdr>
                    <w:top w:val="none" w:sz="0" w:space="0" w:color="auto"/>
                    <w:left w:val="none" w:sz="0" w:space="0" w:color="auto"/>
                    <w:bottom w:val="none" w:sz="0" w:space="0" w:color="auto"/>
                    <w:right w:val="none" w:sz="0" w:space="0" w:color="auto"/>
                  </w:divBdr>
                  <w:divsChild>
                    <w:div w:id="1532380570">
                      <w:marLeft w:val="0"/>
                      <w:marRight w:val="0"/>
                      <w:marTop w:val="0"/>
                      <w:marBottom w:val="0"/>
                      <w:divBdr>
                        <w:top w:val="none" w:sz="0" w:space="0" w:color="auto"/>
                        <w:left w:val="none" w:sz="0" w:space="0" w:color="auto"/>
                        <w:bottom w:val="none" w:sz="0" w:space="0" w:color="auto"/>
                        <w:right w:val="none" w:sz="0" w:space="0" w:color="auto"/>
                      </w:divBdr>
                      <w:divsChild>
                        <w:div w:id="1891576444">
                          <w:marLeft w:val="0"/>
                          <w:marRight w:val="0"/>
                          <w:marTop w:val="0"/>
                          <w:marBottom w:val="0"/>
                          <w:divBdr>
                            <w:top w:val="none" w:sz="0" w:space="0" w:color="auto"/>
                            <w:left w:val="none" w:sz="0" w:space="0" w:color="auto"/>
                            <w:bottom w:val="none" w:sz="0" w:space="0" w:color="auto"/>
                            <w:right w:val="none" w:sz="0" w:space="0" w:color="auto"/>
                          </w:divBdr>
                          <w:divsChild>
                            <w:div w:id="3279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80401">
      <w:bodyDiv w:val="1"/>
      <w:marLeft w:val="0"/>
      <w:marRight w:val="0"/>
      <w:marTop w:val="0"/>
      <w:marBottom w:val="0"/>
      <w:divBdr>
        <w:top w:val="none" w:sz="0" w:space="0" w:color="auto"/>
        <w:left w:val="none" w:sz="0" w:space="0" w:color="auto"/>
        <w:bottom w:val="none" w:sz="0" w:space="0" w:color="auto"/>
        <w:right w:val="none" w:sz="0" w:space="0" w:color="auto"/>
      </w:divBdr>
    </w:div>
    <w:div w:id="2104378174">
      <w:bodyDiv w:val="1"/>
      <w:marLeft w:val="0"/>
      <w:marRight w:val="0"/>
      <w:marTop w:val="0"/>
      <w:marBottom w:val="0"/>
      <w:divBdr>
        <w:top w:val="none" w:sz="0" w:space="0" w:color="auto"/>
        <w:left w:val="none" w:sz="0" w:space="0" w:color="auto"/>
        <w:bottom w:val="none" w:sz="0" w:space="0" w:color="auto"/>
        <w:right w:val="none" w:sz="0" w:space="0" w:color="auto"/>
      </w:divBdr>
    </w:div>
    <w:div w:id="2126539828">
      <w:bodyDiv w:val="1"/>
      <w:marLeft w:val="0"/>
      <w:marRight w:val="0"/>
      <w:marTop w:val="0"/>
      <w:marBottom w:val="0"/>
      <w:divBdr>
        <w:top w:val="none" w:sz="0" w:space="0" w:color="auto"/>
        <w:left w:val="none" w:sz="0" w:space="0" w:color="auto"/>
        <w:bottom w:val="none" w:sz="0" w:space="0" w:color="auto"/>
        <w:right w:val="none" w:sz="0" w:space="0" w:color="auto"/>
      </w:divBdr>
      <w:divsChild>
        <w:div w:id="793795114">
          <w:marLeft w:val="0"/>
          <w:marRight w:val="0"/>
          <w:marTop w:val="0"/>
          <w:marBottom w:val="0"/>
          <w:divBdr>
            <w:top w:val="none" w:sz="0" w:space="0" w:color="auto"/>
            <w:left w:val="none" w:sz="0" w:space="0" w:color="auto"/>
            <w:bottom w:val="none" w:sz="0" w:space="0" w:color="auto"/>
            <w:right w:val="none" w:sz="0" w:space="0" w:color="auto"/>
          </w:divBdr>
          <w:divsChild>
            <w:div w:id="2069718481">
              <w:marLeft w:val="0"/>
              <w:marRight w:val="0"/>
              <w:marTop w:val="0"/>
              <w:marBottom w:val="0"/>
              <w:divBdr>
                <w:top w:val="none" w:sz="0" w:space="0" w:color="auto"/>
                <w:left w:val="none" w:sz="0" w:space="0" w:color="auto"/>
                <w:bottom w:val="none" w:sz="0" w:space="0" w:color="auto"/>
                <w:right w:val="none" w:sz="0" w:space="0" w:color="auto"/>
              </w:divBdr>
              <w:divsChild>
                <w:div w:id="370692665">
                  <w:marLeft w:val="0"/>
                  <w:marRight w:val="0"/>
                  <w:marTop w:val="0"/>
                  <w:marBottom w:val="0"/>
                  <w:divBdr>
                    <w:top w:val="none" w:sz="0" w:space="0" w:color="auto"/>
                    <w:left w:val="none" w:sz="0" w:space="0" w:color="auto"/>
                    <w:bottom w:val="none" w:sz="0" w:space="0" w:color="auto"/>
                    <w:right w:val="none" w:sz="0" w:space="0" w:color="auto"/>
                  </w:divBdr>
                  <w:divsChild>
                    <w:div w:id="20545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30393">
          <w:marLeft w:val="0"/>
          <w:marRight w:val="0"/>
          <w:marTop w:val="0"/>
          <w:marBottom w:val="0"/>
          <w:divBdr>
            <w:top w:val="none" w:sz="0" w:space="0" w:color="auto"/>
            <w:left w:val="none" w:sz="0" w:space="0" w:color="auto"/>
            <w:bottom w:val="none" w:sz="0" w:space="0" w:color="auto"/>
            <w:right w:val="none" w:sz="0" w:space="0" w:color="auto"/>
          </w:divBdr>
          <w:divsChild>
            <w:div w:id="1970817585">
              <w:marLeft w:val="0"/>
              <w:marRight w:val="0"/>
              <w:marTop w:val="0"/>
              <w:marBottom w:val="0"/>
              <w:divBdr>
                <w:top w:val="none" w:sz="0" w:space="0" w:color="auto"/>
                <w:left w:val="none" w:sz="0" w:space="0" w:color="auto"/>
                <w:bottom w:val="none" w:sz="0" w:space="0" w:color="auto"/>
                <w:right w:val="none" w:sz="0" w:space="0" w:color="auto"/>
              </w:divBdr>
              <w:divsChild>
                <w:div w:id="1334845182">
                  <w:marLeft w:val="0"/>
                  <w:marRight w:val="0"/>
                  <w:marTop w:val="0"/>
                  <w:marBottom w:val="0"/>
                  <w:divBdr>
                    <w:top w:val="none" w:sz="0" w:space="0" w:color="auto"/>
                    <w:left w:val="none" w:sz="0" w:space="0" w:color="auto"/>
                    <w:bottom w:val="none" w:sz="0" w:space="0" w:color="auto"/>
                    <w:right w:val="none" w:sz="0" w:space="0" w:color="auto"/>
                  </w:divBdr>
                  <w:divsChild>
                    <w:div w:id="4263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58031">
      <w:bodyDiv w:val="1"/>
      <w:marLeft w:val="0"/>
      <w:marRight w:val="0"/>
      <w:marTop w:val="0"/>
      <w:marBottom w:val="0"/>
      <w:divBdr>
        <w:top w:val="none" w:sz="0" w:space="0" w:color="auto"/>
        <w:left w:val="none" w:sz="0" w:space="0" w:color="auto"/>
        <w:bottom w:val="none" w:sz="0" w:space="0" w:color="auto"/>
        <w:right w:val="none" w:sz="0" w:space="0" w:color="auto"/>
      </w:divBdr>
      <w:divsChild>
        <w:div w:id="440491678">
          <w:marLeft w:val="0"/>
          <w:marRight w:val="0"/>
          <w:marTop w:val="0"/>
          <w:marBottom w:val="0"/>
          <w:divBdr>
            <w:top w:val="none" w:sz="0" w:space="0" w:color="auto"/>
            <w:left w:val="none" w:sz="0" w:space="0" w:color="auto"/>
            <w:bottom w:val="none" w:sz="0" w:space="0" w:color="auto"/>
            <w:right w:val="none" w:sz="0" w:space="0" w:color="auto"/>
          </w:divBdr>
        </w:div>
        <w:div w:id="1944995452">
          <w:marLeft w:val="0"/>
          <w:marRight w:val="0"/>
          <w:marTop w:val="0"/>
          <w:marBottom w:val="0"/>
          <w:divBdr>
            <w:top w:val="single" w:sz="2" w:space="0" w:color="D9D9E3"/>
            <w:left w:val="single" w:sz="2" w:space="0" w:color="D9D9E3"/>
            <w:bottom w:val="single" w:sz="2" w:space="0" w:color="D9D9E3"/>
            <w:right w:val="single" w:sz="2" w:space="0" w:color="D9D9E3"/>
          </w:divBdr>
          <w:divsChild>
            <w:div w:id="1162358326">
              <w:marLeft w:val="0"/>
              <w:marRight w:val="0"/>
              <w:marTop w:val="0"/>
              <w:marBottom w:val="0"/>
              <w:divBdr>
                <w:top w:val="single" w:sz="2" w:space="0" w:color="D9D9E3"/>
                <w:left w:val="single" w:sz="2" w:space="0" w:color="D9D9E3"/>
                <w:bottom w:val="single" w:sz="2" w:space="0" w:color="D9D9E3"/>
                <w:right w:val="single" w:sz="2" w:space="0" w:color="D9D9E3"/>
              </w:divBdr>
              <w:divsChild>
                <w:div w:id="336426107">
                  <w:marLeft w:val="0"/>
                  <w:marRight w:val="0"/>
                  <w:marTop w:val="0"/>
                  <w:marBottom w:val="0"/>
                  <w:divBdr>
                    <w:top w:val="single" w:sz="2" w:space="0" w:color="D9D9E3"/>
                    <w:left w:val="single" w:sz="2" w:space="0" w:color="D9D9E3"/>
                    <w:bottom w:val="single" w:sz="2" w:space="0" w:color="D9D9E3"/>
                    <w:right w:val="single" w:sz="2" w:space="0" w:color="D9D9E3"/>
                  </w:divBdr>
                  <w:divsChild>
                    <w:div w:id="220792202">
                      <w:marLeft w:val="0"/>
                      <w:marRight w:val="0"/>
                      <w:marTop w:val="0"/>
                      <w:marBottom w:val="0"/>
                      <w:divBdr>
                        <w:top w:val="single" w:sz="2" w:space="0" w:color="D9D9E3"/>
                        <w:left w:val="single" w:sz="2" w:space="0" w:color="D9D9E3"/>
                        <w:bottom w:val="single" w:sz="2" w:space="0" w:color="D9D9E3"/>
                        <w:right w:val="single" w:sz="2" w:space="0" w:color="D9D9E3"/>
                      </w:divBdr>
                      <w:divsChild>
                        <w:div w:id="1512572545">
                          <w:marLeft w:val="0"/>
                          <w:marRight w:val="0"/>
                          <w:marTop w:val="0"/>
                          <w:marBottom w:val="0"/>
                          <w:divBdr>
                            <w:top w:val="single" w:sz="2" w:space="0" w:color="D9D9E3"/>
                            <w:left w:val="single" w:sz="2" w:space="0" w:color="D9D9E3"/>
                            <w:bottom w:val="single" w:sz="2" w:space="0" w:color="D9D9E3"/>
                            <w:right w:val="single" w:sz="2" w:space="0" w:color="D9D9E3"/>
                          </w:divBdr>
                          <w:divsChild>
                            <w:div w:id="78522837">
                              <w:marLeft w:val="0"/>
                              <w:marRight w:val="0"/>
                              <w:marTop w:val="100"/>
                              <w:marBottom w:val="100"/>
                              <w:divBdr>
                                <w:top w:val="single" w:sz="2" w:space="0" w:color="D9D9E3"/>
                                <w:left w:val="single" w:sz="2" w:space="0" w:color="D9D9E3"/>
                                <w:bottom w:val="single" w:sz="2" w:space="0" w:color="D9D9E3"/>
                                <w:right w:val="single" w:sz="2" w:space="0" w:color="D9D9E3"/>
                              </w:divBdr>
                              <w:divsChild>
                                <w:div w:id="1998609431">
                                  <w:marLeft w:val="0"/>
                                  <w:marRight w:val="0"/>
                                  <w:marTop w:val="0"/>
                                  <w:marBottom w:val="0"/>
                                  <w:divBdr>
                                    <w:top w:val="single" w:sz="2" w:space="0" w:color="D9D9E3"/>
                                    <w:left w:val="single" w:sz="2" w:space="0" w:color="D9D9E3"/>
                                    <w:bottom w:val="single" w:sz="2" w:space="0" w:color="D9D9E3"/>
                                    <w:right w:val="single" w:sz="2" w:space="0" w:color="D9D9E3"/>
                                  </w:divBdr>
                                  <w:divsChild>
                                    <w:div w:id="2053724810">
                                      <w:marLeft w:val="0"/>
                                      <w:marRight w:val="0"/>
                                      <w:marTop w:val="0"/>
                                      <w:marBottom w:val="0"/>
                                      <w:divBdr>
                                        <w:top w:val="single" w:sz="2" w:space="0" w:color="D9D9E3"/>
                                        <w:left w:val="single" w:sz="2" w:space="0" w:color="D9D9E3"/>
                                        <w:bottom w:val="single" w:sz="2" w:space="0" w:color="D9D9E3"/>
                                        <w:right w:val="single" w:sz="2" w:space="0" w:color="D9D9E3"/>
                                      </w:divBdr>
                                      <w:divsChild>
                                        <w:div w:id="1634368694">
                                          <w:marLeft w:val="0"/>
                                          <w:marRight w:val="0"/>
                                          <w:marTop w:val="0"/>
                                          <w:marBottom w:val="0"/>
                                          <w:divBdr>
                                            <w:top w:val="single" w:sz="2" w:space="0" w:color="D9D9E3"/>
                                            <w:left w:val="single" w:sz="2" w:space="0" w:color="D9D9E3"/>
                                            <w:bottom w:val="single" w:sz="2" w:space="0" w:color="D9D9E3"/>
                                            <w:right w:val="single" w:sz="2" w:space="0" w:color="D9D9E3"/>
                                          </w:divBdr>
                                          <w:divsChild>
                                            <w:div w:id="1458141128">
                                              <w:marLeft w:val="0"/>
                                              <w:marRight w:val="0"/>
                                              <w:marTop w:val="0"/>
                                              <w:marBottom w:val="0"/>
                                              <w:divBdr>
                                                <w:top w:val="single" w:sz="2" w:space="0" w:color="D9D9E3"/>
                                                <w:left w:val="single" w:sz="2" w:space="0" w:color="D9D9E3"/>
                                                <w:bottom w:val="single" w:sz="2" w:space="0" w:color="D9D9E3"/>
                                                <w:right w:val="single" w:sz="2" w:space="0" w:color="D9D9E3"/>
                                              </w:divBdr>
                                              <w:divsChild>
                                                <w:div w:id="1463503255">
                                                  <w:marLeft w:val="0"/>
                                                  <w:marRight w:val="0"/>
                                                  <w:marTop w:val="0"/>
                                                  <w:marBottom w:val="0"/>
                                                  <w:divBdr>
                                                    <w:top w:val="single" w:sz="2" w:space="0" w:color="D9D9E3"/>
                                                    <w:left w:val="single" w:sz="2" w:space="0" w:color="D9D9E3"/>
                                                    <w:bottom w:val="single" w:sz="2" w:space="0" w:color="D9D9E3"/>
                                                    <w:right w:val="single" w:sz="2" w:space="0" w:color="D9D9E3"/>
                                                  </w:divBdr>
                                                  <w:divsChild>
                                                    <w:div w:id="17195530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132819424">
      <w:bodyDiv w:val="1"/>
      <w:marLeft w:val="0"/>
      <w:marRight w:val="0"/>
      <w:marTop w:val="0"/>
      <w:marBottom w:val="0"/>
      <w:divBdr>
        <w:top w:val="none" w:sz="0" w:space="0" w:color="auto"/>
        <w:left w:val="none" w:sz="0" w:space="0" w:color="auto"/>
        <w:bottom w:val="none" w:sz="0" w:space="0" w:color="auto"/>
        <w:right w:val="none" w:sz="0" w:space="0" w:color="auto"/>
      </w:divBdr>
    </w:div>
    <w:div w:id="2146578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Data" Target="diagrams/data1.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chart" Target="charts/chart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qiperiaqeduam.a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diagramLayout" Target="diagrams/layout1.xml"/><Relationship Id="rId22"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s://www.oecd.org/en/publications/public-administration-in-albania-2024_5577d117-en.html" TargetMode="External"/><Relationship Id="rId13" Type="http://schemas.openxmlformats.org/officeDocument/2006/relationships/hyperlink" Target="https://neighbourhood-enlargement.ec.europa.eu/document/download/a8eec3f9-b2ec-4cb1-8748-9058854dbc68_en?filename=Albania%20Report%202024.pdf" TargetMode="External"/><Relationship Id="rId18" Type="http://schemas.openxmlformats.org/officeDocument/2006/relationships/hyperlink" Target="https://www.sigmaweb.org/publications/Public-administration-in-Albania-2024.pdf" TargetMode="External"/><Relationship Id="rId3" Type="http://schemas.openxmlformats.org/officeDocument/2006/relationships/hyperlink" Target="https://neighbourhood-enlargement.ec.europa.eu/screening-report-albania_en" TargetMode="External"/><Relationship Id="rId21" Type="http://schemas.openxmlformats.org/officeDocument/2006/relationships/hyperlink" Target="https://www.app.gov.al/GetData/DownloadDoc?documentId=92c25399-7384-45d8-8358-613148b7165c" TargetMode="External"/><Relationship Id="rId7" Type="http://schemas.openxmlformats.org/officeDocument/2006/relationships/hyperlink" Target="https://neighbourhood-enlargement.ec.europa.eu/document/download/a8eec3f9-b2ec-4cb1-8748-9058854dbc68_en?filename=Albania%20Report%202024.pdf" TargetMode="External"/><Relationship Id="rId12" Type="http://schemas.openxmlformats.org/officeDocument/2006/relationships/hyperlink" Target="https://publicadministration.un.org/egovkb/en-us/Data/Country-Information/id/2-Albania/dataYear/2024" TargetMode="External"/><Relationship Id="rId17" Type="http://schemas.openxmlformats.org/officeDocument/2006/relationships/hyperlink" Target="https://countryeconomy.com/government/global-right-information-rating/albania" TargetMode="External"/><Relationship Id="rId2" Type="http://schemas.openxmlformats.org/officeDocument/2006/relationships/hyperlink" Target="https://neighbourhood-enlargement.ec.europa.eu/document/download/a8eec3f9-b2ec-4cb1-8748-9058854dbc68_en?filename=Albania%20Report%202024.pdf" TargetMode="External"/><Relationship Id="rId16" Type="http://schemas.openxmlformats.org/officeDocument/2006/relationships/hyperlink" Target="https://www.idp.al/wp-content/uploads/2024/02/Per-te-dhenat-e-hapura-dhe-riperdorimin-e-informacionit-te-sektorit-publik.pdf" TargetMode="External"/><Relationship Id="rId20" Type="http://schemas.openxmlformats.org/officeDocument/2006/relationships/hyperlink" Target="https://rm.coe.int/0900001680abeb87" TargetMode="External"/><Relationship Id="rId1" Type="http://schemas.openxmlformats.org/officeDocument/2006/relationships/hyperlink" Target="https://kryeministria.al/wp-content/uploads/2021/10/Programi_Qeverises_2021-2025.pdf" TargetMode="External"/><Relationship Id="rId6" Type="http://schemas.openxmlformats.org/officeDocument/2006/relationships/hyperlink" Target="https://neighbourhood-enlargement.ec.europa.eu/document/download/b83313ef-48c5-4bef-9f00-f5d66509572e_en?filename=AL%20Cluster_1%20Draft%20screening%20report_external%20version.pdf" TargetMode="External"/><Relationship Id="rId11" Type="http://schemas.openxmlformats.org/officeDocument/2006/relationships/hyperlink" Target="https://neighbourhood-enlargement.ec.europa.eu/document/download/a8eec3f9-b2ec-4cb1-8748-9058854dbc68_en?filename=Albania%20Report%202024.pdf" TargetMode="External"/><Relationship Id="rId5" Type="http://schemas.openxmlformats.org/officeDocument/2006/relationships/hyperlink" Target="http://www.sigmaweb.org" TargetMode="External"/><Relationship Id="rId15" Type="http://schemas.openxmlformats.org/officeDocument/2006/relationships/hyperlink" Target="https://commission.europa.eu/document/download/0154dce1-5026-45de-8b37-e3d56eff7925_en?filename=59_1_58088_coun_chap_albania_al.pdf" TargetMode="External"/><Relationship Id="rId23" Type="http://schemas.openxmlformats.org/officeDocument/2006/relationships/hyperlink" Target="https://www.worldbank.org/sq/news/press-release/2025/03/10/world-bank-approves-additional-support-to-advance-albania-s-public-service-transformation" TargetMode="External"/><Relationship Id="rId10" Type="http://schemas.openxmlformats.org/officeDocument/2006/relationships/hyperlink" Target="http://www.sigmaweb.org" TargetMode="External"/><Relationship Id="rId19" Type="http://schemas.openxmlformats.org/officeDocument/2006/relationships/hyperlink" Target="https://www.sigmaweb.org/publications/Public-administration-in-Albania-2024.pdf" TargetMode="External"/><Relationship Id="rId4" Type="http://schemas.openxmlformats.org/officeDocument/2006/relationships/hyperlink" Target="http://www.sigmaweb.org" TargetMode="External"/><Relationship Id="rId9" Type="http://schemas.openxmlformats.org/officeDocument/2006/relationships/hyperlink" Target="https://neighbourhood-enlargement.ec.europa.eu/document/do&#235;nload/a8eec3f9-b2ec-4cb1-8748-9058854dbc68_en?filename=Albania%20Report%202024.pdf" TargetMode="External"/><Relationship Id="rId14" Type="http://schemas.openxmlformats.org/officeDocument/2006/relationships/hyperlink" Target="https://www.sigmaweb.org/publications/Public-administration-in-Albania-2024.pdf" TargetMode="External"/><Relationship Id="rId22" Type="http://schemas.openxmlformats.org/officeDocument/2006/relationships/hyperlink" Target="https://qbz.gov.al/eli/vendim/2024/05/22/304/71f1dc00-5677-409d-a3a2-869041ab60d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kern="1200" spc="0" baseline="0">
                <a:solidFill>
                  <a:srgbClr val="000000">
                    <a:lumMod val="65000"/>
                    <a:lumOff val="35000"/>
                  </a:srgbClr>
                </a:solidFill>
              </a:rPr>
              <a:t>Statistika të trajnimeve për periudhën 2018 - 2024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q-AL"/>
        </a:p>
      </c:txPr>
    </c:title>
    <c:autoTitleDeleted val="0"/>
    <c:plotArea>
      <c:layout/>
      <c:barChart>
        <c:barDir val="col"/>
        <c:grouping val="clustered"/>
        <c:varyColors val="0"/>
        <c:ser>
          <c:idx val="0"/>
          <c:order val="0"/>
          <c:tx>
            <c:strRef>
              <c:f>Sheet2!$F$9</c:f>
              <c:strCache>
                <c:ptCount val="1"/>
                <c:pt idx="0">
                  <c:v>Dite trajnimi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q-A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Sheet2!$G$8:$M$8</c:f>
              <c:numCache>
                <c:formatCode>General</c:formatCode>
                <c:ptCount val="7"/>
                <c:pt idx="0">
                  <c:v>2018</c:v>
                </c:pt>
                <c:pt idx="1">
                  <c:v>2019</c:v>
                </c:pt>
                <c:pt idx="2">
                  <c:v>2020</c:v>
                </c:pt>
                <c:pt idx="3">
                  <c:v>2021</c:v>
                </c:pt>
                <c:pt idx="4">
                  <c:v>2022</c:v>
                </c:pt>
                <c:pt idx="5">
                  <c:v>2023</c:v>
                </c:pt>
                <c:pt idx="6">
                  <c:v>2024</c:v>
                </c:pt>
              </c:numCache>
            </c:numRef>
          </c:cat>
          <c:val>
            <c:numRef>
              <c:f>Sheet2!$G$9:$M$9</c:f>
              <c:numCache>
                <c:formatCode>General</c:formatCode>
                <c:ptCount val="7"/>
                <c:pt idx="0">
                  <c:v>726</c:v>
                </c:pt>
                <c:pt idx="1">
                  <c:v>949</c:v>
                </c:pt>
                <c:pt idx="2">
                  <c:v>564</c:v>
                </c:pt>
                <c:pt idx="4">
                  <c:v>665</c:v>
                </c:pt>
                <c:pt idx="5">
                  <c:v>642</c:v>
                </c:pt>
                <c:pt idx="6">
                  <c:v>648</c:v>
                </c:pt>
              </c:numCache>
            </c:numRef>
          </c:val>
          <c:extLst>
            <c:ext xmlns:c16="http://schemas.microsoft.com/office/drawing/2014/chart" uri="{C3380CC4-5D6E-409C-BE32-E72D297353CC}">
              <c16:uniqueId val="{00000000-6F4D-42DB-86E0-40EEF3C52C77}"/>
            </c:ext>
          </c:extLst>
        </c:ser>
        <c:ser>
          <c:idx val="1"/>
          <c:order val="1"/>
          <c:tx>
            <c:strRef>
              <c:f>Sheet2!$F$10</c:f>
              <c:strCache>
                <c:ptCount val="1"/>
                <c:pt idx="0">
                  <c:v>NC te trajnuar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q-A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Sheet2!$G$8:$M$8</c:f>
              <c:numCache>
                <c:formatCode>General</c:formatCode>
                <c:ptCount val="7"/>
                <c:pt idx="0">
                  <c:v>2018</c:v>
                </c:pt>
                <c:pt idx="1">
                  <c:v>2019</c:v>
                </c:pt>
                <c:pt idx="2">
                  <c:v>2020</c:v>
                </c:pt>
                <c:pt idx="3">
                  <c:v>2021</c:v>
                </c:pt>
                <c:pt idx="4">
                  <c:v>2022</c:v>
                </c:pt>
                <c:pt idx="5">
                  <c:v>2023</c:v>
                </c:pt>
                <c:pt idx="6">
                  <c:v>2024</c:v>
                </c:pt>
              </c:numCache>
            </c:numRef>
          </c:cat>
          <c:val>
            <c:numRef>
              <c:f>Sheet2!$G$10:$M$10</c:f>
              <c:numCache>
                <c:formatCode>General</c:formatCode>
                <c:ptCount val="7"/>
                <c:pt idx="0">
                  <c:v>5554</c:v>
                </c:pt>
                <c:pt idx="1">
                  <c:v>5120</c:v>
                </c:pt>
                <c:pt idx="2">
                  <c:v>4630</c:v>
                </c:pt>
                <c:pt idx="3">
                  <c:v>6728</c:v>
                </c:pt>
                <c:pt idx="4">
                  <c:v>5397</c:v>
                </c:pt>
                <c:pt idx="5">
                  <c:v>5678</c:v>
                </c:pt>
                <c:pt idx="6">
                  <c:v>5994</c:v>
                </c:pt>
              </c:numCache>
            </c:numRef>
          </c:val>
          <c:extLst>
            <c:ext xmlns:c16="http://schemas.microsoft.com/office/drawing/2014/chart" uri="{C3380CC4-5D6E-409C-BE32-E72D297353CC}">
              <c16:uniqueId val="{00000001-6F4D-42DB-86E0-40EEF3C52C77}"/>
            </c:ext>
          </c:extLst>
        </c:ser>
        <c:ser>
          <c:idx val="2"/>
          <c:order val="2"/>
          <c:tx>
            <c:strRef>
              <c:f>Sheet2!$F$11</c:f>
              <c:strCache>
                <c:ptCount val="1"/>
                <c:pt idx="0">
                  <c:v>NC* dite trajnimi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q-A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Sheet2!$G$8:$M$8</c:f>
              <c:numCache>
                <c:formatCode>General</c:formatCode>
                <c:ptCount val="7"/>
                <c:pt idx="0">
                  <c:v>2018</c:v>
                </c:pt>
                <c:pt idx="1">
                  <c:v>2019</c:v>
                </c:pt>
                <c:pt idx="2">
                  <c:v>2020</c:v>
                </c:pt>
                <c:pt idx="3">
                  <c:v>2021</c:v>
                </c:pt>
                <c:pt idx="4">
                  <c:v>2022</c:v>
                </c:pt>
                <c:pt idx="5">
                  <c:v>2023</c:v>
                </c:pt>
                <c:pt idx="6">
                  <c:v>2024</c:v>
                </c:pt>
              </c:numCache>
            </c:numRef>
          </c:cat>
          <c:val>
            <c:numRef>
              <c:f>Sheet2!$G$11:$M$11</c:f>
              <c:numCache>
                <c:formatCode>General</c:formatCode>
                <c:ptCount val="7"/>
                <c:pt idx="0">
                  <c:v>14932</c:v>
                </c:pt>
                <c:pt idx="1">
                  <c:v>16217</c:v>
                </c:pt>
                <c:pt idx="2">
                  <c:v>20106</c:v>
                </c:pt>
                <c:pt idx="3">
                  <c:v>36825</c:v>
                </c:pt>
                <c:pt idx="4">
                  <c:v>20780</c:v>
                </c:pt>
                <c:pt idx="5">
                  <c:v>11052</c:v>
                </c:pt>
                <c:pt idx="6">
                  <c:v>21919</c:v>
                </c:pt>
              </c:numCache>
            </c:numRef>
          </c:val>
          <c:extLst>
            <c:ext xmlns:c16="http://schemas.microsoft.com/office/drawing/2014/chart" uri="{C3380CC4-5D6E-409C-BE32-E72D297353CC}">
              <c16:uniqueId val="{00000002-6F4D-42DB-86E0-40EEF3C52C77}"/>
            </c:ext>
          </c:extLst>
        </c:ser>
        <c:dLbls>
          <c:dLblPos val="outEnd"/>
          <c:showLegendKey val="0"/>
          <c:showVal val="1"/>
          <c:showCatName val="0"/>
          <c:showSerName val="0"/>
          <c:showPercent val="0"/>
          <c:showBubbleSize val="0"/>
        </c:dLbls>
        <c:gapWidth val="219"/>
        <c:overlap val="-27"/>
        <c:axId val="1707284528"/>
        <c:axId val="1707304656"/>
      </c:barChart>
      <c:catAx>
        <c:axId val="170728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1707304656"/>
        <c:crosses val="autoZero"/>
        <c:auto val="1"/>
        <c:lblAlgn val="ctr"/>
        <c:lblOffset val="100"/>
        <c:noMultiLvlLbl val="0"/>
      </c:catAx>
      <c:valAx>
        <c:axId val="1707304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170728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q-A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691588785046728E-2"/>
          <c:y val="8.8675208877912665E-2"/>
          <c:w val="0.9543094496365524"/>
          <c:h val="0.67357890854274582"/>
        </c:manualLayout>
      </c:layout>
      <c:barChart>
        <c:barDir val="col"/>
        <c:grouping val="clustered"/>
        <c:varyColors val="0"/>
        <c:ser>
          <c:idx val="0"/>
          <c:order val="0"/>
          <c:tx>
            <c:strRef>
              <c:f>Sheet1!$E$4</c:f>
              <c:strCache>
                <c:ptCount val="1"/>
                <c:pt idx="0">
                  <c:v>Total</c:v>
                </c:pt>
              </c:strCache>
            </c:strRef>
          </c:tx>
          <c:spPr>
            <a:solidFill>
              <a:schemeClr val="accent1"/>
            </a:solidFill>
            <a:ln>
              <a:noFill/>
            </a:ln>
            <a:effectLst/>
          </c:spPr>
          <c:invertIfNegative val="0"/>
          <c:dLbls>
            <c:dLbl>
              <c:idx val="2"/>
              <c:layout>
                <c:manualLayout>
                  <c:x val="-5.8177493438320245E-2"/>
                  <c:y val="9.7759674134419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C4-4805-A4F6-BE00746F64A5}"/>
                </c:ext>
              </c:extLst>
            </c:dLbl>
            <c:dLbl>
              <c:idx val="3"/>
              <c:layout>
                <c:manualLayout>
                  <c:x val="-1.6614665354330708E-2"/>
                  <c:y val="1.62932790224032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C4-4805-A4F6-BE00746F64A5}"/>
                </c:ext>
              </c:extLst>
            </c:dLbl>
            <c:dLbl>
              <c:idx val="4"/>
              <c:layout>
                <c:manualLayout>
                  <c:x val="-2.0768431983385408E-2"/>
                  <c:y val="-2.57028047426735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C4-4805-A4F6-BE00746F64A5}"/>
                </c:ext>
              </c:extLst>
            </c:dLbl>
            <c:dLbl>
              <c:idx val="5"/>
              <c:layout>
                <c:manualLayout>
                  <c:x val="-1.038421599169277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C4-4805-A4F6-BE00746F64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q-A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Sheet1!$D$5:$D$10</c:f>
              <c:strCache>
                <c:ptCount val="6"/>
                <c:pt idx="0">
                  <c:v>Platforma</c:v>
                </c:pt>
                <c:pt idx="1">
                  <c:v>Ankesa të qytetarëve</c:v>
                </c:pt>
                <c:pt idx="2">
                  <c:v>Nivel qëndror</c:v>
                </c:pt>
                <c:pt idx="3">
                  <c:v>Nivel vendor</c:v>
                </c:pt>
                <c:pt idx="4">
                  <c:v>Ankesa të biznesit</c:v>
                </c:pt>
                <c:pt idx="5">
                  <c:v>Kërkesa të biznesit</c:v>
                </c:pt>
              </c:strCache>
            </c:strRef>
          </c:cat>
          <c:val>
            <c:numRef>
              <c:f>Sheet1!$E$5:$E$10</c:f>
              <c:numCache>
                <c:formatCode>_(* #,##0_);_(* \(#,##0\);_(* "-"??_);_(@_)</c:formatCode>
                <c:ptCount val="6"/>
                <c:pt idx="0">
                  <c:v>168619</c:v>
                </c:pt>
                <c:pt idx="1">
                  <c:v>13589</c:v>
                </c:pt>
                <c:pt idx="2">
                  <c:v>101046</c:v>
                </c:pt>
                <c:pt idx="3">
                  <c:v>20497</c:v>
                </c:pt>
                <c:pt idx="4">
                  <c:v>3701</c:v>
                </c:pt>
                <c:pt idx="5">
                  <c:v>6343</c:v>
                </c:pt>
              </c:numCache>
            </c:numRef>
          </c:val>
          <c:extLst>
            <c:ext xmlns:c16="http://schemas.microsoft.com/office/drawing/2014/chart" uri="{C3380CC4-5D6E-409C-BE32-E72D297353CC}">
              <c16:uniqueId val="{00000004-44C4-4805-A4F6-BE00746F64A5}"/>
            </c:ext>
          </c:extLst>
        </c:ser>
        <c:ser>
          <c:idx val="1"/>
          <c:order val="1"/>
          <c:tx>
            <c:strRef>
              <c:f>Sheet1!$F$4</c:f>
              <c:strCache>
                <c:ptCount val="1"/>
                <c:pt idx="0">
                  <c:v>Të plotësuara</c:v>
                </c:pt>
              </c:strCache>
            </c:strRef>
          </c:tx>
          <c:spPr>
            <a:solidFill>
              <a:schemeClr val="accent2"/>
            </a:solidFill>
            <a:ln>
              <a:noFill/>
            </a:ln>
            <a:effectLst/>
          </c:spPr>
          <c:invertIfNegative val="0"/>
          <c:dLbls>
            <c:dLbl>
              <c:idx val="2"/>
              <c:layout>
                <c:manualLayout>
                  <c:x val="-4.166666666666666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4C4-4805-A4F6-BE00746F64A5}"/>
                </c:ext>
              </c:extLst>
            </c:dLbl>
            <c:dLbl>
              <c:idx val="3"/>
              <c:layout>
                <c:manualLayout>
                  <c:x val="6.2305295950155761E-3"/>
                  <c:y val="-0.1028112189706937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C4-4805-A4F6-BE00746F64A5}"/>
                </c:ext>
              </c:extLst>
            </c:dLbl>
            <c:dLbl>
              <c:idx val="5"/>
              <c:layout>
                <c:manualLayout>
                  <c:x val="-1.5277601289623992E-16"/>
                  <c:y val="-4.07331975560081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4C4-4805-A4F6-BE00746F64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q-A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Sheet1!$D$5:$D$10</c:f>
              <c:strCache>
                <c:ptCount val="6"/>
                <c:pt idx="0">
                  <c:v>Platforma</c:v>
                </c:pt>
                <c:pt idx="1">
                  <c:v>Ankesa të qytetarëve</c:v>
                </c:pt>
                <c:pt idx="2">
                  <c:v>Nivel qëndror</c:v>
                </c:pt>
                <c:pt idx="3">
                  <c:v>Nivel vendor</c:v>
                </c:pt>
                <c:pt idx="4">
                  <c:v>Ankesa të biznesit</c:v>
                </c:pt>
                <c:pt idx="5">
                  <c:v>Kërkesa të biznesit</c:v>
                </c:pt>
              </c:strCache>
            </c:strRef>
          </c:cat>
          <c:val>
            <c:numRef>
              <c:f>Sheet1!$F$5:$F$10</c:f>
              <c:numCache>
                <c:formatCode>General</c:formatCode>
                <c:ptCount val="6"/>
                <c:pt idx="2" formatCode="_(* #,##0_);_(* \(#,##0\);_(* &quot;-&quot;??_);_(@_)">
                  <c:v>97769</c:v>
                </c:pt>
                <c:pt idx="3" formatCode="_(* #,##0_);_(* \(#,##0\);_(* &quot;-&quot;??_);_(@_)">
                  <c:v>20241</c:v>
                </c:pt>
                <c:pt idx="4" formatCode="_(* #,##0_);_(* \(#,##0\);_(* &quot;-&quot;??_);_(@_)">
                  <c:v>3615</c:v>
                </c:pt>
                <c:pt idx="5" formatCode="_(* #,##0_);_(* \(#,##0\);_(* &quot;-&quot;??_);_(@_)">
                  <c:v>6284</c:v>
                </c:pt>
              </c:numCache>
            </c:numRef>
          </c:val>
          <c:extLst>
            <c:ext xmlns:c16="http://schemas.microsoft.com/office/drawing/2014/chart" uri="{C3380CC4-5D6E-409C-BE32-E72D297353CC}">
              <c16:uniqueId val="{00000006-44C4-4805-A4F6-BE00746F64A5}"/>
            </c:ext>
          </c:extLst>
        </c:ser>
        <c:ser>
          <c:idx val="2"/>
          <c:order val="2"/>
          <c:tx>
            <c:strRef>
              <c:f>Sheet1!$G$4</c:f>
              <c:strCache>
                <c:ptCount val="1"/>
                <c:pt idx="0">
                  <c:v>Të zgjidhura</c:v>
                </c:pt>
              </c:strCache>
            </c:strRef>
          </c:tx>
          <c:spPr>
            <a:solidFill>
              <a:schemeClr val="accent3"/>
            </a:solidFill>
            <a:ln>
              <a:noFill/>
            </a:ln>
            <a:effectLst/>
          </c:spPr>
          <c:invertIfNegative val="0"/>
          <c:dLbls>
            <c:dLbl>
              <c:idx val="2"/>
              <c:layout>
                <c:manualLayout>
                  <c:x val="1.2461059190031076E-2"/>
                  <c:y val="-5.890158043254319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C4-4805-A4F6-BE00746F64A5}"/>
                </c:ext>
              </c:extLst>
            </c:dLbl>
            <c:dLbl>
              <c:idx val="4"/>
              <c:layout>
                <c:manualLayout>
                  <c:x val="1.8691588785046728E-2"/>
                  <c:y val="-1.92771035570050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4C4-4805-A4F6-BE00746F64A5}"/>
                </c:ext>
              </c:extLst>
            </c:dLbl>
            <c:dLbl>
              <c:idx val="5"/>
              <c:layout>
                <c:manualLayout>
                  <c:x val="2.4922118380062305E-2"/>
                  <c:y val="-1.285140237133683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C4-4805-A4F6-BE00746F64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q-A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Sheet1!$D$5:$D$10</c:f>
              <c:strCache>
                <c:ptCount val="6"/>
                <c:pt idx="0">
                  <c:v>Platforma</c:v>
                </c:pt>
                <c:pt idx="1">
                  <c:v>Ankesa të qytetarëve</c:v>
                </c:pt>
                <c:pt idx="2">
                  <c:v>Nivel qëndror</c:v>
                </c:pt>
                <c:pt idx="3">
                  <c:v>Nivel vendor</c:v>
                </c:pt>
                <c:pt idx="4">
                  <c:v>Ankesa të biznesit</c:v>
                </c:pt>
                <c:pt idx="5">
                  <c:v>Kërkesa të biznesit</c:v>
                </c:pt>
              </c:strCache>
            </c:strRef>
          </c:cat>
          <c:val>
            <c:numRef>
              <c:f>Sheet1!$G$5:$G$10</c:f>
              <c:numCache>
                <c:formatCode>General</c:formatCode>
                <c:ptCount val="6"/>
                <c:pt idx="2" formatCode="_(* #,##0_);_(* \(#,##0\);_(* &quot;-&quot;??_);_(@_)">
                  <c:v>48904</c:v>
                </c:pt>
                <c:pt idx="3" formatCode="_(* #,##0_);_(* \(#,##0\);_(* &quot;-&quot;??_);_(@_)">
                  <c:v>7322</c:v>
                </c:pt>
                <c:pt idx="4" formatCode="_(* #,##0_);_(* \(#,##0\);_(* &quot;-&quot;??_);_(@_)">
                  <c:v>1400</c:v>
                </c:pt>
                <c:pt idx="5" formatCode="_(* #,##0_);_(* \(#,##0\);_(* &quot;-&quot;??_);_(@_)">
                  <c:v>2637</c:v>
                </c:pt>
              </c:numCache>
            </c:numRef>
          </c:val>
          <c:extLst>
            <c:ext xmlns:c16="http://schemas.microsoft.com/office/drawing/2014/chart" uri="{C3380CC4-5D6E-409C-BE32-E72D297353CC}">
              <c16:uniqueId val="{0000000A-44C4-4805-A4F6-BE00746F64A5}"/>
            </c:ext>
          </c:extLst>
        </c:ser>
        <c:dLbls>
          <c:dLblPos val="outEnd"/>
          <c:showLegendKey val="0"/>
          <c:showVal val="1"/>
          <c:showCatName val="0"/>
          <c:showSerName val="0"/>
          <c:showPercent val="0"/>
          <c:showBubbleSize val="0"/>
        </c:dLbls>
        <c:gapWidth val="219"/>
        <c:overlap val="-27"/>
        <c:axId val="1707290512"/>
        <c:axId val="1707286704"/>
      </c:barChart>
      <c:catAx>
        <c:axId val="170729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crossAx val="1707286704"/>
        <c:crosses val="autoZero"/>
        <c:auto val="1"/>
        <c:lblAlgn val="ctr"/>
        <c:lblOffset val="100"/>
        <c:noMultiLvlLbl val="0"/>
      </c:catAx>
      <c:valAx>
        <c:axId val="1707286704"/>
        <c:scaling>
          <c:orientation val="minMax"/>
        </c:scaling>
        <c:delete val="1"/>
        <c:axPos val="l"/>
        <c:numFmt formatCode="_(* #,##0_);_(* \(#,##0\);_(* &quot;-&quot;??_);_(@_)" sourceLinked="1"/>
        <c:majorTickMark val="none"/>
        <c:minorTickMark val="none"/>
        <c:tickLblPos val="nextTo"/>
        <c:crossAx val="1707290512"/>
        <c:crosses val="autoZero"/>
        <c:crossBetween val="between"/>
      </c:valAx>
      <c:spPr>
        <a:noFill/>
        <a:ln>
          <a:noFill/>
        </a:ln>
        <a:effectLst/>
      </c:spPr>
    </c:plotArea>
    <c:legend>
      <c:legendPos val="b"/>
      <c:layout>
        <c:manualLayout>
          <c:xMode val="edge"/>
          <c:yMode val="edge"/>
          <c:x val="0.59012433541961096"/>
          <c:y val="8.2798723479320671E-2"/>
          <c:w val="0.36198701123897975"/>
          <c:h val="0.173607453854418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q-A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q-A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B6371E-FF59-4AF0-B28F-673567A287B6}" type="doc">
      <dgm:prSet loTypeId="urn:microsoft.com/office/officeart/2005/8/layout/radial6" loCatId="relationship" qsTypeId="urn:microsoft.com/office/officeart/2005/8/quickstyle/3d1" qsCatId="3D" csTypeId="urn:microsoft.com/office/officeart/2005/8/colors/accent1_2" csCatId="accent1" phldr="1"/>
      <dgm:spPr/>
      <dgm:t>
        <a:bodyPr/>
        <a:lstStyle/>
        <a:p>
          <a:endParaRPr lang="en-US"/>
        </a:p>
      </dgm:t>
    </dgm:pt>
    <dgm:pt modelId="{A41690D6-9E36-4B37-8C2C-43FEDE1FD23B}">
      <dgm:prSet phldrT="[Text]" custT="1"/>
      <dgm:spPr>
        <a:xfrm>
          <a:off x="1909919" y="1033531"/>
          <a:ext cx="1984061" cy="1963917"/>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US" sz="1800" b="1">
              <a:solidFill>
                <a:sysClr val="window" lastClr="FFFFFF"/>
              </a:solidFill>
              <a:latin typeface="Times New Roman" pitchFamily="18" charset="0"/>
              <a:ea typeface="+mn-ea"/>
              <a:cs typeface="Times New Roman" pitchFamily="18" charset="0"/>
            </a:rPr>
            <a:t>SNRAP</a:t>
          </a:r>
        </a:p>
        <a:p>
          <a:pPr>
            <a:buNone/>
          </a:pPr>
          <a:r>
            <a:rPr lang="en-US" sz="1800" b="1">
              <a:solidFill>
                <a:sysClr val="window" lastClr="FFFFFF"/>
              </a:solidFill>
              <a:latin typeface="Times New Roman" pitchFamily="18" charset="0"/>
              <a:ea typeface="+mn-ea"/>
              <a:cs typeface="Times New Roman" pitchFamily="18" charset="0"/>
            </a:rPr>
            <a:t>2025-2030</a:t>
          </a:r>
        </a:p>
      </dgm:t>
    </dgm:pt>
    <dgm:pt modelId="{CF09B326-53DE-4963-88D6-A114BEEB2A7F}" type="parTrans" cxnId="{C35C7471-B384-4F7C-AEE8-E2B39768F0E0}">
      <dgm:prSet/>
      <dgm:spPr/>
      <dgm:t>
        <a:bodyPr/>
        <a:lstStyle/>
        <a:p>
          <a:endParaRPr lang="en-US">
            <a:latin typeface="Times New Roman" pitchFamily="18" charset="0"/>
            <a:cs typeface="Times New Roman" pitchFamily="18" charset="0"/>
          </a:endParaRPr>
        </a:p>
      </dgm:t>
    </dgm:pt>
    <dgm:pt modelId="{F1A2E0BB-0331-44B4-9DC0-5F7B9F277794}" type="sibTrans" cxnId="{C35C7471-B384-4F7C-AEE8-E2B39768F0E0}">
      <dgm:prSet/>
      <dgm:spPr/>
      <dgm:t>
        <a:bodyPr/>
        <a:lstStyle/>
        <a:p>
          <a:endParaRPr lang="en-US">
            <a:latin typeface="Times New Roman" pitchFamily="18" charset="0"/>
            <a:cs typeface="Times New Roman" pitchFamily="18" charset="0"/>
          </a:endParaRPr>
        </a:p>
      </dgm:t>
    </dgm:pt>
    <dgm:pt modelId="{B6C385D3-4E07-4FB9-A96A-14CD2E714B41}">
      <dgm:prSet phldrT="[Text]" custT="1"/>
      <dgm:spPr>
        <a:xfrm>
          <a:off x="2574630" y="354"/>
          <a:ext cx="654639" cy="654639"/>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US" sz="800" b="1">
              <a:solidFill>
                <a:sysClr val="window" lastClr="FFFFFF"/>
              </a:solidFill>
              <a:latin typeface="Times New Roman" pitchFamily="18" charset="0"/>
              <a:ea typeface="+mn-ea"/>
              <a:cs typeface="Times New Roman" pitchFamily="18" charset="0"/>
            </a:rPr>
            <a:t>Ministritë</a:t>
          </a:r>
          <a:r>
            <a:rPr lang="en-US" sz="700">
              <a:solidFill>
                <a:sysClr val="window" lastClr="FFFFFF"/>
              </a:solidFill>
              <a:latin typeface="Times New Roman" pitchFamily="18" charset="0"/>
              <a:ea typeface="+mn-ea"/>
              <a:cs typeface="Times New Roman" pitchFamily="18" charset="0"/>
            </a:rPr>
            <a:t> </a:t>
          </a:r>
          <a:r>
            <a:rPr lang="en-US" sz="800" b="1">
              <a:solidFill>
                <a:sysClr val="window" lastClr="FFFFFF"/>
              </a:solidFill>
              <a:latin typeface="Times New Roman" pitchFamily="18" charset="0"/>
              <a:ea typeface="+mn-ea"/>
              <a:cs typeface="Times New Roman" pitchFamily="18" charset="0"/>
            </a:rPr>
            <a:t>e Linjës</a:t>
          </a:r>
        </a:p>
      </dgm:t>
    </dgm:pt>
    <dgm:pt modelId="{8A2917D8-4A21-4963-8D97-3DB8B192DEFC}" type="parTrans" cxnId="{23146274-EF9F-4FD0-874E-84423BB73AF6}">
      <dgm:prSet/>
      <dgm:spPr/>
      <dgm:t>
        <a:bodyPr/>
        <a:lstStyle/>
        <a:p>
          <a:endParaRPr lang="en-US">
            <a:latin typeface="Times New Roman" pitchFamily="18" charset="0"/>
            <a:cs typeface="Times New Roman" pitchFamily="18" charset="0"/>
          </a:endParaRPr>
        </a:p>
      </dgm:t>
    </dgm:pt>
    <dgm:pt modelId="{65470D99-739A-4C7E-8F54-B25DB655D3E1}" type="sibTrans" cxnId="{23146274-EF9F-4FD0-874E-84423BB73AF6}">
      <dgm:prSet/>
      <dgm:spPr>
        <a:xfrm>
          <a:off x="1190566" y="304106"/>
          <a:ext cx="3422766" cy="3422766"/>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n-US">
            <a:latin typeface="Times New Roman" pitchFamily="18" charset="0"/>
            <a:cs typeface="Times New Roman" pitchFamily="18" charset="0"/>
          </a:endParaRPr>
        </a:p>
      </dgm:t>
    </dgm:pt>
    <dgm:pt modelId="{9B0423E0-CFE2-481D-892D-818BFAA1F2F4}">
      <dgm:prSet phldrT="[Text]" custT="1"/>
      <dgm:spPr>
        <a:xfrm>
          <a:off x="969422" y="2209734"/>
          <a:ext cx="654639" cy="654639"/>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US" sz="800" b="1">
              <a:solidFill>
                <a:sysClr val="window" lastClr="FFFFFF"/>
              </a:solidFill>
              <a:latin typeface="Times New Roman" pitchFamily="18" charset="0"/>
              <a:ea typeface="+mn-ea"/>
              <a:cs typeface="Times New Roman" pitchFamily="18" charset="0"/>
            </a:rPr>
            <a:t>SASPAC</a:t>
          </a:r>
        </a:p>
      </dgm:t>
    </dgm:pt>
    <dgm:pt modelId="{CBC7D6A5-B0F1-4F80-90C0-19660B6A6BBD}" type="parTrans" cxnId="{DC81ED65-1855-4B71-B539-06EE6D25445A}">
      <dgm:prSet/>
      <dgm:spPr/>
      <dgm:t>
        <a:bodyPr/>
        <a:lstStyle/>
        <a:p>
          <a:endParaRPr lang="en-US">
            <a:latin typeface="Times New Roman" pitchFamily="18" charset="0"/>
            <a:cs typeface="Times New Roman" pitchFamily="18" charset="0"/>
          </a:endParaRPr>
        </a:p>
      </dgm:t>
    </dgm:pt>
    <dgm:pt modelId="{DE7E3D7A-0921-4B2A-95EC-D73FA9FF678A}" type="sibTrans" cxnId="{DC81ED65-1855-4B71-B539-06EE6D25445A}">
      <dgm:prSet/>
      <dgm:spPr>
        <a:xfrm>
          <a:off x="1190566" y="304106"/>
          <a:ext cx="3422766" cy="3422766"/>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n-US">
            <a:latin typeface="Times New Roman" pitchFamily="18" charset="0"/>
            <a:cs typeface="Times New Roman" pitchFamily="18" charset="0"/>
          </a:endParaRPr>
        </a:p>
      </dgm:t>
    </dgm:pt>
    <dgm:pt modelId="{43CB7B45-EB9B-4455-861E-96EABC4F447D}">
      <dgm:prSet phldrT="[Text]" custT="1"/>
      <dgm:spPr>
        <a:xfrm>
          <a:off x="969422" y="1166606"/>
          <a:ext cx="654639" cy="654639"/>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US" sz="800" b="1">
              <a:solidFill>
                <a:sysClr val="window" lastClr="FFFFFF"/>
              </a:solidFill>
              <a:latin typeface="Times New Roman" pitchFamily="18" charset="0"/>
              <a:ea typeface="+mn-ea"/>
              <a:cs typeface="Times New Roman" pitchFamily="18" charset="0"/>
            </a:rPr>
            <a:t>KDIMDP</a:t>
          </a:r>
        </a:p>
      </dgm:t>
    </dgm:pt>
    <dgm:pt modelId="{49113398-0366-48D6-AA4F-F9DBC5A757B7}" type="parTrans" cxnId="{3A5CD2E9-2268-4497-B59F-C9A54A8C7236}">
      <dgm:prSet/>
      <dgm:spPr/>
      <dgm:t>
        <a:bodyPr/>
        <a:lstStyle/>
        <a:p>
          <a:endParaRPr lang="en-US">
            <a:latin typeface="Times New Roman" pitchFamily="18" charset="0"/>
            <a:cs typeface="Times New Roman" pitchFamily="18" charset="0"/>
          </a:endParaRPr>
        </a:p>
      </dgm:t>
    </dgm:pt>
    <dgm:pt modelId="{391C4480-88C5-4A93-A361-A3C383D8D10B}" type="sibTrans" cxnId="{3A5CD2E9-2268-4497-B59F-C9A54A8C7236}">
      <dgm:prSet/>
      <dgm:spPr>
        <a:xfrm>
          <a:off x="1190566" y="304106"/>
          <a:ext cx="3422766" cy="3422766"/>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n-US">
            <a:latin typeface="Times New Roman" pitchFamily="18" charset="0"/>
            <a:cs typeface="Times New Roman" pitchFamily="18" charset="0"/>
          </a:endParaRPr>
        </a:p>
      </dgm:t>
    </dgm:pt>
    <dgm:pt modelId="{74CB76AD-C27F-47FB-881F-A58CAA4B70F8}">
      <dgm:prSet phldrT="[Text]" custT="1"/>
      <dgm:spPr>
        <a:xfrm>
          <a:off x="1582557" y="322698"/>
          <a:ext cx="654639" cy="654639"/>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US" sz="1000" b="1">
              <a:solidFill>
                <a:sysClr val="window" lastClr="FFFFFF"/>
              </a:solidFill>
              <a:latin typeface="Times New Roman" pitchFamily="18" charset="0"/>
              <a:ea typeface="+mn-ea"/>
              <a:cs typeface="Times New Roman" pitchFamily="18" charset="0"/>
            </a:rPr>
            <a:t>DAP</a:t>
          </a:r>
        </a:p>
      </dgm:t>
    </dgm:pt>
    <dgm:pt modelId="{0759AE2B-7C4A-4778-A4CB-24B7357FBCDA}" type="parTrans" cxnId="{1D079D9A-0CA5-49C5-8EF6-890BCE5F108C}">
      <dgm:prSet/>
      <dgm:spPr/>
      <dgm:t>
        <a:bodyPr/>
        <a:lstStyle/>
        <a:p>
          <a:endParaRPr lang="en-US">
            <a:latin typeface="Times New Roman" pitchFamily="18" charset="0"/>
            <a:cs typeface="Times New Roman" pitchFamily="18" charset="0"/>
          </a:endParaRPr>
        </a:p>
      </dgm:t>
    </dgm:pt>
    <dgm:pt modelId="{F5165CEA-880F-43CC-9006-3B177DE095D8}" type="sibTrans" cxnId="{1D079D9A-0CA5-49C5-8EF6-890BCE5F108C}">
      <dgm:prSet/>
      <dgm:spPr>
        <a:xfrm>
          <a:off x="1190566" y="304106"/>
          <a:ext cx="3422766" cy="3422766"/>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n-US">
            <a:latin typeface="Times New Roman" pitchFamily="18" charset="0"/>
            <a:cs typeface="Times New Roman" pitchFamily="18" charset="0"/>
          </a:endParaRPr>
        </a:p>
      </dgm:t>
    </dgm:pt>
    <dgm:pt modelId="{D543FDEE-C9D3-4FBA-89A2-FE5230FCFEDE}">
      <dgm:prSet phldrT="[Text]"/>
      <dgm:spPr>
        <a:xfrm>
          <a:off x="2574630" y="3375986"/>
          <a:ext cx="654639" cy="654639"/>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US" b="1">
              <a:solidFill>
                <a:sysClr val="window" lastClr="FFFFFF"/>
              </a:solidFill>
              <a:latin typeface="Times New Roman" pitchFamily="18" charset="0"/>
              <a:ea typeface="+mn-ea"/>
              <a:cs typeface="Times New Roman" pitchFamily="18" charset="0"/>
            </a:rPr>
            <a:t>ADB</a:t>
          </a:r>
        </a:p>
      </dgm:t>
    </dgm:pt>
    <dgm:pt modelId="{A8C101FC-1691-4F15-9A9C-8A5B7E9D8373}" type="parTrans" cxnId="{E35FAA4B-2E9B-4531-B78F-A16319FE8130}">
      <dgm:prSet/>
      <dgm:spPr/>
      <dgm:t>
        <a:bodyPr/>
        <a:lstStyle/>
        <a:p>
          <a:endParaRPr lang="en-US">
            <a:latin typeface="Times New Roman" pitchFamily="18" charset="0"/>
            <a:cs typeface="Times New Roman" pitchFamily="18" charset="0"/>
          </a:endParaRPr>
        </a:p>
      </dgm:t>
    </dgm:pt>
    <dgm:pt modelId="{3D5D800C-4C27-4B09-B8B1-3704DFC29225}" type="sibTrans" cxnId="{E35FAA4B-2E9B-4531-B78F-A16319FE8130}">
      <dgm:prSet/>
      <dgm:spPr>
        <a:xfrm>
          <a:off x="1190566" y="304106"/>
          <a:ext cx="3422766" cy="3422766"/>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n-US">
            <a:latin typeface="Times New Roman" pitchFamily="18" charset="0"/>
            <a:cs typeface="Times New Roman" pitchFamily="18" charset="0"/>
          </a:endParaRPr>
        </a:p>
      </dgm:t>
    </dgm:pt>
    <dgm:pt modelId="{E3FDE667-48B1-46B3-B4E4-79296C27DDA7}">
      <dgm:prSet phldrT="[Text]" custT="1"/>
      <dgm:spPr>
        <a:xfrm>
          <a:off x="4179838" y="1166606"/>
          <a:ext cx="654639" cy="654639"/>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US" sz="900" b="1">
              <a:solidFill>
                <a:sysClr val="window" lastClr="FFFFFF"/>
              </a:solidFill>
              <a:latin typeface="Times New Roman" pitchFamily="18" charset="0"/>
              <a:ea typeface="+mn-ea"/>
              <a:cs typeface="Times New Roman" pitchFamily="18" charset="0"/>
            </a:rPr>
            <a:t>Kryeministria</a:t>
          </a:r>
        </a:p>
      </dgm:t>
    </dgm:pt>
    <dgm:pt modelId="{7980E31E-A3E7-4132-B967-AB5180507B02}" type="parTrans" cxnId="{AE77CC18-9F1A-4D8D-A0B7-376548D403D5}">
      <dgm:prSet/>
      <dgm:spPr/>
      <dgm:t>
        <a:bodyPr/>
        <a:lstStyle/>
        <a:p>
          <a:endParaRPr lang="en-US">
            <a:latin typeface="Times New Roman" pitchFamily="18" charset="0"/>
            <a:cs typeface="Times New Roman" pitchFamily="18" charset="0"/>
          </a:endParaRPr>
        </a:p>
      </dgm:t>
    </dgm:pt>
    <dgm:pt modelId="{FA62D1C7-F82D-49B3-AB19-CB13255FE62D}" type="sibTrans" cxnId="{AE77CC18-9F1A-4D8D-A0B7-376548D403D5}">
      <dgm:prSet/>
      <dgm:spPr>
        <a:xfrm>
          <a:off x="1190566" y="304106"/>
          <a:ext cx="3422766" cy="3422766"/>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n-US">
            <a:latin typeface="Times New Roman" pitchFamily="18" charset="0"/>
            <a:cs typeface="Times New Roman" pitchFamily="18" charset="0"/>
          </a:endParaRPr>
        </a:p>
      </dgm:t>
    </dgm:pt>
    <dgm:pt modelId="{5DFFDD57-32EF-438C-B987-10F2953D5FCF}">
      <dgm:prSet phldrT="[Text]" custT="1"/>
      <dgm:spPr>
        <a:xfrm>
          <a:off x="3566703" y="322698"/>
          <a:ext cx="654639" cy="654639"/>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US" sz="1000" b="1">
              <a:solidFill>
                <a:sysClr val="window" lastClr="FFFFFF"/>
              </a:solidFill>
              <a:latin typeface="Times New Roman" pitchFamily="18" charset="0"/>
              <a:ea typeface="+mn-ea"/>
              <a:cs typeface="Times New Roman" pitchFamily="18" charset="0"/>
            </a:rPr>
            <a:t>ASPA</a:t>
          </a:r>
        </a:p>
      </dgm:t>
    </dgm:pt>
    <dgm:pt modelId="{EEAAF0D0-F6F6-48F0-887C-174306AB9086}" type="parTrans" cxnId="{EF4EA4FB-779C-4485-A874-F514D0BFDB4B}">
      <dgm:prSet/>
      <dgm:spPr/>
      <dgm:t>
        <a:bodyPr/>
        <a:lstStyle/>
        <a:p>
          <a:endParaRPr lang="en-US">
            <a:latin typeface="Times New Roman" pitchFamily="18" charset="0"/>
            <a:cs typeface="Times New Roman" pitchFamily="18" charset="0"/>
          </a:endParaRPr>
        </a:p>
      </dgm:t>
    </dgm:pt>
    <dgm:pt modelId="{5E06344F-BAE1-4508-8A5E-50EB75518311}" type="sibTrans" cxnId="{EF4EA4FB-779C-4485-A874-F514D0BFDB4B}">
      <dgm:prSet/>
      <dgm:spPr>
        <a:xfrm>
          <a:off x="1190566" y="304106"/>
          <a:ext cx="3422766" cy="3422766"/>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n-US">
            <a:latin typeface="Times New Roman" pitchFamily="18" charset="0"/>
            <a:cs typeface="Times New Roman" pitchFamily="18" charset="0"/>
          </a:endParaRPr>
        </a:p>
      </dgm:t>
    </dgm:pt>
    <dgm:pt modelId="{48D5B182-ED61-4191-88B8-35B7B84874DF}">
      <dgm:prSet phldrT="[Text]" custT="1"/>
      <dgm:spPr>
        <a:xfrm>
          <a:off x="1582557" y="3053642"/>
          <a:ext cx="654639" cy="654639"/>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US" sz="900" b="1">
              <a:solidFill>
                <a:sysClr val="window" lastClr="FFFFFF"/>
              </a:solidFill>
              <a:latin typeface="Times New Roman" pitchFamily="18" charset="0"/>
              <a:ea typeface="+mn-ea"/>
              <a:cs typeface="Times New Roman" pitchFamily="18" charset="0"/>
            </a:rPr>
            <a:t>AKSHI</a:t>
          </a:r>
        </a:p>
      </dgm:t>
    </dgm:pt>
    <dgm:pt modelId="{2EED1D15-9C13-4318-86DB-E4195836EAE6}" type="parTrans" cxnId="{4B5DB1E4-CB8D-48DB-AFDF-83050A0F188A}">
      <dgm:prSet/>
      <dgm:spPr/>
      <dgm:t>
        <a:bodyPr/>
        <a:lstStyle/>
        <a:p>
          <a:endParaRPr lang="en-US">
            <a:latin typeface="Times New Roman" pitchFamily="18" charset="0"/>
            <a:cs typeface="Times New Roman" pitchFamily="18" charset="0"/>
          </a:endParaRPr>
        </a:p>
      </dgm:t>
    </dgm:pt>
    <dgm:pt modelId="{2ED244E4-DDC3-4C56-A03C-B1936EBF9BB5}" type="sibTrans" cxnId="{4B5DB1E4-CB8D-48DB-AFDF-83050A0F188A}">
      <dgm:prSet/>
      <dgm:spPr>
        <a:xfrm>
          <a:off x="1190566" y="304106"/>
          <a:ext cx="3422766" cy="3422766"/>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n-US">
            <a:latin typeface="Times New Roman" pitchFamily="18" charset="0"/>
            <a:cs typeface="Times New Roman" pitchFamily="18" charset="0"/>
          </a:endParaRPr>
        </a:p>
      </dgm:t>
    </dgm:pt>
    <dgm:pt modelId="{7316AD13-FB6A-4FFF-8116-69221D682EBA}">
      <dgm:prSet custT="1"/>
      <dgm:spPr>
        <a:xfrm>
          <a:off x="4179838" y="2209734"/>
          <a:ext cx="654639" cy="654639"/>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US" sz="900" b="1">
              <a:solidFill>
                <a:sysClr val="window" lastClr="FFFFFF"/>
              </a:solidFill>
              <a:latin typeface="Times New Roman" pitchFamily="18" charset="0"/>
              <a:ea typeface="+mn-ea"/>
              <a:cs typeface="Times New Roman" pitchFamily="18" charset="0"/>
            </a:rPr>
            <a:t>Kuvendi</a:t>
          </a:r>
        </a:p>
      </dgm:t>
    </dgm:pt>
    <dgm:pt modelId="{F283CABD-A887-4B3E-86B2-02BAD45C9940}" type="parTrans" cxnId="{38231972-5033-4DF2-9AD9-099D10C6F148}">
      <dgm:prSet/>
      <dgm:spPr/>
      <dgm:t>
        <a:bodyPr/>
        <a:lstStyle/>
        <a:p>
          <a:endParaRPr lang="en-US">
            <a:latin typeface="Times New Roman" pitchFamily="18" charset="0"/>
            <a:cs typeface="Times New Roman" pitchFamily="18" charset="0"/>
          </a:endParaRPr>
        </a:p>
      </dgm:t>
    </dgm:pt>
    <dgm:pt modelId="{FE0C1C02-E6C1-4689-BF0F-2D90A58175CB}" type="sibTrans" cxnId="{38231972-5033-4DF2-9AD9-099D10C6F148}">
      <dgm:prSet/>
      <dgm:spPr>
        <a:xfrm>
          <a:off x="1190566" y="304106"/>
          <a:ext cx="3422766" cy="3422766"/>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n-US">
            <a:latin typeface="Times New Roman" pitchFamily="18" charset="0"/>
            <a:cs typeface="Times New Roman" pitchFamily="18" charset="0"/>
          </a:endParaRPr>
        </a:p>
      </dgm:t>
    </dgm:pt>
    <dgm:pt modelId="{F94AF49E-8A68-46ED-8C6A-63E9065005F4}">
      <dgm:prSet phldrT="[Text]"/>
      <dgm:spPr>
        <a:xfrm>
          <a:off x="3566703" y="3053642"/>
          <a:ext cx="654639" cy="654639"/>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US" b="1" i="0" u="none">
              <a:solidFill>
                <a:sysClr val="window" lastClr="FFFFFF"/>
              </a:solidFill>
              <a:latin typeface="Times New Roman" panose="02020603050405020304" pitchFamily="18" charset="0"/>
              <a:ea typeface="+mn-ea"/>
              <a:cs typeface="Times New Roman" panose="02020603050405020304" pitchFamily="18" charset="0"/>
            </a:rPr>
            <a:t>Avokati Popullit</a:t>
          </a:r>
          <a:endParaRPr lang="en-US">
            <a:solidFill>
              <a:sysClr val="window" lastClr="FFFFFF"/>
            </a:solidFill>
            <a:latin typeface="Times New Roman" pitchFamily="18" charset="0"/>
            <a:ea typeface="+mn-ea"/>
            <a:cs typeface="Times New Roman" pitchFamily="18" charset="0"/>
          </a:endParaRPr>
        </a:p>
      </dgm:t>
    </dgm:pt>
    <dgm:pt modelId="{8FF4FD72-36CF-4371-90FD-C618D4049D4A}" type="parTrans" cxnId="{3EF699D3-A143-4AD0-855C-ACAF758FB545}">
      <dgm:prSet/>
      <dgm:spPr/>
      <dgm:t>
        <a:bodyPr/>
        <a:lstStyle/>
        <a:p>
          <a:endParaRPr lang="en-US"/>
        </a:p>
      </dgm:t>
    </dgm:pt>
    <dgm:pt modelId="{2D5B24B8-39E3-4450-9D76-883DB752C170}" type="sibTrans" cxnId="{3EF699D3-A143-4AD0-855C-ACAF758FB545}">
      <dgm:prSet/>
      <dgm:spPr>
        <a:xfrm>
          <a:off x="1190566" y="304106"/>
          <a:ext cx="3422766" cy="3422766"/>
        </a:xfr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n-US"/>
        </a:p>
      </dgm:t>
    </dgm:pt>
    <dgm:pt modelId="{0D0BC04B-BCAF-4D2C-ABD5-7069485E8DD2}">
      <dgm:prSet custT="1"/>
      <dgm:spPr/>
      <dgm:t>
        <a:bodyPr/>
        <a:lstStyle/>
        <a:p>
          <a:r>
            <a:rPr lang="en-US" sz="1050" b="1">
              <a:latin typeface="Times New Roman" panose="02020603050405020304" pitchFamily="18" charset="0"/>
              <a:cs typeface="Times New Roman" panose="02020603050405020304" pitchFamily="18" charset="0"/>
            </a:rPr>
            <a:t>APP</a:t>
          </a:r>
        </a:p>
      </dgm:t>
    </dgm:pt>
    <dgm:pt modelId="{F698A3CA-CB2F-41E5-9EB2-7C61CC9A77B8}" type="parTrans" cxnId="{5D710B78-0D8B-4933-9429-C5D3C46206AE}">
      <dgm:prSet/>
      <dgm:spPr/>
      <dgm:t>
        <a:bodyPr/>
        <a:lstStyle/>
        <a:p>
          <a:endParaRPr lang="en-US"/>
        </a:p>
      </dgm:t>
    </dgm:pt>
    <dgm:pt modelId="{158F6292-A184-4EA2-AC06-280A9B5A2AB8}" type="sibTrans" cxnId="{5D710B78-0D8B-4933-9429-C5D3C46206AE}">
      <dgm:prSet/>
      <dgm:spPr/>
      <dgm:t>
        <a:bodyPr/>
        <a:lstStyle/>
        <a:p>
          <a:endParaRPr lang="en-US"/>
        </a:p>
      </dgm:t>
    </dgm:pt>
    <dgm:pt modelId="{BF55A722-D65B-4AB5-B55E-CE975270FB68}" type="pres">
      <dgm:prSet presAssocID="{10B6371E-FF59-4AF0-B28F-673567A287B6}" presName="Name0" presStyleCnt="0">
        <dgm:presLayoutVars>
          <dgm:chMax val="1"/>
          <dgm:dir/>
          <dgm:animLvl val="ctr"/>
          <dgm:resizeHandles val="exact"/>
        </dgm:presLayoutVars>
      </dgm:prSet>
      <dgm:spPr/>
    </dgm:pt>
    <dgm:pt modelId="{EE85ADBD-36EA-4954-8D1B-C287BB70069E}" type="pres">
      <dgm:prSet presAssocID="{A41690D6-9E36-4B37-8C2C-43FEDE1FD23B}" presName="centerShape" presStyleLbl="node0" presStyleIdx="0" presStyleCnt="1" custScaleX="212154" custScaleY="210000"/>
      <dgm:spPr>
        <a:prstGeom prst="ellipse">
          <a:avLst/>
        </a:prstGeom>
      </dgm:spPr>
    </dgm:pt>
    <dgm:pt modelId="{B1ED9537-D00C-4793-9158-1908715283C5}" type="pres">
      <dgm:prSet presAssocID="{B6C385D3-4E07-4FB9-A96A-14CD2E714B41}" presName="node" presStyleLbl="node1" presStyleIdx="0" presStyleCnt="11" custScaleX="106812" custScaleY="110778">
        <dgm:presLayoutVars>
          <dgm:bulletEnabled val="1"/>
        </dgm:presLayoutVars>
      </dgm:prSet>
      <dgm:spPr>
        <a:prstGeom prst="ellipse">
          <a:avLst/>
        </a:prstGeom>
      </dgm:spPr>
    </dgm:pt>
    <dgm:pt modelId="{267DFDE5-AF94-49E7-AD35-4DFCEB9BEF1A}" type="pres">
      <dgm:prSet presAssocID="{B6C385D3-4E07-4FB9-A96A-14CD2E714B41}" presName="dummy" presStyleCnt="0"/>
      <dgm:spPr/>
    </dgm:pt>
    <dgm:pt modelId="{B120DE8E-BD14-4716-9155-1A597EFA3247}" type="pres">
      <dgm:prSet presAssocID="{65470D99-739A-4C7E-8F54-B25DB655D3E1}" presName="sibTrans" presStyleLbl="sibTrans2D1" presStyleIdx="0" presStyleCnt="11"/>
      <dgm:spPr>
        <a:prstGeom prst="blockArc">
          <a:avLst>
            <a:gd name="adj1" fmla="val 16200000"/>
            <a:gd name="adj2" fmla="val 18360000"/>
            <a:gd name="adj3" fmla="val 2754"/>
          </a:avLst>
        </a:prstGeom>
      </dgm:spPr>
    </dgm:pt>
    <dgm:pt modelId="{202728D2-43F2-4583-AC61-92E92FBA35D3}" type="pres">
      <dgm:prSet presAssocID="{5DFFDD57-32EF-438C-B987-10F2953D5FCF}" presName="node" presStyleLbl="node1" presStyleIdx="1" presStyleCnt="11">
        <dgm:presLayoutVars>
          <dgm:bulletEnabled val="1"/>
        </dgm:presLayoutVars>
      </dgm:prSet>
      <dgm:spPr>
        <a:prstGeom prst="ellipse">
          <a:avLst/>
        </a:prstGeom>
      </dgm:spPr>
    </dgm:pt>
    <dgm:pt modelId="{DACECE01-AEFA-4F49-B495-33B32F11A47F}" type="pres">
      <dgm:prSet presAssocID="{5DFFDD57-32EF-438C-B987-10F2953D5FCF}" presName="dummy" presStyleCnt="0"/>
      <dgm:spPr/>
    </dgm:pt>
    <dgm:pt modelId="{BAA4B554-5449-4127-BD54-1F46A1F5FAB1}" type="pres">
      <dgm:prSet presAssocID="{5E06344F-BAE1-4508-8A5E-50EB75518311}" presName="sibTrans" presStyleLbl="sibTrans2D1" presStyleIdx="1" presStyleCnt="11"/>
      <dgm:spPr>
        <a:prstGeom prst="blockArc">
          <a:avLst>
            <a:gd name="adj1" fmla="val 18360000"/>
            <a:gd name="adj2" fmla="val 20520000"/>
            <a:gd name="adj3" fmla="val 2754"/>
          </a:avLst>
        </a:prstGeom>
      </dgm:spPr>
    </dgm:pt>
    <dgm:pt modelId="{BE13F539-00AD-44A5-9D6E-7E1C03DD8980}" type="pres">
      <dgm:prSet presAssocID="{E3FDE667-48B1-46B3-B4E4-79296C27DDA7}" presName="node" presStyleLbl="node1" presStyleIdx="2" presStyleCnt="11">
        <dgm:presLayoutVars>
          <dgm:bulletEnabled val="1"/>
        </dgm:presLayoutVars>
      </dgm:prSet>
      <dgm:spPr>
        <a:prstGeom prst="ellipse">
          <a:avLst/>
        </a:prstGeom>
      </dgm:spPr>
    </dgm:pt>
    <dgm:pt modelId="{8973E884-76CB-415A-BAC5-C7F53BDDE3AE}" type="pres">
      <dgm:prSet presAssocID="{E3FDE667-48B1-46B3-B4E4-79296C27DDA7}" presName="dummy" presStyleCnt="0"/>
      <dgm:spPr/>
    </dgm:pt>
    <dgm:pt modelId="{53D5139A-6EE6-4865-A296-A8031AF63F3B}" type="pres">
      <dgm:prSet presAssocID="{FA62D1C7-F82D-49B3-AB19-CB13255FE62D}" presName="sibTrans" presStyleLbl="sibTrans2D1" presStyleIdx="2" presStyleCnt="11"/>
      <dgm:spPr>
        <a:prstGeom prst="blockArc">
          <a:avLst>
            <a:gd name="adj1" fmla="val 20520000"/>
            <a:gd name="adj2" fmla="val 1080000"/>
            <a:gd name="adj3" fmla="val 2754"/>
          </a:avLst>
        </a:prstGeom>
      </dgm:spPr>
    </dgm:pt>
    <dgm:pt modelId="{8F781C7B-49E7-464A-9B06-83CAD426E4B0}" type="pres">
      <dgm:prSet presAssocID="{7316AD13-FB6A-4FFF-8116-69221D682EBA}" presName="node" presStyleLbl="node1" presStyleIdx="3" presStyleCnt="11">
        <dgm:presLayoutVars>
          <dgm:bulletEnabled val="1"/>
        </dgm:presLayoutVars>
      </dgm:prSet>
      <dgm:spPr>
        <a:prstGeom prst="ellipse">
          <a:avLst/>
        </a:prstGeom>
      </dgm:spPr>
    </dgm:pt>
    <dgm:pt modelId="{273AB95B-9FB2-4355-BFCA-4C1D14DA87A8}" type="pres">
      <dgm:prSet presAssocID="{7316AD13-FB6A-4FFF-8116-69221D682EBA}" presName="dummy" presStyleCnt="0"/>
      <dgm:spPr/>
    </dgm:pt>
    <dgm:pt modelId="{8F108B1E-77AD-4227-9BF6-0A235307506F}" type="pres">
      <dgm:prSet presAssocID="{FE0C1C02-E6C1-4689-BF0F-2D90A58175CB}" presName="sibTrans" presStyleLbl="sibTrans2D1" presStyleIdx="3" presStyleCnt="11"/>
      <dgm:spPr>
        <a:prstGeom prst="blockArc">
          <a:avLst>
            <a:gd name="adj1" fmla="val 1080000"/>
            <a:gd name="adj2" fmla="val 3240000"/>
            <a:gd name="adj3" fmla="val 2754"/>
          </a:avLst>
        </a:prstGeom>
      </dgm:spPr>
    </dgm:pt>
    <dgm:pt modelId="{54B3B48A-A65C-400B-9F12-90084DBE3F00}" type="pres">
      <dgm:prSet presAssocID="{F94AF49E-8A68-46ED-8C6A-63E9065005F4}" presName="node" presStyleLbl="node1" presStyleIdx="4" presStyleCnt="11">
        <dgm:presLayoutVars>
          <dgm:bulletEnabled val="1"/>
        </dgm:presLayoutVars>
      </dgm:prSet>
      <dgm:spPr>
        <a:prstGeom prst="ellipse">
          <a:avLst/>
        </a:prstGeom>
      </dgm:spPr>
    </dgm:pt>
    <dgm:pt modelId="{0F4FF50C-D9E3-43D6-A420-6135FEABE4CD}" type="pres">
      <dgm:prSet presAssocID="{F94AF49E-8A68-46ED-8C6A-63E9065005F4}" presName="dummy" presStyleCnt="0"/>
      <dgm:spPr/>
    </dgm:pt>
    <dgm:pt modelId="{468F547F-43F0-4377-A9AA-C96C03F4FC2C}" type="pres">
      <dgm:prSet presAssocID="{2D5B24B8-39E3-4450-9D76-883DB752C170}" presName="sibTrans" presStyleLbl="sibTrans2D1" presStyleIdx="4" presStyleCnt="11"/>
      <dgm:spPr>
        <a:prstGeom prst="blockArc">
          <a:avLst>
            <a:gd name="adj1" fmla="val 3240000"/>
            <a:gd name="adj2" fmla="val 5400000"/>
            <a:gd name="adj3" fmla="val 2754"/>
          </a:avLst>
        </a:prstGeom>
      </dgm:spPr>
    </dgm:pt>
    <dgm:pt modelId="{9ECE5C6A-3F60-4C10-A4D0-B04B4A3702FC}" type="pres">
      <dgm:prSet presAssocID="{D543FDEE-C9D3-4FBA-89A2-FE5230FCFEDE}" presName="node" presStyleLbl="node1" presStyleIdx="5" presStyleCnt="11">
        <dgm:presLayoutVars>
          <dgm:bulletEnabled val="1"/>
        </dgm:presLayoutVars>
      </dgm:prSet>
      <dgm:spPr>
        <a:prstGeom prst="ellipse">
          <a:avLst/>
        </a:prstGeom>
      </dgm:spPr>
    </dgm:pt>
    <dgm:pt modelId="{CE06E2F4-56FD-4FD6-ADAB-FFC8226B1CCF}" type="pres">
      <dgm:prSet presAssocID="{D543FDEE-C9D3-4FBA-89A2-FE5230FCFEDE}" presName="dummy" presStyleCnt="0"/>
      <dgm:spPr/>
    </dgm:pt>
    <dgm:pt modelId="{66746A16-2CCD-42A1-840D-F3BFDC138C46}" type="pres">
      <dgm:prSet presAssocID="{3D5D800C-4C27-4B09-B8B1-3704DFC29225}" presName="sibTrans" presStyleLbl="sibTrans2D1" presStyleIdx="5" presStyleCnt="11"/>
      <dgm:spPr>
        <a:prstGeom prst="blockArc">
          <a:avLst>
            <a:gd name="adj1" fmla="val 5400000"/>
            <a:gd name="adj2" fmla="val 7560000"/>
            <a:gd name="adj3" fmla="val 2754"/>
          </a:avLst>
        </a:prstGeom>
      </dgm:spPr>
    </dgm:pt>
    <dgm:pt modelId="{7B35655A-A0FC-4F1A-A330-F8E636714E0E}" type="pres">
      <dgm:prSet presAssocID="{48D5B182-ED61-4191-88B8-35B7B84874DF}" presName="node" presStyleLbl="node1" presStyleIdx="6" presStyleCnt="11">
        <dgm:presLayoutVars>
          <dgm:bulletEnabled val="1"/>
        </dgm:presLayoutVars>
      </dgm:prSet>
      <dgm:spPr>
        <a:prstGeom prst="ellipse">
          <a:avLst/>
        </a:prstGeom>
      </dgm:spPr>
    </dgm:pt>
    <dgm:pt modelId="{466261A9-DA2B-406A-9BBB-F467BCF284BB}" type="pres">
      <dgm:prSet presAssocID="{48D5B182-ED61-4191-88B8-35B7B84874DF}" presName="dummy" presStyleCnt="0"/>
      <dgm:spPr/>
    </dgm:pt>
    <dgm:pt modelId="{5158F8A4-6D5B-4DFF-A367-051F460D6809}" type="pres">
      <dgm:prSet presAssocID="{2ED244E4-DDC3-4C56-A03C-B1936EBF9BB5}" presName="sibTrans" presStyleLbl="sibTrans2D1" presStyleIdx="6" presStyleCnt="11"/>
      <dgm:spPr>
        <a:prstGeom prst="blockArc">
          <a:avLst>
            <a:gd name="adj1" fmla="val 7560000"/>
            <a:gd name="adj2" fmla="val 9720000"/>
            <a:gd name="adj3" fmla="val 2754"/>
          </a:avLst>
        </a:prstGeom>
      </dgm:spPr>
    </dgm:pt>
    <dgm:pt modelId="{963E056D-9DA8-4406-A296-DDBE5D8FABAC}" type="pres">
      <dgm:prSet presAssocID="{9B0423E0-CFE2-481D-892D-818BFAA1F2F4}" presName="node" presStyleLbl="node1" presStyleIdx="7" presStyleCnt="11">
        <dgm:presLayoutVars>
          <dgm:bulletEnabled val="1"/>
        </dgm:presLayoutVars>
      </dgm:prSet>
      <dgm:spPr>
        <a:prstGeom prst="ellipse">
          <a:avLst/>
        </a:prstGeom>
      </dgm:spPr>
    </dgm:pt>
    <dgm:pt modelId="{CF012237-D0A8-4799-B86E-790DF34F73F9}" type="pres">
      <dgm:prSet presAssocID="{9B0423E0-CFE2-481D-892D-818BFAA1F2F4}" presName="dummy" presStyleCnt="0"/>
      <dgm:spPr/>
    </dgm:pt>
    <dgm:pt modelId="{92D70B54-8E01-496F-A7E1-954AE5612EF2}" type="pres">
      <dgm:prSet presAssocID="{DE7E3D7A-0921-4B2A-95EC-D73FA9FF678A}" presName="sibTrans" presStyleLbl="sibTrans2D1" presStyleIdx="7" presStyleCnt="11"/>
      <dgm:spPr>
        <a:prstGeom prst="blockArc">
          <a:avLst>
            <a:gd name="adj1" fmla="val 9720000"/>
            <a:gd name="adj2" fmla="val 11880000"/>
            <a:gd name="adj3" fmla="val 2754"/>
          </a:avLst>
        </a:prstGeom>
      </dgm:spPr>
    </dgm:pt>
    <dgm:pt modelId="{FA2BA180-D30B-4EA8-9C80-851A3504A62F}" type="pres">
      <dgm:prSet presAssocID="{43CB7B45-EB9B-4455-861E-96EABC4F447D}" presName="node" presStyleLbl="node1" presStyleIdx="8" presStyleCnt="11" custScaleX="103435">
        <dgm:presLayoutVars>
          <dgm:bulletEnabled val="1"/>
        </dgm:presLayoutVars>
      </dgm:prSet>
      <dgm:spPr>
        <a:prstGeom prst="ellipse">
          <a:avLst/>
        </a:prstGeom>
      </dgm:spPr>
    </dgm:pt>
    <dgm:pt modelId="{F13E508E-2431-4E58-A33F-85D2E3B7DCB4}" type="pres">
      <dgm:prSet presAssocID="{43CB7B45-EB9B-4455-861E-96EABC4F447D}" presName="dummy" presStyleCnt="0"/>
      <dgm:spPr/>
    </dgm:pt>
    <dgm:pt modelId="{CC52D20E-2596-4934-B869-63C2F7BD9A28}" type="pres">
      <dgm:prSet presAssocID="{391C4480-88C5-4A93-A361-A3C383D8D10B}" presName="sibTrans" presStyleLbl="sibTrans2D1" presStyleIdx="8" presStyleCnt="11"/>
      <dgm:spPr>
        <a:prstGeom prst="blockArc">
          <a:avLst>
            <a:gd name="adj1" fmla="val 11880000"/>
            <a:gd name="adj2" fmla="val 14040000"/>
            <a:gd name="adj3" fmla="val 2754"/>
          </a:avLst>
        </a:prstGeom>
      </dgm:spPr>
    </dgm:pt>
    <dgm:pt modelId="{11A7F24D-FD66-45D2-A082-D3CE838EA247}" type="pres">
      <dgm:prSet presAssocID="{0D0BC04B-BCAF-4D2C-ABD5-7069485E8DD2}" presName="node" presStyleLbl="node1" presStyleIdx="9" presStyleCnt="11">
        <dgm:presLayoutVars>
          <dgm:bulletEnabled val="1"/>
        </dgm:presLayoutVars>
      </dgm:prSet>
      <dgm:spPr/>
    </dgm:pt>
    <dgm:pt modelId="{ECC6B660-E443-46D5-AA89-DF5B11012DE9}" type="pres">
      <dgm:prSet presAssocID="{0D0BC04B-BCAF-4D2C-ABD5-7069485E8DD2}" presName="dummy" presStyleCnt="0"/>
      <dgm:spPr/>
    </dgm:pt>
    <dgm:pt modelId="{B2F7B592-FA47-4D34-8EE3-1D0EE799C322}" type="pres">
      <dgm:prSet presAssocID="{158F6292-A184-4EA2-AC06-280A9B5A2AB8}" presName="sibTrans" presStyleLbl="sibTrans2D1" presStyleIdx="9" presStyleCnt="11"/>
      <dgm:spPr/>
    </dgm:pt>
    <dgm:pt modelId="{F11A5BE7-0602-47C2-AFE4-E920668D0477}" type="pres">
      <dgm:prSet presAssocID="{74CB76AD-C27F-47FB-881F-A58CAA4B70F8}" presName="node" presStyleLbl="node1" presStyleIdx="10" presStyleCnt="11">
        <dgm:presLayoutVars>
          <dgm:bulletEnabled val="1"/>
        </dgm:presLayoutVars>
      </dgm:prSet>
      <dgm:spPr>
        <a:prstGeom prst="ellipse">
          <a:avLst/>
        </a:prstGeom>
      </dgm:spPr>
    </dgm:pt>
    <dgm:pt modelId="{9426C2F6-640B-4875-A44B-8D4240DEF203}" type="pres">
      <dgm:prSet presAssocID="{74CB76AD-C27F-47FB-881F-A58CAA4B70F8}" presName="dummy" presStyleCnt="0"/>
      <dgm:spPr/>
    </dgm:pt>
    <dgm:pt modelId="{C61C5B04-1653-4C52-9361-1FAFDA6A2110}" type="pres">
      <dgm:prSet presAssocID="{F5165CEA-880F-43CC-9006-3B177DE095D8}" presName="sibTrans" presStyleLbl="sibTrans2D1" presStyleIdx="10" presStyleCnt="11"/>
      <dgm:spPr>
        <a:prstGeom prst="blockArc">
          <a:avLst>
            <a:gd name="adj1" fmla="val 14040000"/>
            <a:gd name="adj2" fmla="val 16200000"/>
            <a:gd name="adj3" fmla="val 2754"/>
          </a:avLst>
        </a:prstGeom>
      </dgm:spPr>
    </dgm:pt>
  </dgm:ptLst>
  <dgm:cxnLst>
    <dgm:cxn modelId="{AE77CC18-9F1A-4D8D-A0B7-376548D403D5}" srcId="{A41690D6-9E36-4B37-8C2C-43FEDE1FD23B}" destId="{E3FDE667-48B1-46B3-B4E4-79296C27DDA7}" srcOrd="2" destOrd="0" parTransId="{7980E31E-A3E7-4132-B967-AB5180507B02}" sibTransId="{FA62D1C7-F82D-49B3-AB19-CB13255FE62D}"/>
    <dgm:cxn modelId="{9F22651A-1EFF-4C86-BD51-259A678582A7}" type="presOf" srcId="{7316AD13-FB6A-4FFF-8116-69221D682EBA}" destId="{8F781C7B-49E7-464A-9B06-83CAD426E4B0}" srcOrd="0" destOrd="0" presId="urn:microsoft.com/office/officeart/2005/8/layout/radial6"/>
    <dgm:cxn modelId="{8BEDB622-FF15-410D-ACCD-2DAB601CFBF1}" type="presOf" srcId="{F94AF49E-8A68-46ED-8C6A-63E9065005F4}" destId="{54B3B48A-A65C-400B-9F12-90084DBE3F00}" srcOrd="0" destOrd="0" presId="urn:microsoft.com/office/officeart/2005/8/layout/radial6"/>
    <dgm:cxn modelId="{E09CBC24-C66D-4E71-B1CE-3AE41617A4B0}" type="presOf" srcId="{5DFFDD57-32EF-438C-B987-10F2953D5FCF}" destId="{202728D2-43F2-4583-AC61-92E92FBA35D3}" srcOrd="0" destOrd="0" presId="urn:microsoft.com/office/officeart/2005/8/layout/radial6"/>
    <dgm:cxn modelId="{12A2C02A-E239-4726-876D-4E4A750A9530}" type="presOf" srcId="{DE7E3D7A-0921-4B2A-95EC-D73FA9FF678A}" destId="{92D70B54-8E01-496F-A7E1-954AE5612EF2}" srcOrd="0" destOrd="0" presId="urn:microsoft.com/office/officeart/2005/8/layout/radial6"/>
    <dgm:cxn modelId="{72A4A32F-BD7D-4544-8ED9-260608927414}" type="presOf" srcId="{9B0423E0-CFE2-481D-892D-818BFAA1F2F4}" destId="{963E056D-9DA8-4406-A296-DDBE5D8FABAC}" srcOrd="0" destOrd="0" presId="urn:microsoft.com/office/officeart/2005/8/layout/radial6"/>
    <dgm:cxn modelId="{56229633-296F-4BBC-A42B-576689AD4670}" type="presOf" srcId="{0D0BC04B-BCAF-4D2C-ABD5-7069485E8DD2}" destId="{11A7F24D-FD66-45D2-A082-D3CE838EA247}" srcOrd="0" destOrd="0" presId="urn:microsoft.com/office/officeart/2005/8/layout/radial6"/>
    <dgm:cxn modelId="{DC81ED65-1855-4B71-B539-06EE6D25445A}" srcId="{A41690D6-9E36-4B37-8C2C-43FEDE1FD23B}" destId="{9B0423E0-CFE2-481D-892D-818BFAA1F2F4}" srcOrd="7" destOrd="0" parTransId="{CBC7D6A5-B0F1-4F80-90C0-19660B6A6BBD}" sibTransId="{DE7E3D7A-0921-4B2A-95EC-D73FA9FF678A}"/>
    <dgm:cxn modelId="{2AD30D66-5158-4651-AF3C-88347B386A7D}" type="presOf" srcId="{10B6371E-FF59-4AF0-B28F-673567A287B6}" destId="{BF55A722-D65B-4AB5-B55E-CE975270FB68}" srcOrd="0" destOrd="0" presId="urn:microsoft.com/office/officeart/2005/8/layout/radial6"/>
    <dgm:cxn modelId="{AEFF1146-7DC9-4A52-9060-51B93090DD4C}" type="presOf" srcId="{158F6292-A184-4EA2-AC06-280A9B5A2AB8}" destId="{B2F7B592-FA47-4D34-8EE3-1D0EE799C322}" srcOrd="0" destOrd="0" presId="urn:microsoft.com/office/officeart/2005/8/layout/radial6"/>
    <dgm:cxn modelId="{E35FAA4B-2E9B-4531-B78F-A16319FE8130}" srcId="{A41690D6-9E36-4B37-8C2C-43FEDE1FD23B}" destId="{D543FDEE-C9D3-4FBA-89A2-FE5230FCFEDE}" srcOrd="5" destOrd="0" parTransId="{A8C101FC-1691-4F15-9A9C-8A5B7E9D8373}" sibTransId="{3D5D800C-4C27-4B09-B8B1-3704DFC29225}"/>
    <dgm:cxn modelId="{18BA2A4D-202B-4032-95C8-87BFCD542A52}" type="presOf" srcId="{2ED244E4-DDC3-4C56-A03C-B1936EBF9BB5}" destId="{5158F8A4-6D5B-4DFF-A367-051F460D6809}" srcOrd="0" destOrd="0" presId="urn:microsoft.com/office/officeart/2005/8/layout/radial6"/>
    <dgm:cxn modelId="{C35C7471-B384-4F7C-AEE8-E2B39768F0E0}" srcId="{10B6371E-FF59-4AF0-B28F-673567A287B6}" destId="{A41690D6-9E36-4B37-8C2C-43FEDE1FD23B}" srcOrd="0" destOrd="0" parTransId="{CF09B326-53DE-4963-88D6-A114BEEB2A7F}" sibTransId="{F1A2E0BB-0331-44B4-9DC0-5F7B9F277794}"/>
    <dgm:cxn modelId="{38231972-5033-4DF2-9AD9-099D10C6F148}" srcId="{A41690D6-9E36-4B37-8C2C-43FEDE1FD23B}" destId="{7316AD13-FB6A-4FFF-8116-69221D682EBA}" srcOrd="3" destOrd="0" parTransId="{F283CABD-A887-4B3E-86B2-02BAD45C9940}" sibTransId="{FE0C1C02-E6C1-4689-BF0F-2D90A58175CB}"/>
    <dgm:cxn modelId="{B9262D54-374A-4F1F-9070-17837E256A78}" type="presOf" srcId="{391C4480-88C5-4A93-A361-A3C383D8D10B}" destId="{CC52D20E-2596-4934-B869-63C2F7BD9A28}" srcOrd="0" destOrd="0" presId="urn:microsoft.com/office/officeart/2005/8/layout/radial6"/>
    <dgm:cxn modelId="{23146274-EF9F-4FD0-874E-84423BB73AF6}" srcId="{A41690D6-9E36-4B37-8C2C-43FEDE1FD23B}" destId="{B6C385D3-4E07-4FB9-A96A-14CD2E714B41}" srcOrd="0" destOrd="0" parTransId="{8A2917D8-4A21-4963-8D97-3DB8B192DEFC}" sibTransId="{65470D99-739A-4C7E-8F54-B25DB655D3E1}"/>
    <dgm:cxn modelId="{1BD58654-4FB8-4B72-A572-B63D998C2A24}" type="presOf" srcId="{E3FDE667-48B1-46B3-B4E4-79296C27DDA7}" destId="{BE13F539-00AD-44A5-9D6E-7E1C03DD8980}" srcOrd="0" destOrd="0" presId="urn:microsoft.com/office/officeart/2005/8/layout/radial6"/>
    <dgm:cxn modelId="{5D710B78-0D8B-4933-9429-C5D3C46206AE}" srcId="{A41690D6-9E36-4B37-8C2C-43FEDE1FD23B}" destId="{0D0BC04B-BCAF-4D2C-ABD5-7069485E8DD2}" srcOrd="9" destOrd="0" parTransId="{F698A3CA-CB2F-41E5-9EB2-7C61CC9A77B8}" sibTransId="{158F6292-A184-4EA2-AC06-280A9B5A2AB8}"/>
    <dgm:cxn modelId="{ACBC5678-4FE8-4D20-B064-C9B5194C0D29}" type="presOf" srcId="{65470D99-739A-4C7E-8F54-B25DB655D3E1}" destId="{B120DE8E-BD14-4716-9155-1A597EFA3247}" srcOrd="0" destOrd="0" presId="urn:microsoft.com/office/officeart/2005/8/layout/radial6"/>
    <dgm:cxn modelId="{9DD6877A-CF59-4FEC-A033-3BA33BCA21B2}" type="presOf" srcId="{FE0C1C02-E6C1-4689-BF0F-2D90A58175CB}" destId="{8F108B1E-77AD-4227-9BF6-0A235307506F}" srcOrd="0" destOrd="0" presId="urn:microsoft.com/office/officeart/2005/8/layout/radial6"/>
    <dgm:cxn modelId="{EA10C28A-0536-445C-B118-AC31A825C743}" type="presOf" srcId="{48D5B182-ED61-4191-88B8-35B7B84874DF}" destId="{7B35655A-A0FC-4F1A-A330-F8E636714E0E}" srcOrd="0" destOrd="0" presId="urn:microsoft.com/office/officeart/2005/8/layout/radial6"/>
    <dgm:cxn modelId="{DA8D198D-C7AC-42F1-B44C-2E9182A17A9E}" type="presOf" srcId="{B6C385D3-4E07-4FB9-A96A-14CD2E714B41}" destId="{B1ED9537-D00C-4793-9158-1908715283C5}" srcOrd="0" destOrd="0" presId="urn:microsoft.com/office/officeart/2005/8/layout/radial6"/>
    <dgm:cxn modelId="{1D079D9A-0CA5-49C5-8EF6-890BCE5F108C}" srcId="{A41690D6-9E36-4B37-8C2C-43FEDE1FD23B}" destId="{74CB76AD-C27F-47FB-881F-A58CAA4B70F8}" srcOrd="10" destOrd="0" parTransId="{0759AE2B-7C4A-4778-A4CB-24B7357FBCDA}" sibTransId="{F5165CEA-880F-43CC-9006-3B177DE095D8}"/>
    <dgm:cxn modelId="{7B2AE2C7-491B-4A9A-957A-ACCE77EA076D}" type="presOf" srcId="{FA62D1C7-F82D-49B3-AB19-CB13255FE62D}" destId="{53D5139A-6EE6-4865-A296-A8031AF63F3B}" srcOrd="0" destOrd="0" presId="urn:microsoft.com/office/officeart/2005/8/layout/radial6"/>
    <dgm:cxn modelId="{D5FF21D1-E55D-4BFC-BE2F-5B0C46EA0E86}" type="presOf" srcId="{2D5B24B8-39E3-4450-9D76-883DB752C170}" destId="{468F547F-43F0-4377-A9AA-C96C03F4FC2C}" srcOrd="0" destOrd="0" presId="urn:microsoft.com/office/officeart/2005/8/layout/radial6"/>
    <dgm:cxn modelId="{3EF699D3-A143-4AD0-855C-ACAF758FB545}" srcId="{A41690D6-9E36-4B37-8C2C-43FEDE1FD23B}" destId="{F94AF49E-8A68-46ED-8C6A-63E9065005F4}" srcOrd="4" destOrd="0" parTransId="{8FF4FD72-36CF-4371-90FD-C618D4049D4A}" sibTransId="{2D5B24B8-39E3-4450-9D76-883DB752C170}"/>
    <dgm:cxn modelId="{404830D7-13AD-4B73-A2D6-31BB82CF631F}" type="presOf" srcId="{74CB76AD-C27F-47FB-881F-A58CAA4B70F8}" destId="{F11A5BE7-0602-47C2-AFE4-E920668D0477}" srcOrd="0" destOrd="0" presId="urn:microsoft.com/office/officeart/2005/8/layout/radial6"/>
    <dgm:cxn modelId="{B8D18FE0-9D89-467E-B811-E35C7912FA7A}" type="presOf" srcId="{F5165CEA-880F-43CC-9006-3B177DE095D8}" destId="{C61C5B04-1653-4C52-9361-1FAFDA6A2110}" srcOrd="0" destOrd="0" presId="urn:microsoft.com/office/officeart/2005/8/layout/radial6"/>
    <dgm:cxn modelId="{23AB11E2-0379-4E0C-920A-8D1DEC8086A0}" type="presOf" srcId="{5E06344F-BAE1-4508-8A5E-50EB75518311}" destId="{BAA4B554-5449-4127-BD54-1F46A1F5FAB1}" srcOrd="0" destOrd="0" presId="urn:microsoft.com/office/officeart/2005/8/layout/radial6"/>
    <dgm:cxn modelId="{4B5DB1E4-CB8D-48DB-AFDF-83050A0F188A}" srcId="{A41690D6-9E36-4B37-8C2C-43FEDE1FD23B}" destId="{48D5B182-ED61-4191-88B8-35B7B84874DF}" srcOrd="6" destOrd="0" parTransId="{2EED1D15-9C13-4318-86DB-E4195836EAE6}" sibTransId="{2ED244E4-DDC3-4C56-A03C-B1936EBF9BB5}"/>
    <dgm:cxn modelId="{3A5CD2E9-2268-4497-B59F-C9A54A8C7236}" srcId="{A41690D6-9E36-4B37-8C2C-43FEDE1FD23B}" destId="{43CB7B45-EB9B-4455-861E-96EABC4F447D}" srcOrd="8" destOrd="0" parTransId="{49113398-0366-48D6-AA4F-F9DBC5A757B7}" sibTransId="{391C4480-88C5-4A93-A361-A3C383D8D10B}"/>
    <dgm:cxn modelId="{FBF78BED-D56B-4379-BD7C-AB2164EDA1DA}" type="presOf" srcId="{A41690D6-9E36-4B37-8C2C-43FEDE1FD23B}" destId="{EE85ADBD-36EA-4954-8D1B-C287BB70069E}" srcOrd="0" destOrd="0" presId="urn:microsoft.com/office/officeart/2005/8/layout/radial6"/>
    <dgm:cxn modelId="{B461E8F1-2239-410E-A476-42FC8BF3CD9A}" type="presOf" srcId="{D543FDEE-C9D3-4FBA-89A2-FE5230FCFEDE}" destId="{9ECE5C6A-3F60-4C10-A4D0-B04B4A3702FC}" srcOrd="0" destOrd="0" presId="urn:microsoft.com/office/officeart/2005/8/layout/radial6"/>
    <dgm:cxn modelId="{A58056F3-B87E-4C61-8671-BCDCA654C0DD}" type="presOf" srcId="{3D5D800C-4C27-4B09-B8B1-3704DFC29225}" destId="{66746A16-2CCD-42A1-840D-F3BFDC138C46}" srcOrd="0" destOrd="0" presId="urn:microsoft.com/office/officeart/2005/8/layout/radial6"/>
    <dgm:cxn modelId="{EF4EA4FB-779C-4485-A874-F514D0BFDB4B}" srcId="{A41690D6-9E36-4B37-8C2C-43FEDE1FD23B}" destId="{5DFFDD57-32EF-438C-B987-10F2953D5FCF}" srcOrd="1" destOrd="0" parTransId="{EEAAF0D0-F6F6-48F0-887C-174306AB9086}" sibTransId="{5E06344F-BAE1-4508-8A5E-50EB75518311}"/>
    <dgm:cxn modelId="{4281A1FE-D29C-4672-97BE-CE81B6EC1B4D}" type="presOf" srcId="{43CB7B45-EB9B-4455-861E-96EABC4F447D}" destId="{FA2BA180-D30B-4EA8-9C80-851A3504A62F}" srcOrd="0" destOrd="0" presId="urn:microsoft.com/office/officeart/2005/8/layout/radial6"/>
    <dgm:cxn modelId="{52E1E7CF-CD7E-44E1-9095-39BDD6CBE3C3}" type="presParOf" srcId="{BF55A722-D65B-4AB5-B55E-CE975270FB68}" destId="{EE85ADBD-36EA-4954-8D1B-C287BB70069E}" srcOrd="0" destOrd="0" presId="urn:microsoft.com/office/officeart/2005/8/layout/radial6"/>
    <dgm:cxn modelId="{0C492CE8-D74A-453E-A301-055B837CA4B6}" type="presParOf" srcId="{BF55A722-D65B-4AB5-B55E-CE975270FB68}" destId="{B1ED9537-D00C-4793-9158-1908715283C5}" srcOrd="1" destOrd="0" presId="urn:microsoft.com/office/officeart/2005/8/layout/radial6"/>
    <dgm:cxn modelId="{88E6C8A3-2B21-4826-8096-6BD29D23F67A}" type="presParOf" srcId="{BF55A722-D65B-4AB5-B55E-CE975270FB68}" destId="{267DFDE5-AF94-49E7-AD35-4DFCEB9BEF1A}" srcOrd="2" destOrd="0" presId="urn:microsoft.com/office/officeart/2005/8/layout/radial6"/>
    <dgm:cxn modelId="{CFC262EF-B19B-4B19-B2A3-51BC124548E9}" type="presParOf" srcId="{BF55A722-D65B-4AB5-B55E-CE975270FB68}" destId="{B120DE8E-BD14-4716-9155-1A597EFA3247}" srcOrd="3" destOrd="0" presId="urn:microsoft.com/office/officeart/2005/8/layout/radial6"/>
    <dgm:cxn modelId="{239233C4-C18C-48C1-9F41-260816C7E839}" type="presParOf" srcId="{BF55A722-D65B-4AB5-B55E-CE975270FB68}" destId="{202728D2-43F2-4583-AC61-92E92FBA35D3}" srcOrd="4" destOrd="0" presId="urn:microsoft.com/office/officeart/2005/8/layout/radial6"/>
    <dgm:cxn modelId="{CC19CCBA-10DF-4F05-9F84-61B6BFBE550B}" type="presParOf" srcId="{BF55A722-D65B-4AB5-B55E-CE975270FB68}" destId="{DACECE01-AEFA-4F49-B495-33B32F11A47F}" srcOrd="5" destOrd="0" presId="urn:microsoft.com/office/officeart/2005/8/layout/radial6"/>
    <dgm:cxn modelId="{E75705E9-B783-486D-8725-8B80A3C72CC5}" type="presParOf" srcId="{BF55A722-D65B-4AB5-B55E-CE975270FB68}" destId="{BAA4B554-5449-4127-BD54-1F46A1F5FAB1}" srcOrd="6" destOrd="0" presId="urn:microsoft.com/office/officeart/2005/8/layout/radial6"/>
    <dgm:cxn modelId="{F1056FEC-990A-4704-AB64-E216065D3263}" type="presParOf" srcId="{BF55A722-D65B-4AB5-B55E-CE975270FB68}" destId="{BE13F539-00AD-44A5-9D6E-7E1C03DD8980}" srcOrd="7" destOrd="0" presId="urn:microsoft.com/office/officeart/2005/8/layout/radial6"/>
    <dgm:cxn modelId="{68344280-CFA5-4ACD-BB6C-25704CA4ECD8}" type="presParOf" srcId="{BF55A722-D65B-4AB5-B55E-CE975270FB68}" destId="{8973E884-76CB-415A-BAC5-C7F53BDDE3AE}" srcOrd="8" destOrd="0" presId="urn:microsoft.com/office/officeart/2005/8/layout/radial6"/>
    <dgm:cxn modelId="{47B810CC-BE3B-4B3A-A214-9A314CBFDC92}" type="presParOf" srcId="{BF55A722-D65B-4AB5-B55E-CE975270FB68}" destId="{53D5139A-6EE6-4865-A296-A8031AF63F3B}" srcOrd="9" destOrd="0" presId="urn:microsoft.com/office/officeart/2005/8/layout/radial6"/>
    <dgm:cxn modelId="{0220141D-748B-401F-92CC-3BC7CEEED098}" type="presParOf" srcId="{BF55A722-D65B-4AB5-B55E-CE975270FB68}" destId="{8F781C7B-49E7-464A-9B06-83CAD426E4B0}" srcOrd="10" destOrd="0" presId="urn:microsoft.com/office/officeart/2005/8/layout/radial6"/>
    <dgm:cxn modelId="{15D1399A-9EC8-4EC3-94F7-5A0393BE32D9}" type="presParOf" srcId="{BF55A722-D65B-4AB5-B55E-CE975270FB68}" destId="{273AB95B-9FB2-4355-BFCA-4C1D14DA87A8}" srcOrd="11" destOrd="0" presId="urn:microsoft.com/office/officeart/2005/8/layout/radial6"/>
    <dgm:cxn modelId="{C57BF833-DDE7-451D-AFE6-8B7C2AC15148}" type="presParOf" srcId="{BF55A722-D65B-4AB5-B55E-CE975270FB68}" destId="{8F108B1E-77AD-4227-9BF6-0A235307506F}" srcOrd="12" destOrd="0" presId="urn:microsoft.com/office/officeart/2005/8/layout/radial6"/>
    <dgm:cxn modelId="{61A47E94-DE14-4CD5-9DF3-7FBFB8896F2E}" type="presParOf" srcId="{BF55A722-D65B-4AB5-B55E-CE975270FB68}" destId="{54B3B48A-A65C-400B-9F12-90084DBE3F00}" srcOrd="13" destOrd="0" presId="urn:microsoft.com/office/officeart/2005/8/layout/radial6"/>
    <dgm:cxn modelId="{786176EE-921B-4E93-8EE6-69F2DCF7F6B9}" type="presParOf" srcId="{BF55A722-D65B-4AB5-B55E-CE975270FB68}" destId="{0F4FF50C-D9E3-43D6-A420-6135FEABE4CD}" srcOrd="14" destOrd="0" presId="urn:microsoft.com/office/officeart/2005/8/layout/radial6"/>
    <dgm:cxn modelId="{D6FBB3C5-94F0-45BD-A394-A07422E24BC3}" type="presParOf" srcId="{BF55A722-D65B-4AB5-B55E-CE975270FB68}" destId="{468F547F-43F0-4377-A9AA-C96C03F4FC2C}" srcOrd="15" destOrd="0" presId="urn:microsoft.com/office/officeart/2005/8/layout/radial6"/>
    <dgm:cxn modelId="{2E4A4C8A-B1C4-493B-893C-DC4709E8AD99}" type="presParOf" srcId="{BF55A722-D65B-4AB5-B55E-CE975270FB68}" destId="{9ECE5C6A-3F60-4C10-A4D0-B04B4A3702FC}" srcOrd="16" destOrd="0" presId="urn:microsoft.com/office/officeart/2005/8/layout/radial6"/>
    <dgm:cxn modelId="{074C93DF-37B3-4736-BBC8-1E4C4EB8F268}" type="presParOf" srcId="{BF55A722-D65B-4AB5-B55E-CE975270FB68}" destId="{CE06E2F4-56FD-4FD6-ADAB-FFC8226B1CCF}" srcOrd="17" destOrd="0" presId="urn:microsoft.com/office/officeart/2005/8/layout/radial6"/>
    <dgm:cxn modelId="{5211EB08-2A64-4F9D-9651-A671B7BC2D2B}" type="presParOf" srcId="{BF55A722-D65B-4AB5-B55E-CE975270FB68}" destId="{66746A16-2CCD-42A1-840D-F3BFDC138C46}" srcOrd="18" destOrd="0" presId="urn:microsoft.com/office/officeart/2005/8/layout/radial6"/>
    <dgm:cxn modelId="{4B04CE3D-318D-416C-9607-BECAA7DCD01F}" type="presParOf" srcId="{BF55A722-D65B-4AB5-B55E-CE975270FB68}" destId="{7B35655A-A0FC-4F1A-A330-F8E636714E0E}" srcOrd="19" destOrd="0" presId="urn:microsoft.com/office/officeart/2005/8/layout/radial6"/>
    <dgm:cxn modelId="{0CA8E4A6-79F8-4063-9D72-0EE57A39EFBB}" type="presParOf" srcId="{BF55A722-D65B-4AB5-B55E-CE975270FB68}" destId="{466261A9-DA2B-406A-9BBB-F467BCF284BB}" srcOrd="20" destOrd="0" presId="urn:microsoft.com/office/officeart/2005/8/layout/radial6"/>
    <dgm:cxn modelId="{4177225F-6349-40DA-867F-4FDD98843E2C}" type="presParOf" srcId="{BF55A722-D65B-4AB5-B55E-CE975270FB68}" destId="{5158F8A4-6D5B-4DFF-A367-051F460D6809}" srcOrd="21" destOrd="0" presId="urn:microsoft.com/office/officeart/2005/8/layout/radial6"/>
    <dgm:cxn modelId="{2FFD93E7-5738-4EA2-BEE3-E79F21FFF15D}" type="presParOf" srcId="{BF55A722-D65B-4AB5-B55E-CE975270FB68}" destId="{963E056D-9DA8-4406-A296-DDBE5D8FABAC}" srcOrd="22" destOrd="0" presId="urn:microsoft.com/office/officeart/2005/8/layout/radial6"/>
    <dgm:cxn modelId="{5A7B2BAF-10E0-4427-8073-CFBCB3484D03}" type="presParOf" srcId="{BF55A722-D65B-4AB5-B55E-CE975270FB68}" destId="{CF012237-D0A8-4799-B86E-790DF34F73F9}" srcOrd="23" destOrd="0" presId="urn:microsoft.com/office/officeart/2005/8/layout/radial6"/>
    <dgm:cxn modelId="{34B0D0A6-F53E-44EC-AF4D-B554D26AC983}" type="presParOf" srcId="{BF55A722-D65B-4AB5-B55E-CE975270FB68}" destId="{92D70B54-8E01-496F-A7E1-954AE5612EF2}" srcOrd="24" destOrd="0" presId="urn:microsoft.com/office/officeart/2005/8/layout/radial6"/>
    <dgm:cxn modelId="{22041F4E-FC6E-4D0C-B255-91D0A1582377}" type="presParOf" srcId="{BF55A722-D65B-4AB5-B55E-CE975270FB68}" destId="{FA2BA180-D30B-4EA8-9C80-851A3504A62F}" srcOrd="25" destOrd="0" presId="urn:microsoft.com/office/officeart/2005/8/layout/radial6"/>
    <dgm:cxn modelId="{F2EC3385-96DC-4B85-9BE1-5A104165AB28}" type="presParOf" srcId="{BF55A722-D65B-4AB5-B55E-CE975270FB68}" destId="{F13E508E-2431-4E58-A33F-85D2E3B7DCB4}" srcOrd="26" destOrd="0" presId="urn:microsoft.com/office/officeart/2005/8/layout/radial6"/>
    <dgm:cxn modelId="{4B8294E5-A9D7-4D48-B328-33BB0AE76087}" type="presParOf" srcId="{BF55A722-D65B-4AB5-B55E-CE975270FB68}" destId="{CC52D20E-2596-4934-B869-63C2F7BD9A28}" srcOrd="27" destOrd="0" presId="urn:microsoft.com/office/officeart/2005/8/layout/radial6"/>
    <dgm:cxn modelId="{07E6E672-5161-4B34-9954-227899A4BE5B}" type="presParOf" srcId="{BF55A722-D65B-4AB5-B55E-CE975270FB68}" destId="{11A7F24D-FD66-45D2-A082-D3CE838EA247}" srcOrd="28" destOrd="0" presId="urn:microsoft.com/office/officeart/2005/8/layout/radial6"/>
    <dgm:cxn modelId="{406AE02E-EE48-4160-8DE0-184B492708AC}" type="presParOf" srcId="{BF55A722-D65B-4AB5-B55E-CE975270FB68}" destId="{ECC6B660-E443-46D5-AA89-DF5B11012DE9}" srcOrd="29" destOrd="0" presId="urn:microsoft.com/office/officeart/2005/8/layout/radial6"/>
    <dgm:cxn modelId="{6EA9D5E3-21C6-4F54-B4EF-AA2C92FC1AF4}" type="presParOf" srcId="{BF55A722-D65B-4AB5-B55E-CE975270FB68}" destId="{B2F7B592-FA47-4D34-8EE3-1D0EE799C322}" srcOrd="30" destOrd="0" presId="urn:microsoft.com/office/officeart/2005/8/layout/radial6"/>
    <dgm:cxn modelId="{976EB7A6-C6EB-4C97-AC04-2361FC5EE5D0}" type="presParOf" srcId="{BF55A722-D65B-4AB5-B55E-CE975270FB68}" destId="{F11A5BE7-0602-47C2-AFE4-E920668D0477}" srcOrd="31" destOrd="0" presId="urn:microsoft.com/office/officeart/2005/8/layout/radial6"/>
    <dgm:cxn modelId="{DFA02A1C-6C41-48A4-AEA2-FED408E01036}" type="presParOf" srcId="{BF55A722-D65B-4AB5-B55E-CE975270FB68}" destId="{9426C2F6-640B-4875-A44B-8D4240DEF203}" srcOrd="32" destOrd="0" presId="urn:microsoft.com/office/officeart/2005/8/layout/radial6"/>
    <dgm:cxn modelId="{797DF5A7-066E-4C70-AD47-45D058FF12ED}" type="presParOf" srcId="{BF55A722-D65B-4AB5-B55E-CE975270FB68}" destId="{C61C5B04-1653-4C52-9361-1FAFDA6A2110}" srcOrd="33" destOrd="0" presId="urn:microsoft.com/office/officeart/2005/8/layout/radial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1C5B04-1653-4C52-9361-1FAFDA6A2110}">
      <dsp:nvSpPr>
        <dsp:cNvPr id="0" name=""/>
        <dsp:cNvSpPr/>
      </dsp:nvSpPr>
      <dsp:spPr>
        <a:xfrm>
          <a:off x="1175978" y="309529"/>
          <a:ext cx="3590458" cy="3590458"/>
        </a:xfrm>
        <a:prstGeom prst="blockArc">
          <a:avLst>
            <a:gd name="adj1" fmla="val 14040000"/>
            <a:gd name="adj2" fmla="val 16200000"/>
            <a:gd name="adj3" fmla="val 2754"/>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2F7B592-FA47-4D34-8EE3-1D0EE799C322}">
      <dsp:nvSpPr>
        <dsp:cNvPr id="0" name=""/>
        <dsp:cNvSpPr/>
      </dsp:nvSpPr>
      <dsp:spPr>
        <a:xfrm>
          <a:off x="1175978" y="309529"/>
          <a:ext cx="3590458" cy="3590458"/>
        </a:xfrm>
        <a:prstGeom prst="blockArc">
          <a:avLst>
            <a:gd name="adj1" fmla="val 12272727"/>
            <a:gd name="adj2" fmla="val 14236364"/>
            <a:gd name="adj3" fmla="val 2508"/>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CC52D20E-2596-4934-B869-63C2F7BD9A28}">
      <dsp:nvSpPr>
        <dsp:cNvPr id="0" name=""/>
        <dsp:cNvSpPr/>
      </dsp:nvSpPr>
      <dsp:spPr>
        <a:xfrm>
          <a:off x="1175978" y="309529"/>
          <a:ext cx="3590458" cy="3590458"/>
        </a:xfrm>
        <a:prstGeom prst="blockArc">
          <a:avLst>
            <a:gd name="adj1" fmla="val 11880000"/>
            <a:gd name="adj2" fmla="val 14040000"/>
            <a:gd name="adj3" fmla="val 2754"/>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92D70B54-8E01-496F-A7E1-954AE5612EF2}">
      <dsp:nvSpPr>
        <dsp:cNvPr id="0" name=""/>
        <dsp:cNvSpPr/>
      </dsp:nvSpPr>
      <dsp:spPr>
        <a:xfrm>
          <a:off x="1175978" y="309529"/>
          <a:ext cx="3590458" cy="3590458"/>
        </a:xfrm>
        <a:prstGeom prst="blockArc">
          <a:avLst>
            <a:gd name="adj1" fmla="val 9720000"/>
            <a:gd name="adj2" fmla="val 11880000"/>
            <a:gd name="adj3" fmla="val 2754"/>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5158F8A4-6D5B-4DFF-A367-051F460D6809}">
      <dsp:nvSpPr>
        <dsp:cNvPr id="0" name=""/>
        <dsp:cNvSpPr/>
      </dsp:nvSpPr>
      <dsp:spPr>
        <a:xfrm>
          <a:off x="1175978" y="309529"/>
          <a:ext cx="3590458" cy="3590458"/>
        </a:xfrm>
        <a:prstGeom prst="blockArc">
          <a:avLst>
            <a:gd name="adj1" fmla="val 7560000"/>
            <a:gd name="adj2" fmla="val 9720000"/>
            <a:gd name="adj3" fmla="val 2754"/>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66746A16-2CCD-42A1-840D-F3BFDC138C46}">
      <dsp:nvSpPr>
        <dsp:cNvPr id="0" name=""/>
        <dsp:cNvSpPr/>
      </dsp:nvSpPr>
      <dsp:spPr>
        <a:xfrm>
          <a:off x="1175978" y="309529"/>
          <a:ext cx="3590458" cy="3590458"/>
        </a:xfrm>
        <a:prstGeom prst="blockArc">
          <a:avLst>
            <a:gd name="adj1" fmla="val 5400000"/>
            <a:gd name="adj2" fmla="val 7560000"/>
            <a:gd name="adj3" fmla="val 2754"/>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468F547F-43F0-4377-A9AA-C96C03F4FC2C}">
      <dsp:nvSpPr>
        <dsp:cNvPr id="0" name=""/>
        <dsp:cNvSpPr/>
      </dsp:nvSpPr>
      <dsp:spPr>
        <a:xfrm>
          <a:off x="1175978" y="309529"/>
          <a:ext cx="3590458" cy="3590458"/>
        </a:xfrm>
        <a:prstGeom prst="blockArc">
          <a:avLst>
            <a:gd name="adj1" fmla="val 3240000"/>
            <a:gd name="adj2" fmla="val 5400000"/>
            <a:gd name="adj3" fmla="val 2754"/>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8F108B1E-77AD-4227-9BF6-0A235307506F}">
      <dsp:nvSpPr>
        <dsp:cNvPr id="0" name=""/>
        <dsp:cNvSpPr/>
      </dsp:nvSpPr>
      <dsp:spPr>
        <a:xfrm>
          <a:off x="1175978" y="309529"/>
          <a:ext cx="3590458" cy="3590458"/>
        </a:xfrm>
        <a:prstGeom prst="blockArc">
          <a:avLst>
            <a:gd name="adj1" fmla="val 1080000"/>
            <a:gd name="adj2" fmla="val 3240000"/>
            <a:gd name="adj3" fmla="val 2754"/>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53D5139A-6EE6-4865-A296-A8031AF63F3B}">
      <dsp:nvSpPr>
        <dsp:cNvPr id="0" name=""/>
        <dsp:cNvSpPr/>
      </dsp:nvSpPr>
      <dsp:spPr>
        <a:xfrm>
          <a:off x="1175978" y="309529"/>
          <a:ext cx="3590458" cy="3590458"/>
        </a:xfrm>
        <a:prstGeom prst="blockArc">
          <a:avLst>
            <a:gd name="adj1" fmla="val 20520000"/>
            <a:gd name="adj2" fmla="val 1080000"/>
            <a:gd name="adj3" fmla="val 2754"/>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AA4B554-5449-4127-BD54-1F46A1F5FAB1}">
      <dsp:nvSpPr>
        <dsp:cNvPr id="0" name=""/>
        <dsp:cNvSpPr/>
      </dsp:nvSpPr>
      <dsp:spPr>
        <a:xfrm>
          <a:off x="1175978" y="309529"/>
          <a:ext cx="3590458" cy="3590458"/>
        </a:xfrm>
        <a:prstGeom prst="blockArc">
          <a:avLst>
            <a:gd name="adj1" fmla="val 18360000"/>
            <a:gd name="adj2" fmla="val 20520000"/>
            <a:gd name="adj3" fmla="val 2754"/>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B120DE8E-BD14-4716-9155-1A597EFA3247}">
      <dsp:nvSpPr>
        <dsp:cNvPr id="0" name=""/>
        <dsp:cNvSpPr/>
      </dsp:nvSpPr>
      <dsp:spPr>
        <a:xfrm>
          <a:off x="1175978" y="309529"/>
          <a:ext cx="3590458" cy="3590458"/>
        </a:xfrm>
        <a:prstGeom prst="blockArc">
          <a:avLst>
            <a:gd name="adj1" fmla="val 16200000"/>
            <a:gd name="adj2" fmla="val 18360000"/>
            <a:gd name="adj3" fmla="val 2754"/>
          </a:avLst>
        </a:prstGeom>
        <a:gradFill rotWithShape="0">
          <a:gsLst>
            <a:gs pos="0">
              <a:srgbClr val="4472C4">
                <a:tint val="60000"/>
                <a:hueOff val="0"/>
                <a:satOff val="0"/>
                <a:lumOff val="0"/>
                <a:alphaOff val="0"/>
                <a:satMod val="103000"/>
                <a:lumMod val="102000"/>
                <a:tint val="94000"/>
              </a:srgbClr>
            </a:gs>
            <a:gs pos="50000">
              <a:srgbClr val="4472C4">
                <a:tint val="60000"/>
                <a:hueOff val="0"/>
                <a:satOff val="0"/>
                <a:lumOff val="0"/>
                <a:alphaOff val="0"/>
                <a:satMod val="110000"/>
                <a:lumMod val="100000"/>
                <a:shade val="100000"/>
              </a:srgbClr>
            </a:gs>
            <a:gs pos="100000">
              <a:srgbClr val="4472C4">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E85ADBD-36EA-4954-8D1B-C287BB70069E}">
      <dsp:nvSpPr>
        <dsp:cNvPr id="0" name=""/>
        <dsp:cNvSpPr/>
      </dsp:nvSpPr>
      <dsp:spPr>
        <a:xfrm>
          <a:off x="2023392" y="1166567"/>
          <a:ext cx="1895630" cy="1876383"/>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US" sz="1800" b="1" kern="1200">
              <a:solidFill>
                <a:sysClr val="window" lastClr="FFFFFF"/>
              </a:solidFill>
              <a:latin typeface="Times New Roman" pitchFamily="18" charset="0"/>
              <a:ea typeface="+mn-ea"/>
              <a:cs typeface="Times New Roman" pitchFamily="18" charset="0"/>
            </a:rPr>
            <a:t>SNRAP</a:t>
          </a:r>
        </a:p>
        <a:p>
          <a:pPr marL="0" lvl="0" indent="0" algn="ctr" defTabSz="800100">
            <a:lnSpc>
              <a:spcPct val="90000"/>
            </a:lnSpc>
            <a:spcBef>
              <a:spcPct val="0"/>
            </a:spcBef>
            <a:spcAft>
              <a:spcPct val="35000"/>
            </a:spcAft>
            <a:buNone/>
          </a:pPr>
          <a:r>
            <a:rPr lang="en-US" sz="1800" b="1" kern="1200">
              <a:solidFill>
                <a:sysClr val="window" lastClr="FFFFFF"/>
              </a:solidFill>
              <a:latin typeface="Times New Roman" pitchFamily="18" charset="0"/>
              <a:ea typeface="+mn-ea"/>
              <a:cs typeface="Times New Roman" pitchFamily="18" charset="0"/>
            </a:rPr>
            <a:t>2025-2030</a:t>
          </a:r>
        </a:p>
      </dsp:txBody>
      <dsp:txXfrm>
        <a:off x="2301001" y="1441357"/>
        <a:ext cx="1340412" cy="1326803"/>
      </dsp:txXfrm>
    </dsp:sp>
    <dsp:sp modelId="{B1ED9537-D00C-4793-9158-1908715283C5}">
      <dsp:nvSpPr>
        <dsp:cNvPr id="0" name=""/>
        <dsp:cNvSpPr/>
      </dsp:nvSpPr>
      <dsp:spPr>
        <a:xfrm>
          <a:off x="2637173" y="-14390"/>
          <a:ext cx="668067" cy="692873"/>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 lastClr="FFFFFF"/>
              </a:solidFill>
              <a:latin typeface="Times New Roman" pitchFamily="18" charset="0"/>
              <a:ea typeface="+mn-ea"/>
              <a:cs typeface="Times New Roman" pitchFamily="18" charset="0"/>
            </a:rPr>
            <a:t>Ministritë</a:t>
          </a:r>
          <a:r>
            <a:rPr lang="en-US" sz="700" kern="1200">
              <a:solidFill>
                <a:sysClr val="window" lastClr="FFFFFF"/>
              </a:solidFill>
              <a:latin typeface="Times New Roman" pitchFamily="18" charset="0"/>
              <a:ea typeface="+mn-ea"/>
              <a:cs typeface="Times New Roman" pitchFamily="18" charset="0"/>
            </a:rPr>
            <a:t> </a:t>
          </a:r>
          <a:r>
            <a:rPr lang="en-US" sz="800" b="1" kern="1200">
              <a:solidFill>
                <a:sysClr val="window" lastClr="FFFFFF"/>
              </a:solidFill>
              <a:latin typeface="Times New Roman" pitchFamily="18" charset="0"/>
              <a:ea typeface="+mn-ea"/>
              <a:cs typeface="Times New Roman" pitchFamily="18" charset="0"/>
            </a:rPr>
            <a:t>e Linjës</a:t>
          </a:r>
        </a:p>
      </dsp:txBody>
      <dsp:txXfrm>
        <a:off x="2735009" y="87079"/>
        <a:ext cx="472395" cy="489935"/>
      </dsp:txXfrm>
    </dsp:sp>
    <dsp:sp modelId="{202728D2-43F2-4583-AC61-92E92FBA35D3}">
      <dsp:nvSpPr>
        <dsp:cNvPr id="0" name=""/>
        <dsp:cNvSpPr/>
      </dsp:nvSpPr>
      <dsp:spPr>
        <a:xfrm>
          <a:off x="3616877" y="300727"/>
          <a:ext cx="625461" cy="625461"/>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Times New Roman" pitchFamily="18" charset="0"/>
              <a:ea typeface="+mn-ea"/>
              <a:cs typeface="Times New Roman" pitchFamily="18" charset="0"/>
            </a:rPr>
            <a:t>ASPA</a:t>
          </a:r>
        </a:p>
      </dsp:txBody>
      <dsp:txXfrm>
        <a:off x="3708474" y="392324"/>
        <a:ext cx="442267" cy="442267"/>
      </dsp:txXfrm>
    </dsp:sp>
    <dsp:sp modelId="{BE13F539-00AD-44A5-9D6E-7E1C03DD8980}">
      <dsp:nvSpPr>
        <dsp:cNvPr id="0" name=""/>
        <dsp:cNvSpPr/>
      </dsp:nvSpPr>
      <dsp:spPr>
        <a:xfrm>
          <a:off x="4270993" y="1055617"/>
          <a:ext cx="625461" cy="625461"/>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 lastClr="FFFFFF"/>
              </a:solidFill>
              <a:latin typeface="Times New Roman" pitchFamily="18" charset="0"/>
              <a:ea typeface="+mn-ea"/>
              <a:cs typeface="Times New Roman" pitchFamily="18" charset="0"/>
            </a:rPr>
            <a:t>Kryeministria</a:t>
          </a:r>
        </a:p>
      </dsp:txBody>
      <dsp:txXfrm>
        <a:off x="4362590" y="1147214"/>
        <a:ext cx="442267" cy="442267"/>
      </dsp:txXfrm>
    </dsp:sp>
    <dsp:sp modelId="{8F781C7B-49E7-464A-9B06-83CAD426E4B0}">
      <dsp:nvSpPr>
        <dsp:cNvPr id="0" name=""/>
        <dsp:cNvSpPr/>
      </dsp:nvSpPr>
      <dsp:spPr>
        <a:xfrm>
          <a:off x="4413145" y="2044311"/>
          <a:ext cx="625461" cy="625461"/>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 lastClr="FFFFFF"/>
              </a:solidFill>
              <a:latin typeface="Times New Roman" pitchFamily="18" charset="0"/>
              <a:ea typeface="+mn-ea"/>
              <a:cs typeface="Times New Roman" pitchFamily="18" charset="0"/>
            </a:rPr>
            <a:t>Kuvendi</a:t>
          </a:r>
        </a:p>
      </dsp:txBody>
      <dsp:txXfrm>
        <a:off x="4504742" y="2135908"/>
        <a:ext cx="442267" cy="442267"/>
      </dsp:txXfrm>
    </dsp:sp>
    <dsp:sp modelId="{54B3B48A-A65C-400B-9F12-90084DBE3F00}">
      <dsp:nvSpPr>
        <dsp:cNvPr id="0" name=""/>
        <dsp:cNvSpPr/>
      </dsp:nvSpPr>
      <dsp:spPr>
        <a:xfrm>
          <a:off x="3998203" y="2952908"/>
          <a:ext cx="625461" cy="625461"/>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i="0" u="none" kern="1200">
              <a:solidFill>
                <a:sysClr val="window" lastClr="FFFFFF"/>
              </a:solidFill>
              <a:latin typeface="Times New Roman" panose="02020603050405020304" pitchFamily="18" charset="0"/>
              <a:ea typeface="+mn-ea"/>
              <a:cs typeface="Times New Roman" panose="02020603050405020304" pitchFamily="18" charset="0"/>
            </a:rPr>
            <a:t>Avokati Popullit</a:t>
          </a:r>
          <a:endParaRPr lang="en-US" sz="900" kern="1200">
            <a:solidFill>
              <a:sysClr val="window" lastClr="FFFFFF"/>
            </a:solidFill>
            <a:latin typeface="Times New Roman" pitchFamily="18" charset="0"/>
            <a:ea typeface="+mn-ea"/>
            <a:cs typeface="Times New Roman" pitchFamily="18" charset="0"/>
          </a:endParaRPr>
        </a:p>
      </dsp:txBody>
      <dsp:txXfrm>
        <a:off x="4089800" y="3044505"/>
        <a:ext cx="442267" cy="442267"/>
      </dsp:txXfrm>
    </dsp:sp>
    <dsp:sp modelId="{9ECE5C6A-3F60-4C10-A4D0-B04B4A3702FC}">
      <dsp:nvSpPr>
        <dsp:cNvPr id="0" name=""/>
        <dsp:cNvSpPr/>
      </dsp:nvSpPr>
      <dsp:spPr>
        <a:xfrm>
          <a:off x="3157907" y="3492933"/>
          <a:ext cx="625461" cy="625461"/>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 lastClr="FFFFFF"/>
              </a:solidFill>
              <a:latin typeface="Times New Roman" pitchFamily="18" charset="0"/>
              <a:ea typeface="+mn-ea"/>
              <a:cs typeface="Times New Roman" pitchFamily="18" charset="0"/>
            </a:rPr>
            <a:t>ADB</a:t>
          </a:r>
        </a:p>
      </dsp:txBody>
      <dsp:txXfrm>
        <a:off x="3249504" y="3584530"/>
        <a:ext cx="442267" cy="442267"/>
      </dsp:txXfrm>
    </dsp:sp>
    <dsp:sp modelId="{7B35655A-A0FC-4F1A-A330-F8E636714E0E}">
      <dsp:nvSpPr>
        <dsp:cNvPr id="0" name=""/>
        <dsp:cNvSpPr/>
      </dsp:nvSpPr>
      <dsp:spPr>
        <a:xfrm>
          <a:off x="2159046" y="3492933"/>
          <a:ext cx="625461" cy="625461"/>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 lastClr="FFFFFF"/>
              </a:solidFill>
              <a:latin typeface="Times New Roman" pitchFamily="18" charset="0"/>
              <a:ea typeface="+mn-ea"/>
              <a:cs typeface="Times New Roman" pitchFamily="18" charset="0"/>
            </a:rPr>
            <a:t>AKSHI</a:t>
          </a:r>
        </a:p>
      </dsp:txBody>
      <dsp:txXfrm>
        <a:off x="2250643" y="3584530"/>
        <a:ext cx="442267" cy="442267"/>
      </dsp:txXfrm>
    </dsp:sp>
    <dsp:sp modelId="{963E056D-9DA8-4406-A296-DDBE5D8FABAC}">
      <dsp:nvSpPr>
        <dsp:cNvPr id="0" name=""/>
        <dsp:cNvSpPr/>
      </dsp:nvSpPr>
      <dsp:spPr>
        <a:xfrm>
          <a:off x="1318750" y="2952908"/>
          <a:ext cx="625461" cy="625461"/>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 lastClr="FFFFFF"/>
              </a:solidFill>
              <a:latin typeface="Times New Roman" pitchFamily="18" charset="0"/>
              <a:ea typeface="+mn-ea"/>
              <a:cs typeface="Times New Roman" pitchFamily="18" charset="0"/>
            </a:rPr>
            <a:t>SASPAC</a:t>
          </a:r>
        </a:p>
      </dsp:txBody>
      <dsp:txXfrm>
        <a:off x="1410347" y="3044505"/>
        <a:ext cx="442267" cy="442267"/>
      </dsp:txXfrm>
    </dsp:sp>
    <dsp:sp modelId="{FA2BA180-D30B-4EA8-9C80-851A3504A62F}">
      <dsp:nvSpPr>
        <dsp:cNvPr id="0" name=""/>
        <dsp:cNvSpPr/>
      </dsp:nvSpPr>
      <dsp:spPr>
        <a:xfrm>
          <a:off x="893065" y="2044311"/>
          <a:ext cx="646945" cy="625461"/>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1" kern="1200">
              <a:solidFill>
                <a:sysClr val="window" lastClr="FFFFFF"/>
              </a:solidFill>
              <a:latin typeface="Times New Roman" pitchFamily="18" charset="0"/>
              <a:ea typeface="+mn-ea"/>
              <a:cs typeface="Times New Roman" pitchFamily="18" charset="0"/>
            </a:rPr>
            <a:t>KDIMDP</a:t>
          </a:r>
        </a:p>
      </dsp:txBody>
      <dsp:txXfrm>
        <a:off x="987808" y="2135908"/>
        <a:ext cx="457459" cy="442267"/>
      </dsp:txXfrm>
    </dsp:sp>
    <dsp:sp modelId="{11A7F24D-FD66-45D2-A082-D3CE838EA247}">
      <dsp:nvSpPr>
        <dsp:cNvPr id="0" name=""/>
        <dsp:cNvSpPr/>
      </dsp:nvSpPr>
      <dsp:spPr>
        <a:xfrm>
          <a:off x="1045960" y="1055617"/>
          <a:ext cx="625461" cy="62546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en-US" sz="1050" b="1" kern="1200">
              <a:latin typeface="Times New Roman" panose="02020603050405020304" pitchFamily="18" charset="0"/>
              <a:cs typeface="Times New Roman" panose="02020603050405020304" pitchFamily="18" charset="0"/>
            </a:rPr>
            <a:t>APP</a:t>
          </a:r>
        </a:p>
      </dsp:txBody>
      <dsp:txXfrm>
        <a:off x="1137557" y="1147214"/>
        <a:ext cx="442267" cy="442267"/>
      </dsp:txXfrm>
    </dsp:sp>
    <dsp:sp modelId="{F11A5BE7-0602-47C2-AFE4-E920668D0477}">
      <dsp:nvSpPr>
        <dsp:cNvPr id="0" name=""/>
        <dsp:cNvSpPr/>
      </dsp:nvSpPr>
      <dsp:spPr>
        <a:xfrm>
          <a:off x="1700076" y="300727"/>
          <a:ext cx="625461" cy="625461"/>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 lastClr="FFFFFF"/>
              </a:solidFill>
              <a:latin typeface="Times New Roman" pitchFamily="18" charset="0"/>
              <a:ea typeface="+mn-ea"/>
              <a:cs typeface="Times New Roman" pitchFamily="18" charset="0"/>
            </a:rPr>
            <a:t>DAP</a:t>
          </a:r>
        </a:p>
      </dsp:txBody>
      <dsp:txXfrm>
        <a:off x="1791673" y="392324"/>
        <a:ext cx="442267" cy="442267"/>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0E640-BF40-4250-8D87-7F76874EA1BC}">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129</Pages>
  <Words>43684</Words>
  <Characters>249004</Characters>
  <Application>Microsoft Office Word</Application>
  <DocSecurity>0</DocSecurity>
  <Lines>2075</Lines>
  <Paragraphs>584</Paragraphs>
  <ScaleCrop>false</ScaleCrop>
  <HeadingPairs>
    <vt:vector size="2" baseType="variant">
      <vt:variant>
        <vt:lpstr>Title</vt:lpstr>
      </vt:variant>
      <vt:variant>
        <vt:i4>1</vt:i4>
      </vt:variant>
    </vt:vector>
  </HeadingPairs>
  <TitlesOfParts>
    <vt:vector size="1" baseType="lpstr">
      <vt:lpstr>Strategjia Ndërsektoriale e Reformës në Administratën Publike 2025-2030</vt:lpstr>
    </vt:vector>
  </TitlesOfParts>
  <Company/>
  <LinksUpToDate>false</LinksUpToDate>
  <CharactersWithSpaces>292104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Strategjia Ndërsektoriale e Reformës në Administratën Publike 2025-2030</dc:title>
  <dc:subject/>
  <dc:creator>Ndërsektoriale e Refrmës në Administratën Publike 2025-2030</dc:creator>
  <cp:keywords/>
  <dc:description/>
  <cp:lastModifiedBy>Erta Kraja</cp:lastModifiedBy>
  <cp:revision>2</cp:revision>
  <cp:lastPrinted>2026-01-13T10:05:00Z</cp:lastPrinted>
  <dcterms:created xsi:type="dcterms:W3CDTF">2026-01-13T10:06:00Z</dcterms:created>
  <dcterms:modified xsi:type="dcterms:W3CDTF">2026-01-13T10:06:00Z</dcterms:modified>
</cp:coreProperties>
</file>